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f88c830e3cea4e07b25e12258273095a"/>
        <w:lock w:val="sdtLocked"/>
        <w:richText/>
      </w:sdtPr>
      <w:sdtContent>
        <w:tbl>
          <w:tblPr>
            <w:tblW w:w="9535" w:type="dxa"/>
            <w:tblLook w:val="04A0" w:firstRow="1" w:lastRow="0" w:firstColumn="1" w:lastColumn="0" w:noHBand="0" w:noVBand="1"/>
          </w:tblPr>
          <w:tblGrid>
            <w:gridCol w:w="2339"/>
            <w:gridCol w:w="2340"/>
            <w:gridCol w:w="2340"/>
            <w:gridCol w:w="2516"/>
          </w:tblGrid>
          <w:tr w14:paraId="250A772E" w14:textId="77777777">
            <w:tc>
              <w:tcPr>
                <w:tcW w:w="2339" w:type="dxa"/>
              </w:tcPr>
              <w:p w14:paraId="2F9EC316" w14:textId="77777777">
                <w:pPr>
                  <w:tabs>
                    <w:tab w:val="center" w:pos="4153"/>
                    <w:tab w:val="right" w:pos="8306"/>
                  </w:tabs>
                  <w:rPr>
                    <w:rFonts w:ascii="TimesLT" w:hAnsi="TimesLT"/>
                    <w:lang w:val="en-US"/>
                  </w:rPr>
                </w:pPr>
              </w:p>
              <w:p w14:paraId="111B804B" w14:textId="77777777">
                <w:pPr>
                  <w:tabs>
                    <w:tab w:val="center" w:pos="4153"/>
                    <w:tab w:val="right" w:pos="7020"/>
                    <w:tab w:val="left" w:pos="7110"/>
                  </w:tabs>
                  <w:jc w:val="right"/>
                  <w:rPr>
                    <w:b/>
                    <w:bCs/>
                    <w:szCs w:val="24"/>
                  </w:rPr>
                </w:pPr>
              </w:p>
            </w:tc>
            <w:tc>
              <w:tcPr>
                <w:tcW w:w="2340" w:type="dxa"/>
              </w:tcPr>
              <w:p w14:paraId="671564E2" w14:textId="77777777">
                <w:pPr>
                  <w:tabs>
                    <w:tab w:val="center" w:pos="4153"/>
                    <w:tab w:val="right" w:pos="7020"/>
                    <w:tab w:val="left" w:pos="7110"/>
                  </w:tabs>
                  <w:jc w:val="right"/>
                  <w:rPr>
                    <w:b/>
                    <w:bCs/>
                    <w:szCs w:val="24"/>
                  </w:rPr>
                </w:pPr>
              </w:p>
            </w:tc>
            <w:tc>
              <w:tcPr>
                <w:tcW w:w="2340" w:type="dxa"/>
              </w:tcPr>
              <w:p w14:paraId="3ACC0F50" w14:textId="77777777">
                <w:pPr>
                  <w:tabs>
                    <w:tab w:val="center" w:pos="4153"/>
                    <w:tab w:val="right" w:pos="7020"/>
                    <w:tab w:val="left" w:pos="7110"/>
                  </w:tabs>
                  <w:jc w:val="right"/>
                  <w:rPr>
                    <w:b/>
                    <w:bCs/>
                    <w:szCs w:val="24"/>
                  </w:rPr>
                </w:pPr>
              </w:p>
            </w:tc>
            <w:tc>
              <w:tcPr>
                <w:tcW w:w="2516" w:type="dxa"/>
              </w:tcPr>
              <w:p w14:paraId="41744867" w14:textId="12B7DC41">
                <w:pPr>
                  <w:tabs>
                    <w:tab w:val="center" w:pos="4153"/>
                    <w:tab w:val="right" w:pos="7020"/>
                    <w:tab w:val="left" w:pos="7110"/>
                  </w:tabs>
                  <w:rPr>
                    <w:b/>
                    <w:bCs/>
                    <w:szCs w:val="24"/>
                  </w:rPr>
                </w:pPr>
                <w:r>
                  <w:rPr>
                    <w:b/>
                    <w:bCs/>
                    <w:szCs w:val="24"/>
                  </w:rPr>
                  <w:t>Projektas</w:t>
                </w:r>
              </w:p>
            </w:tc>
          </w:tr>
          <w:tr w14:paraId="1ED56DC9" w14:textId="77777777">
            <w:tc>
              <w:tcPr>
                <w:tcW w:w="2339" w:type="dxa"/>
              </w:tcPr>
              <w:p w14:paraId="1D8AD86F" w14:textId="77777777">
                <w:pPr>
                  <w:tabs>
                    <w:tab w:val="center" w:pos="4153"/>
                    <w:tab w:val="right" w:pos="7020"/>
                    <w:tab w:val="left" w:pos="7110"/>
                  </w:tabs>
                  <w:jc w:val="right"/>
                  <w:rPr>
                    <w:b/>
                    <w:bCs/>
                    <w:szCs w:val="24"/>
                  </w:rPr>
                </w:pPr>
              </w:p>
            </w:tc>
            <w:tc>
              <w:tcPr>
                <w:tcW w:w="2340" w:type="dxa"/>
              </w:tcPr>
              <w:p w14:paraId="729DE10E" w14:textId="77777777">
                <w:pPr>
                  <w:tabs>
                    <w:tab w:val="center" w:pos="4153"/>
                    <w:tab w:val="right" w:pos="7020"/>
                    <w:tab w:val="left" w:pos="7110"/>
                  </w:tabs>
                  <w:jc w:val="right"/>
                  <w:rPr>
                    <w:b/>
                    <w:bCs/>
                    <w:szCs w:val="24"/>
                  </w:rPr>
                </w:pPr>
              </w:p>
            </w:tc>
            <w:tc>
              <w:tcPr>
                <w:tcW w:w="2340" w:type="dxa"/>
              </w:tcPr>
              <w:p w14:paraId="2DCFC1E9" w14:textId="77777777">
                <w:pPr>
                  <w:tabs>
                    <w:tab w:val="center" w:pos="4153"/>
                    <w:tab w:val="right" w:pos="7020"/>
                    <w:tab w:val="left" w:pos="7110"/>
                  </w:tabs>
                  <w:jc w:val="right"/>
                  <w:rPr>
                    <w:b/>
                    <w:bCs/>
                    <w:szCs w:val="24"/>
                  </w:rPr>
                </w:pPr>
              </w:p>
            </w:tc>
            <w:tc>
              <w:tcPr>
                <w:tcW w:w="2516" w:type="dxa"/>
              </w:tcPr>
              <w:p w14:paraId="67A0CC95" w14:textId="77777777">
                <w:pPr>
                  <w:tabs>
                    <w:tab w:val="center" w:pos="4153"/>
                    <w:tab w:val="right" w:pos="7020"/>
                    <w:tab w:val="left" w:pos="7110"/>
                  </w:tabs>
                  <w:jc w:val="right"/>
                  <w:rPr>
                    <w:b/>
                    <w:bCs/>
                    <w:szCs w:val="24"/>
                  </w:rPr>
                </w:pPr>
              </w:p>
            </w:tc>
          </w:tr>
        </w:tbl>
        <w:p w14:paraId="24841613" w14:textId="032577EE">
          <w:pPr>
            <w:tabs>
              <w:tab w:val="center" w:pos="4153"/>
              <w:tab w:val="right" w:pos="8306"/>
            </w:tabs>
            <w:jc w:val="right"/>
            <w:rPr>
              <w:b/>
              <w:bCs/>
              <w:szCs w:val="24"/>
            </w:rPr>
          </w:pPr>
        </w:p>
        <w:sdt>
          <w:sdtPr>
            <w:alias w:val="skirsnis"/>
            <w:tag w:val="part_5df1a4b0992244c1991e8e344b7d23ba"/>
            <w:lock w:val="sdtLocked"/>
            <w:richText/>
          </w:sdtPr>
          <w:sdtContent>
            <w:sdt>
              <w:sdtPr>
                <w:alias w:val="Pavadinimas"/>
                <w:tag w:val="title_5df1a4b0992244c1991e8e344b7d23ba"/>
                <w:lock w:val="sdtLocked"/>
                <w:richText/>
              </w:sdtPr>
              <w:sdtContent>
                <w:p w14:paraId="325B741B" w14:textId="77777777">
                  <w:pPr>
                    <w:jc w:val="center"/>
                    <w:rPr>
                      <w:b/>
                      <w:bCs/>
                      <w:caps/>
                      <w:szCs w:val="24"/>
                    </w:rPr>
                  </w:pPr>
                  <w:r>
                    <w:rPr>
                      <w:b/>
                      <w:bCs/>
                      <w:caps/>
                      <w:szCs w:val="24"/>
                    </w:rPr>
                    <w:t>LIETUVOS RESPUBLIKOS</w:t>
                  </w:r>
                </w:p>
                <w:p w14:paraId="7982066C" w14:textId="2B994431">
                  <w:pPr>
                    <w:jc w:val="center"/>
                    <w:rPr>
                      <w:b/>
                      <w:caps/>
                      <w:szCs w:val="24"/>
                    </w:rPr>
                  </w:pPr>
                  <w:r>
                    <w:rPr>
                      <w:b/>
                      <w:caps/>
                      <w:szCs w:val="24"/>
                    </w:rPr>
                    <w:t xml:space="preserve">PELNO MOKESČIO ĮSTATYMO NR. IX-675 58 straipsnio PAKEITIMO </w:t>
                  </w:r>
                </w:p>
                <w:p w14:paraId="0C3D5C8B" w14:textId="77777777">
                  <w:pPr>
                    <w:jc w:val="center"/>
                    <w:rPr>
                      <w:caps/>
                      <w:szCs w:val="24"/>
                    </w:rPr>
                  </w:pPr>
                  <w:r>
                    <w:rPr>
                      <w:b/>
                      <w:caps/>
                      <w:szCs w:val="24"/>
                    </w:rPr>
                    <w:t>ĮSTATYMAS</w:t>
                  </w:r>
                </w:p>
              </w:sdtContent>
            </w:sdt>
            <w:p w14:paraId="2913E4FD" w14:textId="77777777">
              <w:pPr>
                <w:jc w:val="center"/>
                <w:rPr>
                  <w:b/>
                  <w:caps/>
                  <w:szCs w:val="24"/>
                </w:rPr>
              </w:pPr>
            </w:p>
            <w:p w14:paraId="7B4482FE" w14:textId="0CA166DC">
              <w:pPr>
                <w:jc w:val="center"/>
                <w:rPr>
                  <w:szCs w:val="24"/>
                </w:rPr>
              </w:pPr>
              <w:r>
                <w:rPr>
                  <w:szCs w:val="24"/>
                </w:rPr>
                <w:t xml:space="preserve">2023 m.              d. Nr. </w:t>
              </w:r>
            </w:p>
            <w:p w14:paraId="0E623640" w14:textId="77777777">
              <w:pPr>
                <w:jc w:val="center"/>
                <w:rPr>
                  <w:szCs w:val="24"/>
                </w:rPr>
              </w:pPr>
              <w:r>
                <w:rPr>
                  <w:szCs w:val="24"/>
                </w:rPr>
                <w:t>Vilnius</w:t>
              </w:r>
            </w:p>
            <w:p w14:paraId="68C7DEFC" w14:textId="77777777">
              <w:pPr>
                <w:jc w:val="center"/>
                <w:rPr>
                  <w:szCs w:val="24"/>
                </w:rPr>
              </w:pPr>
            </w:p>
            <w:p w14:paraId="769FD320" w14:textId="77777777">
              <w:pPr>
                <w:spacing w:line="360" w:lineRule="auto"/>
                <w:ind w:firstLine="720"/>
                <w:jc w:val="both"/>
                <w:rPr>
                  <w:szCs w:val="24"/>
                </w:rPr>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14:paraId="6C8DC465" w14:textId="77777777">
              <w:pPr>
                <w:tabs>
                  <w:tab w:val="center" w:pos="4986"/>
                  <w:tab w:val="right" w:pos="9972"/>
                </w:tabs>
              </w:pPr>
            </w:p>
            <w:sdt>
              <w:sdtPr>
                <w:alias w:val="1 str."/>
                <w:tag w:val="part_241cc89b282b4f48814522a6f6502241"/>
                <w:lock w:val="sdtLocked"/>
                <w:richText/>
              </w:sdtPr>
              <w:sdtContent>
                <w:p w14:paraId="20BEC6BB" w14:textId="3066154D">
                  <w:pPr>
                    <w:ind w:firstLine="720"/>
                    <w:jc w:val="both"/>
                    <w:rPr>
                      <w:b/>
                      <w:szCs w:val="24"/>
                      <w:lang w:eastAsia="lt-LT"/>
                    </w:rPr>
                  </w:pPr>
                  <w:sdt>
                    <w:sdtPr>
                      <w:alias w:val="Numeris"/>
                      <w:tag w:val="nr_241cc89b282b4f48814522a6f6502241"/>
                      <w:lock w:val="sdtLocked"/>
                      <w:richText/>
                    </w:sdtPr>
                    <w:sdtContent>
                      <w:r>
                        <w:rPr>
                          <w:b/>
                          <w:szCs w:val="24"/>
                          <w:lang w:eastAsia="lt-LT"/>
                        </w:rPr>
                        <w:t>1</w:t>
                      </w:r>
                    </w:sdtContent>
                  </w:sdt>
                  <w:r>
                    <w:rPr>
                      <w:b/>
                      <w:szCs w:val="24"/>
                      <w:lang w:eastAsia="lt-LT"/>
                    </w:rPr>
                    <w:t xml:space="preserve"> straipsnis. </w:t>
                  </w:r>
                  <w:sdt>
                    <w:sdtPr>
                      <w:alias w:val="Pavadinimas"/>
                      <w:tag w:val="title_241cc89b282b4f48814522a6f6502241"/>
                      <w:lock w:val="sdtLocked"/>
                      <w:richText/>
                    </w:sdtPr>
                    <w:sdtContent>
                      <w:r>
                        <w:rPr>
                          <w:b/>
                          <w:szCs w:val="24"/>
                          <w:lang w:eastAsia="lt-LT"/>
                        </w:rPr>
                        <w:t>58 straipsnio pakeitimas</w:t>
                      </w:r>
                    </w:sdtContent>
                  </w:sdt>
                </w:p>
                <w:sdt>
                  <w:sdtPr>
                    <w:alias w:val="1 str. 1 d."/>
                    <w:tag w:val="part_71782f2e21ca4b62a5c3a6585d4cd9e6"/>
                    <w:lock w:val="sdtLocked"/>
                    <w:richText/>
                  </w:sdtPr>
                  <w:sdtContent>
                    <w:p w14:paraId="51DAC72E" w14:textId="327D3466">
                      <w:pPr>
                        <w:ind w:left="1080" w:hanging="360"/>
                        <w:jc w:val="both"/>
                        <w:rPr>
                          <w:szCs w:val="24"/>
                          <w:lang w:eastAsia="lt-LT"/>
                        </w:rPr>
                      </w:pPr>
                      <w:sdt>
                        <w:sdtPr>
                          <w:alias w:val="Numeris"/>
                          <w:tag w:val="nr_71782f2e21ca4b62a5c3a6585d4cd9e6"/>
                          <w:lock w:val="sdtLocked"/>
                          <w:richText/>
                        </w:sdtPr>
                        <w:sdtContent>
                          <w:r>
                            <w:rPr>
                              <w:szCs w:val="24"/>
                              <w:lang w:eastAsia="lt-LT"/>
                            </w:rPr>
                            <w:t>1</w:t>
                          </w:r>
                        </w:sdtContent>
                      </w:sdt>
                      <w:r>
                        <w:rPr>
                          <w:szCs w:val="24"/>
                          <w:lang w:eastAsia="lt-LT"/>
                        </w:rPr>
                        <w:t>.</w:t>
                        <w:tab/>
                        <w:t>Pakeisti 58 straipsnio16</w:t>
                      </w:r>
                      <w:r>
                        <w:rPr>
                          <w:szCs w:val="24"/>
                          <w:vertAlign w:val="superscript"/>
                          <w:lang w:eastAsia="lt-LT"/>
                        </w:rPr>
                        <w:t>2</w:t>
                      </w:r>
                      <w:r>
                        <w:rPr>
                          <w:szCs w:val="24"/>
                          <w:lang w:eastAsia="lt-LT"/>
                        </w:rPr>
                        <w:t xml:space="preserve"> dalį ir ją išdėstyti taip:</w:t>
                      </w:r>
                    </w:p>
                    <w:sdt>
                      <w:sdtPr>
                        <w:alias w:val="citata"/>
                        <w:tag w:val="part_9624c87311d74320a021168b016a1fbe"/>
                        <w:lock w:val="sdtLocked"/>
                        <w:richText/>
                      </w:sdtPr>
                      <w:sdtContent>
                        <w:sdt>
                          <w:sdtPr>
                            <w:alias w:val="16-2 d."/>
                            <w:tag w:val="part_947e7ca6cde4499d974fb4017a214fad"/>
                            <w:lock w:val="sdtLocked"/>
                            <w:richText/>
                          </w:sdtPr>
                          <w:sdtContent>
                            <w:p w14:paraId="7AED37CE" w14:textId="3F1131C5">
                              <w:pPr>
                                <w:ind w:firstLine="720"/>
                                <w:jc w:val="both"/>
                                <w:rPr>
                                  <w:color w:val="000000"/>
                                  <w:szCs w:val="24"/>
                                </w:rPr>
                              </w:pPr>
                              <w:r>
                                <w:rPr>
                                  <w:color w:val="000000"/>
                                  <w:szCs w:val="24"/>
                                </w:rPr>
                                <w:t>„</w:t>
                              </w:r>
                              <w:sdt>
                                <w:sdtPr>
                                  <w:alias w:val="Numeris"/>
                                  <w:tag w:val="nr_947e7ca6cde4499d974fb4017a214fad"/>
                                  <w:lock w:val="sdtLocked"/>
                                  <w:richText/>
                                </w:sdtPr>
                                <w:sdtContent>
                                  <w:r>
                                    <w:rPr>
                                      <w:color w:val="000000"/>
                                      <w:szCs w:val="24"/>
                                    </w:rPr>
                                    <w:t>16</w:t>
                                  </w:r>
                                  <w:r>
                                    <w:rPr>
                                      <w:color w:val="000000"/>
                                      <w:szCs w:val="24"/>
                                      <w:vertAlign w:val="superscript"/>
                                    </w:rPr>
                                    <w:t>2</w:t>
                                  </w:r>
                                </w:sdtContent>
                              </w:sdt>
                              <w:r>
                                <w:rPr>
                                  <w:color w:val="000000"/>
                                  <w:szCs w:val="24"/>
                                </w:rPr>
                                <w:t>. Juridinis asmuo, kuris įgyvendina stambų projektą pagal galiojančią stambaus projekto investicijų sutartį</w:t>
                              </w:r>
                              <w:r>
                                <w:rPr>
                                  <w:color w:val="000000"/>
                                  <w:sz w:val="22"/>
                                  <w:szCs w:val="22"/>
                                </w:rPr>
                                <w:t xml:space="preserve"> </w:t>
                              </w:r>
                              <w:r>
                                <w:rPr>
                                  <w:color w:val="000000"/>
                                  <w:szCs w:val="24"/>
                                </w:rPr>
                                <w:t>ir kuris mokestiniais metais pradeda tenkinti reikalavimus, nustatytus Investicijų įstatymo 2 straipsnio 25 dalies 1 arba 2 punkte, ir kuris nesinaudoja šio straipsnio 16 dalies 1 ir 2 punktuose arba 16</w:t>
                              </w:r>
                              <w:r>
                                <w:rPr>
                                  <w:color w:val="000000"/>
                                  <w:szCs w:val="24"/>
                                  <w:vertAlign w:val="superscript"/>
                                </w:rPr>
                                <w:t>3</w:t>
                              </w:r>
                              <w:r>
                                <w:rPr>
                                  <w:color w:val="000000"/>
                                  <w:szCs w:val="24"/>
                                </w:rPr>
                                <w:t xml:space="preserve"> dalyje nustatyta pelno mokesčio lengvata, nemoka pelno mokesčio, pradedant tuo mokestiniu laikotarpiu, kurį šis juridinis asmuo pradėjo tenkinti  Investicijų įstatymo 2 straipsnio 25 dalies 1 arba 2 punkte nustatytus reikalavimus. Šioje dalyje nustatyta lengvata taikoma tik tuo atveju, kai ne mažiau kaip 75 procentai atitinkamo mokestinio laikotarpio juridinio asmens pajamų sudaro pajamos iš duomenų apdorojimo, interneto serverių paslaugų (prieglobos) ir susijusios veiklos arba pajamos iš apdirbamosios gamybos, ir tik toms juridinio asmens pajamoms, kurios gautos įgyvendinant stambų projektą. Šioje dalyje nustatyta lengvata pajamoms iš intelektinės nuosavybės turto naudojimo netaikoma, išskyrus atvejus, kai šios pajamos atitinka šio Įstatymo 5 straipsnio 7–10 dalyse ir 30 straipsnio 1 ir 2</w:t>
                              </w:r>
                              <w:r>
                                <w:rPr>
                                  <w:color w:val="000000"/>
                                  <w:szCs w:val="24"/>
                                  <w:vertAlign w:val="superscript"/>
                                </w:rPr>
                                <w:t>1</w:t>
                              </w:r>
                              <w:r>
                                <w:rPr>
                                  <w:color w:val="000000"/>
                                  <w:szCs w:val="24"/>
                                </w:rPr>
                                <w:t xml:space="preserve"> dalyse nustatytas sąlygas (išskyrus šio Įstatymo 5 straipsnio 7 dalyje nustatytą taikytiną pelno mokesčio tarifo dydį). Šioje dalyje nustatyta lengvata taikoma tik tuo atveju, kai juridinis asmuo turi auditoriaus išvadą, patvirtinančią reikalaujamą juridinio asmens privačių kapitalo investicijų dydį. Jeigu juridinio asmens privačių kapitalo investicijų suma į stambų projektą sumažėja ir nebesiekia 20 milijonų eurų sumos, o kai investuojama Vilniuje, – nebesiekia 30 milijonų eurų sumos, išskyrus ilgalaikio turto nusidėvėjimo arba amortizacijos sąnaudas, ir (arba) tais mokestiniais metais juridinis asmuo nebetenkina nors vieno kito reikalavimo, nurodyto  Investicijų įstatymo 2 straipsnio 25 dalies 1 arba 2 punkte, lengvata tą mokestinį laikotarpį netaikoma ir lengvatos taikymas atnaujinamas tą mokestinį laikotarpį, kurį juridinio asmens privačios kapitalo investicijos į stambų projektą vėl pasiekia 20 milijonų eurų sumą, o kai investuojama Vilniuje, – 30 milijonų eurų sumą ir (arba) pradedami tenkinti visi kiti Investicijų įstatymo 2 straipsnio 25 dalies 1 arba 2 punktų reikalavimai. Šioje dalyje nustatyta lengvata juridiniam asmeniui, įgyvendinančiam stambų projektą, taikoma ne ilgiau negu 20 metų nuo stambaus projekto investicijų sutarties įsigaliojimo dienos. Šioje dalyje nustatyta lengvata taikoma tiek, kiek ji suderinama su Europos Sąjungos teisės aktais, kuriais reguliuojamas valstybės pagalbos teikimas, ir Lietuvos Respublikos Vyriausybės ar jos įgaliotos institucijos nustatyta valstybės pagalbos teikimo ir priežiūros tvarka.“</w:t>
                              </w:r>
                            </w:p>
                            <w:p w14:paraId="46A4F7FC" w14:textId="77777777">
                              <w:pPr>
                                <w:ind w:firstLine="720"/>
                                <w:jc w:val="both"/>
                                <w:rPr>
                                  <w:color w:val="000000"/>
                                  <w:szCs w:val="24"/>
                                </w:rPr>
                              </w:pPr>
                            </w:p>
                          </w:sdtContent>
                        </w:sdt>
                      </w:sdtContent>
                    </w:sdt>
                  </w:sdtContent>
                </w:sdt>
                <w:sdt>
                  <w:sdtPr>
                    <w:alias w:val="1 str. 2 d."/>
                    <w:tag w:val="part_1f84da9eb902409cac9e7f62bc0c4b88"/>
                    <w:lock w:val="sdtLocked"/>
                    <w:richText/>
                  </w:sdtPr>
                  <w:sdtContent>
                    <w:p w14:paraId="69990450" w14:textId="08B3563A">
                      <w:pPr>
                        <w:ind w:left="1080" w:hanging="360"/>
                        <w:jc w:val="both"/>
                        <w:rPr>
                          <w:szCs w:val="24"/>
                          <w:lang w:eastAsia="lt-LT"/>
                        </w:rPr>
                      </w:pPr>
                      <w:sdt>
                        <w:sdtPr>
                          <w:alias w:val="Numeris"/>
                          <w:tag w:val="nr_1f84da9eb902409cac9e7f62bc0c4b88"/>
                          <w:lock w:val="sdtLocked"/>
                          <w:richText/>
                        </w:sdtPr>
                        <w:sdtContent>
                          <w:r>
                            <w:rPr>
                              <w:szCs w:val="24"/>
                              <w:lang w:eastAsia="lt-LT"/>
                            </w:rPr>
                            <w:t>2</w:t>
                          </w:r>
                        </w:sdtContent>
                      </w:sdt>
                      <w:r>
                        <w:rPr>
                          <w:szCs w:val="24"/>
                          <w:lang w:eastAsia="lt-LT"/>
                        </w:rPr>
                        <w:t>.</w:t>
                        <w:tab/>
                        <w:t>Pakeisti 58 straipsnio 16</w:t>
                      </w:r>
                      <w:r>
                        <w:rPr>
                          <w:szCs w:val="24"/>
                          <w:vertAlign w:val="superscript"/>
                          <w:lang w:eastAsia="lt-LT"/>
                        </w:rPr>
                        <w:t>3</w:t>
                      </w:r>
                      <w:r>
                        <w:rPr>
                          <w:szCs w:val="24"/>
                          <w:lang w:eastAsia="lt-LT"/>
                        </w:rPr>
                        <w:t xml:space="preserve"> dalį ir ją išdėstyti taip:</w:t>
                      </w:r>
                    </w:p>
                    <w:sdt>
                      <w:sdtPr>
                        <w:alias w:val="citata"/>
                        <w:tag w:val="part_4b7769ea7afa45daa253475b55fdf167"/>
                        <w:lock w:val="sdtLocked"/>
                        <w:richText/>
                      </w:sdtPr>
                      <w:sdtContent>
                        <w:sdt>
                          <w:sdtPr>
                            <w:alias w:val="16-3 d."/>
                            <w:tag w:val="part_f71dad2908ac4090873b769f43e926d9"/>
                            <w:lock w:val="sdtLocked"/>
                            <w:richText/>
                          </w:sdtPr>
                          <w:sdtContent>
                            <w:p w14:paraId="18428F90" w14:textId="63D1F297">
                              <w:pPr>
                                <w:ind w:firstLine="720"/>
                                <w:jc w:val="both"/>
                                <w:rPr>
                                  <w:color w:val="000000"/>
                                  <w:szCs w:val="24"/>
                                </w:rPr>
                              </w:pPr>
                              <w:r>
                                <w:rPr>
                                  <w:color w:val="000000"/>
                                  <w:szCs w:val="24"/>
                                </w:rPr>
                                <w:t>„</w:t>
                              </w:r>
                              <w:sdt>
                                <w:sdtPr>
                                  <w:alias w:val="Numeris"/>
                                  <w:tag w:val="nr_f71dad2908ac4090873b769f43e926d9"/>
                                  <w:lock w:val="sdtLocked"/>
                                  <w:richText/>
                                </w:sdtPr>
                                <w:sdtContent>
                                  <w:r>
                                    <w:rPr>
                                      <w:color w:val="000000"/>
                                      <w:szCs w:val="24"/>
                                    </w:rPr>
                                    <w:t>16</w:t>
                                  </w:r>
                                  <w:r>
                                    <w:rPr>
                                      <w:color w:val="000000"/>
                                      <w:szCs w:val="24"/>
                                      <w:vertAlign w:val="superscript"/>
                                    </w:rPr>
                                    <w:t>3</w:t>
                                  </w:r>
                                </w:sdtContent>
                              </w:sdt>
                              <w:r>
                                <w:rPr>
                                  <w:color w:val="000000"/>
                                  <w:szCs w:val="24"/>
                                </w:rPr>
                                <w:t xml:space="preserve">. Juridinis asmuo, kuris įgyvendina stambų projektą pagal galiojančią stambaus projekto investicijų sutartį,  ir kuris mokestiniais metais pradeda tenkinti reikalavimus, nustatytus  Investicijų įstatymo 2 straipsnio 25 dalies 1 arba 2 punkte, o privačios kapitalo investicijos į stambų projektą Lietuvos Respublikoje pasiekė ne mažesnę kaip 100 milijonų eurų sumą, ir kuris nesinaudoja šio straipsnio 16 dalies 1 ir 2 punktuose arba 16</w:t>
                              </w:r>
                              <w:r>
                                <w:rPr>
                                  <w:color w:val="000000"/>
                                  <w:szCs w:val="24"/>
                                  <w:vertAlign w:val="superscript"/>
                                </w:rPr>
                                <w:t>2</w:t>
                              </w:r>
                              <w:r>
                                <w:rPr>
                                  <w:color w:val="000000"/>
                                  <w:szCs w:val="24"/>
                                </w:rPr>
                                <w:t xml:space="preserve"> dalyje nustatyta pelno mokesčio lengvata, nemoka pelno mokesčio pradedant tuo mokestiniu laikotarpiu, kurį </w:t>
                              </w:r>
                              <w:r>
                                <w:rPr>
                                  <w:color w:val="000000"/>
                                  <w:sz w:val="22"/>
                                  <w:szCs w:val="22"/>
                                </w:rPr>
                                <w:t xml:space="preserve">ši investicijų suma buvo pasiekta ir </w:t>
                              </w:r>
                              <w:r>
                                <w:rPr>
                                  <w:color w:val="000000"/>
                                  <w:szCs w:val="24"/>
                                </w:rPr>
                                <w:t xml:space="preserve">šis juridinis asmuo pradėjo tenkinti visus kitus   Investicijų įstatymo 2 straipsnio 25 dalies 1 arba 2 punkte nustatytus reikalavimus. Šioje dalyje nustatyta lengvata taikoma tik tuo atveju, kai ne mažiau kaip 75 procentai atitinkamo mokestinio laikotarpio juridinio asmens pajamų sudaro pajamos iš duomenų apdorojimo, interneto serverių paslaugų (prieglobos) ir susijusios veiklos arba pajamos iš apdirbamosios gamybos, ir tik toms juridinio asmens pajamoms, kurios gautos įgyvendinant stambų projektą. Šioje dalyje nustatyta lengvata pajamoms iš intelektinės nuosavybės turto naudojimo netaikoma, išskyrus atvejus, kai šios pajamos atitinka šio Įstatymo 5 straipsnio 7–10 dalyse ir 30 straipsnio 1 ir 2</w:t>
                              </w:r>
                              <w:r>
                                <w:rPr>
                                  <w:color w:val="000000"/>
                                  <w:szCs w:val="24"/>
                                  <w:vertAlign w:val="superscript"/>
                                </w:rPr>
                                <w:t>1</w:t>
                              </w:r>
                              <w:r>
                                <w:rPr>
                                  <w:color w:val="000000"/>
                                  <w:szCs w:val="24"/>
                                </w:rPr>
                                <w:t xml:space="preserve"> dalyse nustatytas sąlygas (išskyrus šio Įstatymo 5 straipsnio 7 dalyje nustatytą taikytiną pelno mokesčio tarifo dydį). Šioje dalyje nustatyta lengvata taikoma tik tuo atveju, kai juridinis asmuo turi auditoriaus išvadą, patvirtinančią reikalaujamą juridinio asmens privačių kapitalo investicijų į stambų projektą dydį. Jeigu juridinio asmens privačių kapitalo investicijų į stambų projektą suma sumažėja ir nebesiekia 100 milijonų eurų, išskyrus ilgalaikio turto nusidėvėjimo arba amortizacijos sąnaudas, ir (arba) tais mokestiniais metais juridinis asmuo nebetenkina nors vieno kito reikalavimo, nurodyto  Investicijų įstatymo 2 straipsnio 25 dalies 1 arba 2 punkte, lengvata tą mokestinį laikotarpį netaikoma, ir lengvatos taikymas atnaujinamas tą mokestinį laikotarpį, kurį juridinio asmens privačios kapitalo investicijos į stambų projektą vėl pasiekia 100 milijonų eurų ir (arba) pradedami tenkinti visi kiti  Investicijų įstatymo 2 straipsnio 25 dalies 1 arba 2 punktų reikalavimai. Šioje dalyje nustatyta lengvata juridiniam asmeniui, įgyvendinančiam stambų projektą, taikoma ne ilgiau negu 20 metų nuo stambaus projekto investicijų sutarties įsigaliojimo dienos. Šioje dalyje nustatyta lengvata taikoma tiek, kiek ji suderinama su Europos Sąjungos teisės aktais, reglamentuojančiais valstybės pagalbos teikimą, Lietuvos Respublikos Vyriausybės ar jos įgaliotos institucijos nustatyta valstybės pagalbos teikimo ir priežiūros tvarka ir Europos Komisijos išduoto leidimo teikti valstybės pagalbą sąlygomis.“</w:t>
                              </w:r>
                            </w:p>
                            <w:p w14:paraId="71805B2F" w14:textId="4C8A46DA">
                              <w:pPr>
                                <w:ind w:firstLine="720"/>
                                <w:jc w:val="both"/>
                                <w:rPr>
                                  <w:szCs w:val="24"/>
                                  <w:lang w:eastAsia="lt-LT"/>
                                </w:rPr>
                              </w:pPr>
                            </w:p>
                          </w:sdtContent>
                        </w:sdt>
                      </w:sdtContent>
                    </w:sdt>
                  </w:sdtContent>
                </w:sdt>
              </w:sdtContent>
            </w:sdt>
            <w:sdt>
              <w:sdtPr>
                <w:alias w:val="2 str."/>
                <w:tag w:val="part_c38a387bc4ba47d580ecc34c5235ba0c"/>
                <w:lock w:val="sdtLocked"/>
                <w:richText/>
              </w:sdtPr>
              <w:sdtContent>
                <w:p w14:paraId="61FFB76A" w14:textId="2726AA74">
                  <w:pPr>
                    <w:ind w:firstLine="720"/>
                    <w:jc w:val="both"/>
                    <w:rPr>
                      <w:b/>
                      <w:szCs w:val="24"/>
                      <w:lang w:eastAsia="lt-LT"/>
                    </w:rPr>
                  </w:pPr>
                  <w:sdt>
                    <w:sdtPr>
                      <w:alias w:val="Numeris"/>
                      <w:tag w:val="nr_c38a387bc4ba47d580ecc34c5235ba0c"/>
                      <w:lock w:val="sdtLocked"/>
                      <w:richText/>
                    </w:sdtPr>
                    <w:sdtContent>
                      <w:r>
                        <w:rPr>
                          <w:b/>
                          <w:szCs w:val="24"/>
                          <w:lang w:eastAsia="lt-LT"/>
                        </w:rPr>
                        <w:t>2</w:t>
                      </w:r>
                    </w:sdtContent>
                  </w:sdt>
                  <w:r>
                    <w:rPr>
                      <w:b/>
                      <w:szCs w:val="24"/>
                      <w:lang w:eastAsia="lt-LT"/>
                    </w:rPr>
                    <w:t xml:space="preserve"> straipsnis. </w:t>
                  </w:r>
                  <w:sdt>
                    <w:sdtPr>
                      <w:alias w:val="Pavadinimas"/>
                      <w:tag w:val="title_c38a387bc4ba47d580ecc34c5235ba0c"/>
                      <w:lock w:val="sdtLocked"/>
                      <w:richText/>
                    </w:sdtPr>
                    <w:sdtContent>
                      <w:r>
                        <w:rPr>
                          <w:b/>
                          <w:szCs w:val="24"/>
                          <w:lang w:eastAsia="lt-LT"/>
                        </w:rPr>
                        <w:t xml:space="preserve">Įstatymo įsigaliojimas ir taikymas </w:t>
                      </w:r>
                    </w:sdtContent>
                  </w:sdt>
                </w:p>
                <w:sdt>
                  <w:sdtPr>
                    <w:alias w:val="2 str. 1 d."/>
                    <w:tag w:val="part_17fa3802ee60423cbb16bc20cf75107a"/>
                    <w:lock w:val="sdtLocked"/>
                    <w:richText/>
                  </w:sdtPr>
                  <w:sdtContent>
                    <w:p w14:paraId="7104B259" w14:textId="22EEF293">
                      <w:pPr>
                        <w:ind w:firstLine="720"/>
                        <w:jc w:val="both"/>
                        <w:rPr>
                          <w:szCs w:val="24"/>
                          <w:lang w:eastAsia="lt-LT"/>
                        </w:rPr>
                      </w:pPr>
                      <w:sdt>
                        <w:sdtPr>
                          <w:alias w:val="Numeris"/>
                          <w:tag w:val="nr_17fa3802ee60423cbb16bc20cf75107a"/>
                          <w:lock w:val="sdtLocked"/>
                          <w:richText/>
                        </w:sdtPr>
                        <w:sdtContent>
                          <w:r>
                            <w:rPr>
                              <w:szCs w:val="24"/>
                              <w:lang w:eastAsia="lt-LT"/>
                            </w:rPr>
                            <w:t>1</w:t>
                          </w:r>
                        </w:sdtContent>
                      </w:sdt>
                      <w:r>
                        <w:rPr>
                          <w:szCs w:val="24"/>
                          <w:lang w:eastAsia="lt-LT"/>
                        </w:rPr>
                        <w:t xml:space="preserve">. Šis įstatymas įsigalioja 2024 m. gegužės 1 d. </w:t>
                      </w:r>
                    </w:p>
                  </w:sdtContent>
                </w:sdt>
                <w:sdt>
                  <w:sdtPr>
                    <w:alias w:val="2 str. 2 d."/>
                    <w:tag w:val="part_dc9392594a7b4b3b9eed6e1d0aca392b"/>
                    <w:lock w:val="sdtLocked"/>
                    <w:richText/>
                  </w:sdtPr>
                  <w:sdtContent>
                    <w:p w14:paraId="5C3AE75B" w14:textId="77777777">
                      <w:pPr>
                        <w:ind w:firstLine="720"/>
                        <w:jc w:val="both"/>
                        <w:rPr>
                          <w:bCs/>
                          <w:szCs w:val="24"/>
                          <w:lang w:eastAsia="lt-LT"/>
                        </w:rPr>
                      </w:pPr>
                      <w:sdt>
                        <w:sdtPr>
                          <w:alias w:val="Numeris"/>
                          <w:tag w:val="nr_dc9392594a7b4b3b9eed6e1d0aca392b"/>
                          <w:lock w:val="sdtLocked"/>
                          <w:richText/>
                        </w:sdtPr>
                        <w:sdtContent>
                          <w:r>
                            <w:rPr>
                              <w:szCs w:val="24"/>
                              <w:lang w:eastAsia="lt-LT"/>
                            </w:rPr>
                            <w:t>2</w:t>
                          </w:r>
                        </w:sdtContent>
                      </w:sdt>
                      <w:r>
                        <w:rPr>
                          <w:szCs w:val="24"/>
                          <w:lang w:eastAsia="lt-LT"/>
                        </w:rPr>
                        <w:t>. Šis įstatymas</w:t>
                      </w:r>
                      <w:r>
                        <w:rPr>
                          <w:bCs/>
                          <w:szCs w:val="24"/>
                          <w:lang w:eastAsia="lt-LT"/>
                        </w:rPr>
                        <w:t xml:space="preserve"> yra taikomas apskaičiuojant ir deklaruojant 2025 metų ir vėlesnių mokestinių laikotarpių pelno mokestį.</w:t>
                      </w:r>
                    </w:p>
                    <w:p w14:paraId="2D111E06" w14:textId="5ACA84F8">
                      <w:pPr>
                        <w:ind w:firstLine="720"/>
                        <w:jc w:val="both"/>
                        <w:rPr>
                          <w:bCs/>
                          <w:szCs w:val="24"/>
                          <w:lang w:eastAsia="lt-LT"/>
                        </w:rPr>
                      </w:pPr>
                    </w:p>
                    <w:p w14:paraId="179C5308" w14:textId="77777777">
                      <w:pPr>
                        <w:ind w:firstLine="720"/>
                        <w:jc w:val="both"/>
                        <w:rPr>
                          <w:szCs w:val="24"/>
                          <w:lang w:eastAsia="lt-LT"/>
                        </w:rPr>
                      </w:pPr>
                    </w:p>
                  </w:sdtContent>
                </w:sdt>
              </w:sdtContent>
            </w:sdt>
          </w:sdtContent>
        </w:sdt>
        <w:sdt>
          <w:sdtPr>
            <w:alias w:val="signatura"/>
            <w:tag w:val="part_f2f01b8fa3f349bb8dd85d3cf19bcec4"/>
            <w:lock w:val="sdtLocked"/>
            <w:richText/>
          </w:sdtPr>
          <w:sdtContent>
            <w:p w14:paraId="7005EF1F" w14:textId="77777777">
              <w:pPr>
                <w:spacing w:line="360" w:lineRule="auto"/>
                <w:ind w:firstLine="720"/>
                <w:jc w:val="both"/>
                <w:rPr>
                  <w:i/>
                  <w:szCs w:val="24"/>
                </w:rPr>
              </w:pPr>
              <w:r>
                <w:rPr>
                  <w:i/>
                  <w:szCs w:val="24"/>
                </w:rPr>
                <w:t>Skelbiu šį Lietuvos Respublikos Seimo priimtą įstatymą.</w:t>
              </w:r>
            </w:p>
            <w:p w14:paraId="40BA2170" w14:textId="77777777">
              <w:pPr>
                <w:spacing w:line="360" w:lineRule="auto"/>
                <w:rPr>
                  <w:szCs w:val="24"/>
                </w:rPr>
              </w:pPr>
            </w:p>
            <w:p w14:paraId="1FD33E3E" w14:textId="44BA2B57">
              <w:pPr>
                <w:tabs>
                  <w:tab w:val="right" w:pos="9356"/>
                </w:tabs>
                <w:rPr>
                  <w:caps/>
                  <w:szCs w:val="24"/>
                </w:rPr>
              </w:pPr>
              <w:r>
                <w:rPr>
                  <w:szCs w:val="24"/>
                </w:rPr>
                <w:t>Respublikos Prezidentas</w:t>
              </w:r>
            </w:p>
            <w:p w14:paraId="3FA1AD77" w14:textId="060798D5">
              <w:pPr>
                <w:tabs>
                  <w:tab w:val="right" w:pos="9356"/>
                </w:tabs>
                <w:rPr>
                  <w:szCs w:val="24"/>
                </w:rPr>
              </w:pPr>
              <w:r>
                <w:rPr>
                  <w:caps/>
                  <w:szCs w:val="24"/>
                </w:rPr>
                <w:tab/>
              </w:r>
            </w:p>
          </w:sdtContent>
        </w:sdt>
      </w:sdtContent>
    </w:sdt>
    <w:sectPr>
      <w:type w:val="continuous"/>
      <w:pgSz w:w="11907" w:h="16840" w:code="9"/>
      <w:pgMar w:top="1134" w:right="851" w:bottom="720"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C7AA69" w14:textId="77777777">
      <w:pPr>
        <w:rPr>
          <w:rFonts w:ascii="TimesLT" w:hAnsi="TimesLT"/>
          <w:lang w:val="en-US"/>
        </w:rPr>
      </w:pPr>
      <w:r>
        <w:rPr>
          <w:rFonts w:ascii="TimesLT" w:hAnsi="TimesLT"/>
          <w:lang w:val="en-US"/>
        </w:rPr>
        <w:separator/>
      </w:r>
    </w:p>
  </w:endnote>
  <w:endnote w:type="continuationSeparator" w:id="0">
    <w:p w14:paraId="62583776" w14:textId="77777777">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Courier New"/>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6DE816"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026D5D80" w14:textId="77777777">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CADDF3" w14:textId="77777777">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415EA0" w14:textId="77777777">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FC79CC" w14:textId="77777777">
      <w:pPr>
        <w:rPr>
          <w:rFonts w:ascii="TimesLT" w:hAnsi="TimesLT"/>
          <w:lang w:val="en-US"/>
        </w:rPr>
      </w:pPr>
      <w:r>
        <w:rPr>
          <w:rFonts w:ascii="TimesLT" w:hAnsi="TimesLT"/>
          <w:lang w:val="en-US"/>
        </w:rPr>
        <w:separator/>
      </w:r>
    </w:p>
  </w:footnote>
  <w:footnote w:type="continuationSeparator" w:id="0">
    <w:p w14:paraId="1E8CF67B" w14:textId="77777777">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8F0BE0"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1BC76379" w14:textId="77777777">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1952E5" w14:textId="7777777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228E146D" w14:textId="77777777">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76BE73"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7C89"/>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6511A4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50492850">
      <w:bodyDiv w:val="1"/>
      <w:marLeft w:val="0"/>
      <w:marRight w:val="0"/>
      <w:marTop w:val="0"/>
      <w:marBottom w:val="0"/>
      <w:divBdr>
        <w:top w:val="none" w:sz="0" w:space="0" w:color="auto"/>
        <w:left w:val="none" w:sz="0" w:space="0" w:color="auto"/>
        <w:bottom w:val="none" w:sz="0" w:space="0" w:color="auto"/>
        <w:right w:val="none" w:sz="0" w:space="0" w:color="auto"/>
      </w:divBdr>
      <w:divsChild>
        <w:div w:id="2140293517">
          <w:marLeft w:val="0"/>
          <w:marRight w:val="0"/>
          <w:marTop w:val="0"/>
          <w:marBottom w:val="0"/>
          <w:divBdr>
            <w:top w:val="none" w:sz="0" w:space="0" w:color="auto"/>
            <w:left w:val="none" w:sz="0" w:space="0" w:color="auto"/>
            <w:bottom w:val="none" w:sz="0" w:space="0" w:color="auto"/>
            <w:right w:val="none" w:sz="0" w:space="0" w:color="auto"/>
          </w:divBdr>
        </w:div>
        <w:div w:id="1148133976">
          <w:marLeft w:val="0"/>
          <w:marRight w:val="0"/>
          <w:marTop w:val="0"/>
          <w:marBottom w:val="0"/>
          <w:divBdr>
            <w:top w:val="none" w:sz="0" w:space="0" w:color="auto"/>
            <w:left w:val="none" w:sz="0" w:space="0" w:color="auto"/>
            <w:bottom w:val="none" w:sz="0" w:space="0" w:color="auto"/>
            <w:right w:val="none" w:sz="0" w:space="0" w:color="auto"/>
          </w:divBdr>
        </w:div>
      </w:divsChild>
    </w:div>
    <w:div w:id="562257455">
      <w:bodyDiv w:val="1"/>
      <w:marLeft w:val="0"/>
      <w:marRight w:val="0"/>
      <w:marTop w:val="0"/>
      <w:marBottom w:val="0"/>
      <w:divBdr>
        <w:top w:val="none" w:sz="0" w:space="0" w:color="auto"/>
        <w:left w:val="none" w:sz="0" w:space="0" w:color="auto"/>
        <w:bottom w:val="none" w:sz="0" w:space="0" w:color="auto"/>
        <w:right w:val="none" w:sz="0" w:space="0" w:color="auto"/>
      </w:divBdr>
      <w:divsChild>
        <w:div w:id="739668254">
          <w:marLeft w:val="0"/>
          <w:marRight w:val="0"/>
          <w:marTop w:val="0"/>
          <w:marBottom w:val="0"/>
          <w:divBdr>
            <w:top w:val="none" w:sz="0" w:space="0" w:color="auto"/>
            <w:left w:val="none" w:sz="0" w:space="0" w:color="auto"/>
            <w:bottom w:val="none" w:sz="0" w:space="0" w:color="auto"/>
            <w:right w:val="none" w:sz="0" w:space="0" w:color="auto"/>
          </w:divBdr>
        </w:div>
        <w:div w:id="1039162008">
          <w:marLeft w:val="0"/>
          <w:marRight w:val="0"/>
          <w:marTop w:val="0"/>
          <w:marBottom w:val="0"/>
          <w:divBdr>
            <w:top w:val="none" w:sz="0" w:space="0" w:color="auto"/>
            <w:left w:val="none" w:sz="0" w:space="0" w:color="auto"/>
            <w:bottom w:val="none" w:sz="0" w:space="0" w:color="auto"/>
            <w:right w:val="none" w:sz="0" w:space="0" w:color="auto"/>
          </w:divBdr>
        </w:div>
      </w:divsChild>
    </w:div>
    <w:div w:id="1015769800">
      <w:bodyDiv w:val="1"/>
      <w:marLeft w:val="0"/>
      <w:marRight w:val="0"/>
      <w:marTop w:val="0"/>
      <w:marBottom w:val="0"/>
      <w:divBdr>
        <w:top w:val="none" w:sz="0" w:space="0" w:color="auto"/>
        <w:left w:val="none" w:sz="0" w:space="0" w:color="auto"/>
        <w:bottom w:val="none" w:sz="0" w:space="0" w:color="auto"/>
        <w:right w:val="none" w:sz="0" w:space="0" w:color="auto"/>
      </w:divBdr>
      <w:divsChild>
        <w:div w:id="167453756">
          <w:marLeft w:val="0"/>
          <w:marRight w:val="0"/>
          <w:marTop w:val="0"/>
          <w:marBottom w:val="0"/>
          <w:divBdr>
            <w:top w:val="none" w:sz="0" w:space="0" w:color="auto"/>
            <w:left w:val="none" w:sz="0" w:space="0" w:color="auto"/>
            <w:bottom w:val="none" w:sz="0" w:space="0" w:color="auto"/>
            <w:right w:val="none" w:sz="0" w:space="0" w:color="auto"/>
          </w:divBdr>
        </w:div>
        <w:div w:id="34112574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B81340FF01DBE478931AE6FF6B6FA8D" ma:contentTypeVersion="22" ma:contentTypeDescription="Create a new document." ma:contentTypeScope="" ma:versionID="13703b6156fb037b96904c9083ec65ea">
  <xsd:schema xmlns:xsd="http://www.w3.org/2001/XMLSchema" xmlns:xs="http://www.w3.org/2001/XMLSchema" xmlns:p="http://schemas.microsoft.com/office/2006/metadata/properties" xmlns:ns2="8a36c7b5-cb88-4a06-81a1-a1b3f01cfc59" xmlns:ns3="1ca1b023-5fcb-4542-8be9-aab2fbe2e3d5" targetNamespace="http://schemas.microsoft.com/office/2006/metadata/properties" ma:root="true" ma:fieldsID="3903c73fb5900ef8c913c58de21819dd" ns2:_="" ns3:_="">
    <xsd:import namespace="8a36c7b5-cb88-4a06-81a1-a1b3f01cfc59"/>
    <xsd:import namespace="1ca1b023-5fcb-4542-8be9-aab2fbe2e3d5"/>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AutoKeyPoints" minOccurs="0"/>
                <xsd:element ref="ns2:MediaServiceKeyPoints" minOccurs="0"/>
                <xsd:element ref="ns2:MediaLengthInSeconds" minOccurs="0"/>
                <xsd:element ref="ns3:TaxCatchAll" minOccurs="0"/>
                <xsd:element ref="ns2:MediaServiceOCR" minOccurs="0"/>
                <xsd:element ref="ns2:lcf76f155ced4ddcb4097134ff3c332f"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36c7b5-cb88-4a06-81a1-a1b3f01cfc5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18" nillable="true" ma:displayName="MediaLengthInSeconds" ma:hidden="true"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f90a7231-cc71-4d06-a101-8d40a72f6c82"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ca1b023-5fcb-4542-8be9-aab2fbe2e3d5"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6b82ba3f-e5a1-43df-9be4-e395c1375a36}" ma:internalName="TaxCatchAll" ma:showField="CatchAllData" ma:web="1ca1b023-5fcb-4542-8be9-aab2fbe2e3d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a36c7b5-cb88-4a06-81a1-a1b3f01cfc59">
      <Terms xmlns="http://schemas.microsoft.com/office/infopath/2007/PartnerControls"/>
    </lcf76f155ced4ddcb4097134ff3c332f>
    <TaxCatchAll xmlns="1ca1b023-5fcb-4542-8be9-aab2fbe2e3d5" xsi:nil="true"/>
  </documentManagement>
</p:properties>
</file>

<file path=customXml/item4.xml><?xml version="1.0" encoding="utf-8"?>
<Parts xmlns="http://lrs.lt/TAIS/DocParts">
  <Part Type="lentele" DocPartId="e4471cf50f01464da195d4dc59a4ea6c" PartId="f88c830e3cea4e07b25e12258273095a">
    <Part Type="skirsnis" Title="LIETUVOS RESPUBLIKOS PELNO MOKESČIO ĮSTATYMO NR. IX-675 58 STRAIPSNIO PAKEITIMO ĮSTATYMAS" DocPartId="f5f8e611d3ab4ce5b869f2b4bb24d6c9" PartId="5df1a4b0992244c1991e8e344b7d23ba">
      <Part Type="straipsnis" Nr="1" Abbr="1 str." Title="58 straipsnio pakeitimas" DocPartId="cfffe5d9e847417eaceb0448d9445d05" PartId="241cc89b282b4f48814522a6f6502241">
        <Part Type="strDalis" Nr="1" Abbr="1 str. 1 d." DocPartId="1ec4c1f7fe8048148d6c9280bdd708c9" PartId="71782f2e21ca4b62a5c3a6585d4cd9e6">
          <Part Type="citata" DocPartId="cd0578e2d93b4c6f88263231475674ee" PartId="9624c87311d74320a021168b016a1fbe">
            <Part Type="strDalis" Nr="16-2" Abbr="16-2 d." DocPartId="be93621007df48fd889b676b4d0dad3b" PartId="947e7ca6cde4499d974fb4017a214fad"/>
          </Part>
        </Part>
        <Part Type="strDalis" Nr="2" Abbr="1 str. 2 d." DocPartId="b878364e0fd84585ae2993ea027c67a3" PartId="1f84da9eb902409cac9e7f62bc0c4b88">
          <Part Type="citata" DocPartId="5c509d8bc3994ea2898ffcba503a0500" PartId="4b7769ea7afa45daa253475b55fdf167">
            <Part Type="strDalis" Nr="16-3" Abbr="16-3 d." DocPartId="b68290ae6abc4d77aa759d90b2315032" PartId="f71dad2908ac4090873b769f43e926d9"/>
          </Part>
        </Part>
      </Part>
      <Part Type="straipsnis" Nr="2" Abbr="2 str." Title="Įstatymo įsigaliojimas ir taikymas" DocPartId="88286c9e537b467d8ab0245f8ad7445d" PartId="c38a387bc4ba47d580ecc34c5235ba0c">
        <Part Type="strDalis" Nr="1" Abbr="2 str. 1 d." DocPartId="c51d517517524c04858a40af3ea4cc4b" PartId="17fa3802ee60423cbb16bc20cf75107a"/>
        <Part Type="strDalis" Nr="2" Abbr="2 str. 2 d." DocPartId="69fb87471b0d4739b387dcee0c073144" PartId="dc9392594a7b4b3b9eed6e1d0aca392b"/>
      </Part>
    </Part>
    <Part Type="signatura" DocPartId="8cd028afb4e64c7a8a7042cd710125a8" PartId="f2f01b8fa3f349bb8dd85d3cf19bcec4"/>
  </Part>
</Parts>
</file>

<file path=customXml/itemProps1.xml><?xml version="1.0" encoding="utf-8"?>
<ds:datastoreItem xmlns:ds="http://schemas.openxmlformats.org/officeDocument/2006/customXml" ds:itemID="{A45BD5DC-B131-4D7A-A672-5C18F67E7D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36c7b5-cb88-4a06-81a1-a1b3f01cfc59"/>
    <ds:schemaRef ds:uri="1ca1b023-5fcb-4542-8be9-aab2fbe2e3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23883F6-288E-40EF-9267-F62F63FCAB32}">
  <ds:schemaRefs>
    <ds:schemaRef ds:uri="http://schemas.microsoft.com/sharepoint/v3/contenttype/forms"/>
  </ds:schemaRefs>
</ds:datastoreItem>
</file>

<file path=customXml/itemProps3.xml><?xml version="1.0" encoding="utf-8"?>
<ds:datastoreItem xmlns:ds="http://schemas.openxmlformats.org/officeDocument/2006/customXml" ds:itemID="{4F860226-ED47-4272-AB50-4E43706046C9}">
  <ds:schemaRefs>
    <ds:schemaRef ds:uri="http://schemas.microsoft.com/office/2006/metadata/properties"/>
    <ds:schemaRef ds:uri="http://schemas.microsoft.com/office/infopath/2007/PartnerControls"/>
    <ds:schemaRef ds:uri="8a36c7b5-cb88-4a06-81a1-a1b3f01cfc59"/>
    <ds:schemaRef ds:uri="1ca1b023-5fcb-4542-8be9-aab2fbe2e3d5"/>
  </ds:schemaRefs>
</ds:datastoreItem>
</file>

<file path=customXml/itemProps4.xml><?xml version="1.0" encoding="utf-8"?>
<ds:datastoreItem xmlns:ds="http://schemas.openxmlformats.org/officeDocument/2006/customXml" ds:itemID="{FADA090D-CECC-4A49-A4E4-B029DA20023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811</Words>
  <Characters>5285</Characters>
  <Application>Microsoft Office Word</Application>
  <DocSecurity>4</DocSecurity>
  <Lines>91</Lines>
  <Paragraphs>18</Paragraphs>
  <ScaleCrop>false</ScaleCrop>
  <Company/>
  <LinksUpToDate>false</LinksUpToDate>
  <CharactersWithSpaces>6078</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2023-09-29T11:04:00Z</dcterms:created>
  <dcterms:modified xsi:type="dcterms:W3CDTF">2023-09-29T11:04:00Z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0x010100FB81340FF01DBE478931AE6FF6B6FA8D</vt:lpwstr>
  </property>
  <property fmtid="{D5CDD505-2E9C-101B-9397-08002B2CF9AE}" pid="3" name="MediaServiceImageTags">
    <vt:lpwstr/>
  </property>
</Properties>
</file>