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d6723dc02a42a98208c55c09f02c1c"/>
        <w:lock w:val="sdtLocked"/>
        <w:richText/>
      </w:sdtPr>
      <w:sdtContent>
        <w:p w14:paraId="17BCAA1B" w14:textId="77777777">
          <w:pPr>
            <w:suppressAutoHyphens/>
            <w:jc w:val="center"/>
            <w:rPr>
              <w:b/>
              <w:szCs w:val="24"/>
              <w:highlight w:val="yellow"/>
            </w:rPr>
          </w:pPr>
          <w:r>
            <w:rPr>
              <w:b/>
              <w:szCs w:val="24"/>
            </w:rPr>
            <w:t>ŠIAULIŲ MIESTO SAVIVALDYBĖS ADMINISTRACIJOS</w:t>
          </w:r>
        </w:p>
        <w:sdt>
          <w:sdtPr>
            <w:alias w:val="skyrius"/>
            <w:tag w:val="part_86289d5ab18a42f8a309844f22433ade"/>
            <w:lock w:val="sdtLocked"/>
            <w:richText/>
          </w:sdtPr>
          <w:sdtContent>
            <w:p w14:paraId="17BCAA1C" w14:textId="472B1613">
              <w:pPr>
                <w:suppressAutoHyphens/>
                <w:jc w:val="center"/>
                <w:rPr>
                  <w:b/>
                  <w:szCs w:val="24"/>
                </w:rPr>
              </w:pPr>
              <w:r>
                <w:rPr>
                  <w:b/>
                  <w:szCs w:val="24"/>
                </w:rPr>
                <w:t>TURTO SKYRIUS</w:t>
              </w:r>
            </w:p>
            <w:p w14:paraId="17BCAA1D" w14:textId="77777777">
              <w:pPr>
                <w:tabs>
                  <w:tab w:val="left" w:pos="851"/>
                </w:tabs>
                <w:suppressAutoHyphens/>
                <w:ind w:hanging="180"/>
                <w:jc w:val="center"/>
                <w:rPr>
                  <w:szCs w:val="24"/>
                </w:rPr>
              </w:pPr>
            </w:p>
            <w:p w14:paraId="2DDB1B26" w14:textId="1F5C0225">
              <w:pPr>
                <w:suppressAutoHyphens/>
                <w:jc w:val="center"/>
                <w:rPr>
                  <w:b/>
                </w:rPr>
              </w:pPr>
              <w:sdt>
                <w:sdtPr>
                  <w:alias w:val="Pavadinimas"/>
                  <w:tag w:val="title_86289d5ab18a42f8a309844f22433ade"/>
                  <w:lock w:val="sdtLocked"/>
                  <w:richText/>
                </w:sdtPr>
                <w:sdtContent>
                  <w:r>
                    <w:rPr>
                      <w:b/>
                      <w:szCs w:val="24"/>
                      <w:lang w:eastAsia="lt-LT"/>
                    </w:rPr>
                    <w:t xml:space="preserve">SPRENDIMO </w:t>
                  </w:r>
                  <w:r>
                    <w:rPr>
                      <w:b/>
                      <w:bCs/>
                      <w:szCs w:val="24"/>
                      <w:lang w:eastAsia="lt-LT"/>
                    </w:rPr>
                    <w:t>„</w:t>
                  </w:r>
                  <w:r>
                    <w:rPr>
                      <w:b/>
                      <w:bCs/>
                      <w:color w:val="000000"/>
                      <w:shd w:val="clear" w:color="auto" w:fill="FFFFFF"/>
                    </w:rPr>
                    <w:t>DĖL</w:t>
                  </w:r>
                  <w:r>
                    <w:rPr>
                      <w:b/>
                      <w:szCs w:val="24"/>
                    </w:rPr>
                    <w:t xml:space="preserve"> 2023 M. BALANDŽIO 11 D. KONCESIJOS SUTARTIES NR. SŽ-718 PAKEITIMO</w:t>
                  </w:r>
                  <w:r>
                    <w:rPr>
                      <w:b/>
                      <w:bCs/>
                      <w:color w:val="000000"/>
                      <w:shd w:val="clear" w:color="auto" w:fill="FFFFFF"/>
                    </w:rPr>
                    <w:t xml:space="preserve"> </w:t>
                  </w:r>
                  <w:r>
                    <w:rPr>
                      <w:b/>
                      <w:caps/>
                      <w:color w:val="000000"/>
                      <w:spacing w:val="-2"/>
                    </w:rPr>
                    <w:t>“</w:t>
                  </w:r>
                </w:sdtContent>
              </w:sdt>
            </w:p>
            <w:p w14:paraId="28B5D125" w14:textId="77777777">
              <w:pPr>
                <w:tabs>
                  <w:tab w:val="left" w:pos="851"/>
                </w:tabs>
                <w:suppressAutoHyphens/>
                <w:jc w:val="center"/>
                <w:rPr>
                  <w:b/>
                  <w:szCs w:val="24"/>
                  <w:lang w:eastAsia="lt-LT"/>
                </w:rPr>
              </w:pPr>
            </w:p>
            <w:sdt>
              <w:sdtPr>
                <w:alias w:val="poskyris"/>
                <w:tag w:val="part_7f92c2c69db7428a8afea15a6f9bfc37"/>
                <w:lock w:val="sdtLocked"/>
                <w:richText/>
              </w:sdtPr>
              <w:sdtContent>
                <w:p w14:paraId="17BCAA1F" w14:textId="77777777">
                  <w:pPr>
                    <w:tabs>
                      <w:tab w:val="left" w:pos="851"/>
                    </w:tabs>
                    <w:suppressAutoHyphens/>
                    <w:jc w:val="center"/>
                    <w:rPr>
                      <w:b/>
                      <w:szCs w:val="24"/>
                      <w:lang w:eastAsia="lt-LT"/>
                    </w:rPr>
                  </w:pPr>
                  <w:sdt>
                    <w:sdtPr>
                      <w:alias w:val="Pavadinimas"/>
                      <w:tag w:val="title_7f92c2c69db7428a8afea15a6f9bfc37"/>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27CB10F9">
                  <w:pPr>
                    <w:tabs>
                      <w:tab w:val="left" w:pos="851"/>
                    </w:tabs>
                    <w:suppressAutoHyphens/>
                    <w:jc w:val="center"/>
                  </w:pPr>
                  <w:r>
                    <w:rPr>
                      <w:szCs w:val="24"/>
                      <w:lang w:eastAsia="lt-LT"/>
                    </w:rPr>
                    <w:t>2024 m. sausio 8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sdtContent>
            </w:sdt>
            <w:sdt>
              <w:sdtPr>
                <w:alias w:val="poskyris"/>
                <w:tag w:val="part_0290da33ad7f483d8ab55b7095158348"/>
                <w:lock w:val="sdtLocked"/>
                <w:richText/>
              </w:sdtPr>
              <w:sdtContent>
                <w:p w14:paraId="17BCAA25" w14:textId="77777777">
                  <w:pPr>
                    <w:tabs>
                      <w:tab w:val="left" w:pos="851"/>
                    </w:tabs>
                    <w:suppressAutoHyphens/>
                    <w:ind w:firstLine="851"/>
                    <w:jc w:val="both"/>
                    <w:rPr>
                      <w:b/>
                      <w:bCs/>
                      <w:szCs w:val="24"/>
                      <w:lang w:eastAsia="lt-LT"/>
                    </w:rPr>
                  </w:pPr>
                  <w:sdt>
                    <w:sdtPr>
                      <w:alias w:val="Pavadinimas"/>
                      <w:tag w:val="title_0290da33ad7f483d8ab55b7095158348"/>
                      <w:lock w:val="sdtLocked"/>
                      <w:richText/>
                    </w:sdtPr>
                    <w:sdtContent>
                      <w:r>
                        <w:rPr>
                          <w:b/>
                          <w:bCs/>
                          <w:szCs w:val="24"/>
                          <w:lang w:eastAsia="lt-LT"/>
                        </w:rPr>
                        <w:t>Parengto sprendimo projekto tikslai ir uždaviniai:</w:t>
                      </w:r>
                    </w:sdtContent>
                  </w:sdt>
                </w:p>
                <w:p w14:paraId="1935E569" w14:textId="3354F7B0">
                  <w:pPr>
                    <w:tabs>
                      <w:tab w:val="left" w:pos="851"/>
                    </w:tabs>
                    <w:suppressAutoHyphens/>
                    <w:ind w:firstLine="851"/>
                    <w:jc w:val="both"/>
                    <w:rPr>
                      <w:bCs/>
                      <w:szCs w:val="24"/>
                      <w:lang w:eastAsia="lt-LT"/>
                    </w:rPr>
                  </w:pPr>
                  <w:r>
                    <w:rPr>
                      <w:bCs/>
                      <w:szCs w:val="24"/>
                      <w:lang w:eastAsia="lt-LT"/>
                    </w:rPr>
                    <w:t xml:space="preserve">Sprendimo tikslas gauti Šiaulių miesto savivaldybės tarybos pritarimą pakeisti  2023 m. balandžio 11 d. Koncesijos sutartį Nr. SŽ-718, tai yra padaryti techninio pobūdžio pakeitimus, patikslinti Koncesijos sutarties šalies pavadinimą, pakeisti Koncesijos sutarties 2.1. ir 2.2.3. papunkčius, kaip numatyta prie sprendimo projekto pridedamame Papildomame susitarime.</w:t>
                  </w:r>
                </w:p>
              </w:sdtContent>
            </w:sdt>
            <w:sdt>
              <w:sdtPr>
                <w:alias w:val="poskyris"/>
                <w:tag w:val="part_0dcb3e7629be43e3a5f2b21e28636829"/>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0dcb3e7629be43e3a5f2b21e28636829"/>
                      <w:lock w:val="sdtLocked"/>
                      <w:richText/>
                    </w:sdtPr>
                    <w:sdtContent>
                      <w:r>
                        <w:rPr>
                          <w:b/>
                          <w:szCs w:val="24"/>
                          <w:lang w:eastAsia="lt-LT"/>
                        </w:rPr>
                        <w:t>Dabartinis sprendimo projekte aptariamų klausimų reguliavimas:</w:t>
                      </w:r>
                    </w:sdtContent>
                  </w:sdt>
                </w:p>
                <w:sdt>
                  <w:sdtPr>
                    <w:alias w:val="1 p."/>
                    <w:tag w:val="part_fbb12c95c1154281ac0402b36141744e"/>
                    <w:lock w:val="sdtLocked"/>
                    <w:richText/>
                  </w:sdtPr>
                  <w:sdtContent>
                    <w:p w14:paraId="2F6840A3" w14:textId="4B42D762">
                      <w:pPr>
                        <w:tabs>
                          <w:tab w:val="left" w:pos="851"/>
                        </w:tabs>
                        <w:suppressAutoHyphens/>
                        <w:ind w:firstLine="851"/>
                        <w:jc w:val="both"/>
                        <w:rPr>
                          <w:szCs w:val="24"/>
                          <w:lang w:eastAsia="lt-LT"/>
                        </w:rPr>
                      </w:pPr>
                      <w:sdt>
                        <w:sdtPr>
                          <w:alias w:val="Numeris"/>
                          <w:tag w:val="nr_fbb12c95c1154281ac0402b36141744e"/>
                          <w:lock w:val="sdtLocked"/>
                          <w:richText/>
                        </w:sdtPr>
                        <w:sdtContent>
                          <w:r>
                            <w:rPr>
                              <w:szCs w:val="24"/>
                              <w:lang w:eastAsia="lt-LT"/>
                            </w:rPr>
                            <w:t>1</w:t>
                          </w:r>
                        </w:sdtContent>
                      </w:sdt>
                      <w:r>
                        <w:rPr>
                          <w:szCs w:val="24"/>
                          <w:lang w:eastAsia="lt-LT"/>
                        </w:rPr>
                        <w:t xml:space="preserve">. Koncesininkas </w:t>
                      </w:r>
                      <w:r>
                        <w:rPr>
                          <w:szCs w:val="24"/>
                        </w:rPr>
                        <w:t>UAB „Šiaulių universali arena“ (buvęs pavadinimas UAB „Sarlita“) 2023 m. birželio 26 d. raštu Nr. 23-06-26/01</w:t>
                      </w:r>
                      <w:r>
                        <w:rPr>
                          <w:szCs w:val="24"/>
                          <w:lang w:eastAsia="lt-LT"/>
                        </w:rPr>
                        <w:t xml:space="preserve"> pateikė informaciją, kad pasikeitė įmonės pavadinimas.</w:t>
                      </w:r>
                    </w:p>
                  </w:sdtContent>
                </w:sdt>
                <w:sdt>
                  <w:sdtPr>
                    <w:alias w:val="2 p."/>
                    <w:tag w:val="part_57ab94ebaefe44b0b79591fa5cd67c66"/>
                    <w:lock w:val="sdtLocked"/>
                    <w:richText/>
                  </w:sdtPr>
                  <w:sdtContent>
                    <w:p w14:paraId="1F017FC1" w14:textId="0A2F5A37">
                      <w:pPr>
                        <w:tabs>
                          <w:tab w:val="left" w:pos="851"/>
                        </w:tabs>
                        <w:suppressAutoHyphens/>
                        <w:ind w:firstLine="851"/>
                        <w:jc w:val="both"/>
                        <w:rPr>
                          <w:szCs w:val="24"/>
                          <w:lang w:eastAsia="lt-LT"/>
                        </w:rPr>
                      </w:pPr>
                      <w:sdt>
                        <w:sdtPr>
                          <w:alias w:val="Numeris"/>
                          <w:tag w:val="nr_57ab94ebaefe44b0b79591fa5cd67c66"/>
                          <w:lock w:val="sdtLocked"/>
                          <w:richText/>
                        </w:sdtPr>
                        <w:sdtContent>
                          <w:r>
                            <w:rPr>
                              <w:szCs w:val="24"/>
                              <w:lang w:eastAsia="lt-LT"/>
                            </w:rPr>
                            <w:t>2</w:t>
                          </w:r>
                        </w:sdtContent>
                      </w:sdt>
                      <w:r>
                        <w:rPr>
                          <w:szCs w:val="24"/>
                          <w:lang w:eastAsia="lt-LT"/>
                        </w:rPr>
                        <w:t>. Koncesininkas UAB „Šiaulių universali arena“ 2023 m. lapkričio 20 d. elektroniniu paštu atkreipė dėmesį, kad Suteikiančioji institucija nėra PVM mokėtoja, todėl mokestis pagal Koncesijos sutartį turi būti nurodytas be PVM.</w:t>
                      </w:r>
                    </w:p>
                  </w:sdtContent>
                </w:sdt>
                <w:sdt>
                  <w:sdtPr>
                    <w:alias w:val="3 p."/>
                    <w:tag w:val="part_b851d42727e7432cba0b9d6c95ff6696"/>
                    <w:lock w:val="sdtLocked"/>
                    <w:richText/>
                  </w:sdtPr>
                  <w:sdtContent>
                    <w:p w14:paraId="6477B4CE" w14:textId="0216B3D1">
                      <w:pPr>
                        <w:shd w:val="clear" w:color="auto" w:fill="FFFFFF"/>
                        <w:ind w:firstLine="844"/>
                        <w:jc w:val="both"/>
                        <w:rPr>
                          <w:color w:val="000000"/>
                          <w:szCs w:val="24"/>
                          <w:lang w:eastAsia="lt-LT"/>
                        </w:rPr>
                      </w:pPr>
                      <w:sdt>
                        <w:sdtPr>
                          <w:alias w:val="Numeris"/>
                          <w:tag w:val="nr_b851d42727e7432cba0b9d6c95ff6696"/>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 xml:space="preserve">Lietuvos Respublikos pridėtinės vertės mokesčio įstatymo 2 straipsnio 8 dalyje numatyta, kad </w:t>
                      </w:r>
                      <w:r>
                        <w:rPr>
                          <w:b/>
                          <w:color w:val="000000"/>
                          <w:szCs w:val="24"/>
                          <w:shd w:val="clear" w:color="auto" w:fill="FFFFFF"/>
                          <w:lang w:eastAsia="lt-LT"/>
                        </w:rPr>
                        <w:t>e</w:t>
                      </w:r>
                      <w:r>
                        <w:rPr>
                          <w:b/>
                          <w:bCs/>
                          <w:color w:val="000000"/>
                          <w:szCs w:val="24"/>
                          <w:lang w:eastAsia="lt-LT"/>
                        </w:rPr>
                        <w:t>konominė veikla</w:t>
                      </w:r>
                      <w:r>
                        <w:rPr>
                          <w:color w:val="000000"/>
                          <w:szCs w:val="24"/>
                          <w:lang w:eastAsia="lt-LT"/>
                        </w:rPr>
                        <w:t xml:space="preserve"> – veikla (įskaitant gamybą, prekybą, paslaugų teikimą, žemės ūkio veiklą, žuvininkystę, kasybą, profesinę veiklą, naudojimąsi turto ir (arba) turtinių teisių turėjimu), kurią vykdant siekiama gauti bet kokių pajamų (neatsižvelgiant į tai, ar ją vykdant siekiama gauti pelno), išskyrus valstybės ir </w:t>
                      </w:r>
                      <w:r>
                        <w:rPr>
                          <w:i/>
                          <w:color w:val="000000"/>
                          <w:szCs w:val="24"/>
                          <w:lang w:eastAsia="lt-LT"/>
                        </w:rPr>
                        <w:t>savivaldybių veiklą</w:t>
                      </w:r>
                      <w:r>
                        <w:rPr>
                          <w:color w:val="000000"/>
                          <w:szCs w:val="24"/>
                          <w:lang w:eastAsia="lt-LT"/>
                        </w:rPr>
                        <w:t>, kaip ji apibrėžta šio straipsnio 38 dalyje, net jeigu už tokią veiklą mokami mokesčiai ar rinkliavos.</w:t>
                      </w:r>
                    </w:p>
                    <w:p w14:paraId="55A49CA3" w14:textId="5FAB1551">
                      <w:pPr>
                        <w:tabs>
                          <w:tab w:val="left" w:pos="851"/>
                        </w:tabs>
                        <w:suppressAutoHyphens/>
                        <w:ind w:firstLine="851"/>
                        <w:jc w:val="both"/>
                        <w:rPr>
                          <w:color w:val="000000"/>
                          <w:szCs w:val="24"/>
                          <w:shd w:val="clear" w:color="auto" w:fill="FFFFFF"/>
                        </w:rPr>
                      </w:pPr>
                      <w:r>
                        <w:rPr>
                          <w:szCs w:val="24"/>
                          <w:lang w:eastAsia="lt-LT"/>
                        </w:rPr>
                        <w:t xml:space="preserve">Vadovaujantis Lietuvos Respublikos koncesijų įstatymo 3 straipsnio 10 dalimi, </w:t>
                      </w:r>
                      <w:r>
                        <w:rPr>
                          <w:b/>
                          <w:bCs/>
                          <w:color w:val="000000"/>
                          <w:szCs w:val="24"/>
                          <w:shd w:val="clear" w:color="auto" w:fill="FFFFFF"/>
                        </w:rPr>
                        <w:t>Koncesija</w:t>
                      </w:r>
                      <w:r>
                        <w:rPr>
                          <w:color w:val="000000"/>
                          <w:szCs w:val="24"/>
                          <w:shd w:val="clear" w:color="auto" w:fill="FFFFFF"/>
                        </w:rPr>
                        <w:t xml:space="preserve"> – suteikiančiosios institucijos koncesininkui pagal šį įstatymą ir sudaromą sutartį </w:t>
                      </w:r>
                      <w:r>
                        <w:rPr>
                          <w:i/>
                          <w:color w:val="000000"/>
                          <w:szCs w:val="24"/>
                          <w:shd w:val="clear" w:color="auto" w:fill="FFFFFF"/>
                        </w:rPr>
                        <w:t>suteikiamas leidimas vykdyti ekonominę veiklą</w:t>
                      </w:r>
                      <w:r>
                        <w:rPr>
                          <w:color w:val="000000"/>
                          <w:szCs w:val="24"/>
                          <w:shd w:val="clear" w:color="auto" w:fill="FFFFFF"/>
                        </w:rPr>
                        <w:t xml:space="preserve">,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 Taigi taip </w:t>
                      </w:r>
                      <w:r>
                        <w:rPr>
                          <w:i/>
                          <w:color w:val="000000"/>
                          <w:szCs w:val="24"/>
                          <w:shd w:val="clear" w:color="auto" w:fill="FFFFFF"/>
                        </w:rPr>
                        <w:t>Savivaldybė suteikia Koncesininkui teisę pagal Koncesijos sutartį vykdyti atitinkamą veiklą ir tam tikslui suteikia infrastruktūros objektą ir kitą turtą ir toks turto perdavimas PVM tikslais nelaikomas prekių teikimu ar paslaugų teikimu, nes neatitinka PVM objekto sąlygų</w:t>
                      </w:r>
                      <w:r>
                        <w:rPr>
                          <w:color w:val="000000"/>
                          <w:szCs w:val="24"/>
                          <w:shd w:val="clear" w:color="auto" w:fill="FFFFFF"/>
                        </w:rPr>
                        <w:t>.</w:t>
                      </w:r>
                    </w:p>
                  </w:sdtContent>
                </w:sdt>
                <w:sdt>
                  <w:sdtPr>
                    <w:alias w:val="4 p."/>
                    <w:tag w:val="part_34af8c273cea4acdb0dbc0edd518f1e4"/>
                    <w:lock w:val="sdtLocked"/>
                    <w:richText/>
                  </w:sdtPr>
                  <w:sdtContent>
                    <w:p w14:paraId="3BFD164B" w14:textId="2402EF6C">
                      <w:pPr>
                        <w:tabs>
                          <w:tab w:val="left" w:pos="851"/>
                        </w:tabs>
                        <w:suppressAutoHyphens/>
                        <w:ind w:firstLine="851"/>
                        <w:jc w:val="both"/>
                      </w:pPr>
                      <w:sdt>
                        <w:sdtPr>
                          <w:alias w:val="Numeris"/>
                          <w:tag w:val="nr_34af8c273cea4acdb0dbc0edd518f1e4"/>
                          <w:lock w:val="sdtLocked"/>
                          <w:richText/>
                        </w:sdtPr>
                        <w:sdtContent>
                          <w:r>
                            <w:rPr>
                              <w:color w:val="000000"/>
                              <w:szCs w:val="24"/>
                              <w:shd w:val="clear" w:color="auto" w:fill="FFFFFF"/>
                            </w:rPr>
                            <w:t>4</w:t>
                          </w:r>
                        </w:sdtContent>
                      </w:sdt>
                      <w:r>
                        <w:rPr>
                          <w:color w:val="000000"/>
                          <w:szCs w:val="24"/>
                          <w:shd w:val="clear" w:color="auto" w:fill="FFFFFF"/>
                        </w:rPr>
                        <w:t xml:space="preserve">. Suteikiančioji institucija Koncesijos konkurso sąlygose reikalavo, kad Koncesininkas pateiktų Mokesčio dydį su PVM ir be PVM. Šią pareigą Koncesininkas įvykdė ir nurodė savo 2023 m. balandžio 3 d. galutiniame pasiūlyme </w:t>
                      </w:r>
                      <w:r>
                        <w:t>Nr. 2023/04/03-01GP: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3542"/>
                        <w:gridCol w:w="2265"/>
                        <w:gridCol w:w="2266"/>
                      </w:tblGrid>
                      <w:tr w14:paraId="4583D2E6" w14:textId="77777777">
                        <w:tc>
                          <w:tcPr>
                            <w:tcW w:w="988" w:type="dxa"/>
                          </w:tcPr>
                          <w:p w14:paraId="0C34AEA2" w14:textId="4413AEE0">
                            <w:pPr>
                              <w:tabs>
                                <w:tab w:val="left" w:pos="851"/>
                              </w:tabs>
                              <w:suppressAutoHyphens/>
                              <w:jc w:val="both"/>
                              <w:rPr>
                                <w:b/>
                                <w:color w:val="000000"/>
                                <w:szCs w:val="24"/>
                                <w:shd w:val="clear" w:color="auto" w:fill="FFFFFF"/>
                              </w:rPr>
                            </w:pPr>
                            <w:r>
                              <w:rPr>
                                <w:b/>
                              </w:rPr>
                              <w:t xml:space="preserve">Eil. Nr. </w:t>
                            </w:r>
                          </w:p>
                        </w:tc>
                        <w:tc>
                          <w:tcPr>
                            <w:tcW w:w="3542" w:type="dxa"/>
                          </w:tcPr>
                          <w:p w14:paraId="5C1C2C81" w14:textId="4228A9E8">
                            <w:pPr>
                              <w:tabs>
                                <w:tab w:val="left" w:pos="851"/>
                              </w:tabs>
                              <w:suppressAutoHyphens/>
                              <w:jc w:val="both"/>
                              <w:rPr>
                                <w:b/>
                                <w:color w:val="000000"/>
                                <w:szCs w:val="24"/>
                                <w:shd w:val="clear" w:color="auto" w:fill="FFFFFF"/>
                              </w:rPr>
                            </w:pPr>
                          </w:p>
                        </w:tc>
                        <w:tc>
                          <w:tcPr>
                            <w:tcW w:w="2265" w:type="dxa"/>
                          </w:tcPr>
                          <w:p w14:paraId="3FE43EC9" w14:textId="19B1B761">
                            <w:pPr>
                              <w:tabs>
                                <w:tab w:val="left" w:pos="851"/>
                              </w:tabs>
                              <w:suppressAutoHyphens/>
                              <w:jc w:val="both"/>
                              <w:rPr>
                                <w:b/>
                                <w:color w:val="000000"/>
                                <w:szCs w:val="24"/>
                                <w:shd w:val="clear" w:color="auto" w:fill="FFFFFF"/>
                              </w:rPr>
                            </w:pPr>
                            <w:r>
                              <w:rPr>
                                <w:b/>
                              </w:rPr>
                              <w:t xml:space="preserve">Mokestis be PVM, Eur </w:t>
                            </w:r>
                          </w:p>
                        </w:tc>
                        <w:tc>
                          <w:tcPr>
                            <w:tcW w:w="2266" w:type="dxa"/>
                          </w:tcPr>
                          <w:p w14:paraId="32496A67" w14:textId="5276AAA1">
                            <w:pPr>
                              <w:tabs>
                                <w:tab w:val="left" w:pos="851"/>
                              </w:tabs>
                              <w:suppressAutoHyphens/>
                              <w:jc w:val="both"/>
                              <w:rPr>
                                <w:b/>
                                <w:color w:val="000000"/>
                                <w:szCs w:val="24"/>
                                <w:shd w:val="clear" w:color="auto" w:fill="FFFFFF"/>
                              </w:rPr>
                            </w:pPr>
                            <w:r>
                              <w:rPr>
                                <w:b/>
                              </w:rPr>
                              <w:t>Mokestis su PVM, Eur</w:t>
                            </w:r>
                          </w:p>
                        </w:tc>
                      </w:tr>
                      <w:tr w14:paraId="3184AB74" w14:textId="77777777">
                        <w:tc>
                          <w:tcPr>
                            <w:tcW w:w="988" w:type="dxa"/>
                          </w:tcPr>
                          <w:p w14:paraId="6D3EA774" w14:textId="77777777">
                            <w:pPr>
                              <w:tabs>
                                <w:tab w:val="left" w:pos="851"/>
                              </w:tabs>
                              <w:suppressAutoHyphens/>
                              <w:jc w:val="both"/>
                              <w:rPr>
                                <w:color w:val="000000"/>
                                <w:szCs w:val="24"/>
                                <w:shd w:val="clear" w:color="auto" w:fill="FFFFFF"/>
                              </w:rPr>
                            </w:pPr>
                          </w:p>
                        </w:tc>
                        <w:tc>
                          <w:tcPr>
                            <w:tcW w:w="3542" w:type="dxa"/>
                          </w:tcPr>
                          <w:p w14:paraId="17AB0E8B" w14:textId="7D8F2148">
                            <w:pPr>
                              <w:tabs>
                                <w:tab w:val="left" w:pos="851"/>
                              </w:tabs>
                              <w:suppressAutoHyphens/>
                              <w:jc w:val="both"/>
                              <w:rPr>
                                <w:color w:val="000000"/>
                                <w:szCs w:val="24"/>
                                <w:shd w:val="clear" w:color="auto" w:fill="FFFFFF"/>
                              </w:rPr>
                            </w:pPr>
                            <w:r>
                              <w:t>Mokestis (suma per mėnesį)</w:t>
                            </w:r>
                          </w:p>
                        </w:tc>
                        <w:tc>
                          <w:tcPr>
                            <w:tcW w:w="2265" w:type="dxa"/>
                          </w:tcPr>
                          <w:p w14:paraId="1859B8A6" w14:textId="75BAFB88">
                            <w:pPr>
                              <w:tabs>
                                <w:tab w:val="left" w:pos="851"/>
                              </w:tabs>
                              <w:suppressAutoHyphens/>
                              <w:jc w:val="both"/>
                              <w:rPr>
                                <w:color w:val="000000"/>
                                <w:szCs w:val="24"/>
                                <w:shd w:val="clear" w:color="auto" w:fill="FFFFFF"/>
                              </w:rPr>
                            </w:pPr>
                            <w:r>
                              <w:t>4 166,67</w:t>
                            </w:r>
                          </w:p>
                        </w:tc>
                        <w:tc>
                          <w:tcPr>
                            <w:tcW w:w="2266" w:type="dxa"/>
                          </w:tcPr>
                          <w:p w14:paraId="450D7D17" w14:textId="4AAFA8F5">
                            <w:pPr>
                              <w:tabs>
                                <w:tab w:val="left" w:pos="851"/>
                              </w:tabs>
                              <w:suppressAutoHyphens/>
                              <w:jc w:val="both"/>
                              <w:rPr>
                                <w:color w:val="000000"/>
                                <w:szCs w:val="24"/>
                                <w:shd w:val="clear" w:color="auto" w:fill="FFFFFF"/>
                              </w:rPr>
                            </w:pPr>
                            <w:r>
                              <w:t>5 041,67</w:t>
                            </w:r>
                          </w:p>
                        </w:tc>
                      </w:tr>
                      <w:tr w14:paraId="40567288" w14:textId="77777777">
                        <w:tc>
                          <w:tcPr>
                            <w:tcW w:w="988" w:type="dxa"/>
                          </w:tcPr>
                          <w:p w14:paraId="49B261A6" w14:textId="77777777">
                            <w:pPr>
                              <w:tabs>
                                <w:tab w:val="left" w:pos="851"/>
                              </w:tabs>
                              <w:suppressAutoHyphens/>
                              <w:jc w:val="both"/>
                              <w:rPr>
                                <w:color w:val="000000"/>
                                <w:szCs w:val="24"/>
                                <w:shd w:val="clear" w:color="auto" w:fill="FFFFFF"/>
                              </w:rPr>
                            </w:pPr>
                          </w:p>
                        </w:tc>
                        <w:tc>
                          <w:tcPr>
                            <w:tcW w:w="3542" w:type="dxa"/>
                          </w:tcPr>
                          <w:p w14:paraId="5B58F558" w14:textId="36389F80">
                            <w:pPr>
                              <w:tabs>
                                <w:tab w:val="left" w:pos="851"/>
                              </w:tabs>
                              <w:suppressAutoHyphens/>
                              <w:jc w:val="both"/>
                              <w:rPr>
                                <w:color w:val="000000"/>
                                <w:szCs w:val="24"/>
                                <w:shd w:val="clear" w:color="auto" w:fill="FFFFFF"/>
                              </w:rPr>
                            </w:pPr>
                            <w:r>
                              <w:t>Mokestis (viso Sutarties laikotarpio suma)</w:t>
                            </w:r>
                          </w:p>
                        </w:tc>
                        <w:tc>
                          <w:tcPr>
                            <w:tcW w:w="2265" w:type="dxa"/>
                          </w:tcPr>
                          <w:p w14:paraId="7EC91B37" w14:textId="5CF06D13">
                            <w:pPr>
                              <w:tabs>
                                <w:tab w:val="left" w:pos="851"/>
                              </w:tabs>
                              <w:suppressAutoHyphens/>
                              <w:jc w:val="both"/>
                              <w:rPr>
                                <w:color w:val="000000"/>
                                <w:szCs w:val="24"/>
                                <w:shd w:val="clear" w:color="auto" w:fill="FFFFFF"/>
                              </w:rPr>
                            </w:pPr>
                            <w:r>
                              <w:t>250 000,17</w:t>
                            </w:r>
                          </w:p>
                        </w:tc>
                        <w:tc>
                          <w:tcPr>
                            <w:tcW w:w="2266" w:type="dxa"/>
                          </w:tcPr>
                          <w:p w14:paraId="0425FC8D" w14:textId="05C2A2F7">
                            <w:pPr>
                              <w:tabs>
                                <w:tab w:val="left" w:pos="851"/>
                              </w:tabs>
                              <w:suppressAutoHyphens/>
                              <w:jc w:val="both"/>
                              <w:rPr>
                                <w:color w:val="000000"/>
                                <w:szCs w:val="24"/>
                                <w:shd w:val="clear" w:color="auto" w:fill="FFFFFF"/>
                              </w:rPr>
                            </w:pPr>
                            <w:r>
                              <w:t>302 500,20</w:t>
                            </w:r>
                          </w:p>
                        </w:tc>
                      </w:tr>
                    </w:tbl>
                    <w:p w14:paraId="38C82849" w14:textId="2C5C3140">
                      <w:pPr>
                        <w:tabs>
                          <w:tab w:val="left" w:pos="851"/>
                        </w:tabs>
                        <w:suppressAutoHyphens/>
                        <w:ind w:firstLine="851"/>
                        <w:jc w:val="both"/>
                        <w:rPr>
                          <w:szCs w:val="24"/>
                          <w:lang w:eastAsia="lt-LT"/>
                        </w:rPr>
                      </w:pPr>
                    </w:p>
                  </w:sdtContent>
                </w:sdt>
              </w:sdtContent>
            </w:sdt>
            <w:sdt>
              <w:sdtPr>
                <w:alias w:val="poskyris"/>
                <w:tag w:val="part_c84c548e937c4ca695a2fe6f61e1b561"/>
                <w:lock w:val="sdtLocked"/>
                <w:richText/>
              </w:sdtPr>
              <w:sdtContent>
                <w:p w14:paraId="4CB3B3F3" w14:textId="2F4DA2E7">
                  <w:pPr>
                    <w:suppressAutoHyphens/>
                    <w:ind w:left="720"/>
                    <w:rPr>
                      <w:b/>
                      <w:szCs w:val="24"/>
                      <w:lang w:eastAsia="lt-LT"/>
                    </w:rPr>
                  </w:pPr>
                  <w:sdt>
                    <w:sdtPr>
                      <w:alias w:val="Pavadinimas"/>
                      <w:tag w:val="title_c84c548e937c4ca695a2fe6f61e1b561"/>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rPr>
                    <w:t>Nenumatoma</w:t>
                  </w:r>
                </w:p>
              </w:sdtContent>
            </w:sdt>
            <w:sdt>
              <w:sdtPr>
                <w:alias w:val="poskyris"/>
                <w:tag w:val="part_8fe83acf1d8141a1ae82847a12b7f718"/>
                <w:lock w:val="sdtLocked"/>
                <w:richText/>
              </w:sdtPr>
              <w:sdtContent>
                <w:p w14:paraId="17BCAA39" w14:textId="7183146E">
                  <w:pPr>
                    <w:tabs>
                      <w:tab w:val="left" w:pos="697"/>
                    </w:tabs>
                    <w:suppressAutoHyphens/>
                    <w:ind w:firstLine="851"/>
                    <w:jc w:val="both"/>
                    <w:rPr>
                      <w:szCs w:val="24"/>
                    </w:rPr>
                  </w:pPr>
                  <w:sdt>
                    <w:sdtPr>
                      <w:alias w:val="Pavadinimas"/>
                      <w:tag w:val="title_8fe83acf1d8141a1ae82847a12b7f718"/>
                      <w:lock w:val="sdtLocked"/>
                      <w:richText/>
                    </w:sdtPr>
                    <w:sdtContent>
                      <w:r>
                        <w:rPr>
                          <w:b/>
                          <w:szCs w:val="24"/>
                          <w:lang w:eastAsia="lt-LT"/>
                        </w:rPr>
                        <w:t>Priėmus sprendimą, galimos pasekmės:</w:t>
                      </w:r>
                    </w:sdtContent>
                  </w:sdt>
                </w:p>
                <w:p w14:paraId="17BCAA3A" w14:textId="39C23359">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Priėmus sprendimą </w:t>
                  </w:r>
                  <w:r>
                    <w:rPr>
                      <w:color w:val="000000"/>
                    </w:rPr>
                    <w:t>Koncesijos sutarties vykdymas taps aiškesnis ir teisine prasme apibrėžtas. Suteikiančiajai institucijai nesant PVM mokėtoja PVM Koncesininko mokamam mokesčiui netaikomas, o jei toks statusas atsirastų, tada PVM būtų taikomas. Atitinkamai Koncesininkui bus teikiami ir finansiniai dokumentai, tai yra sąskaitos faktūros arba PVM sąskaitos faktūros.</w:t>
                  </w:r>
                </w:p>
              </w:sdtContent>
            </w:sdt>
            <w:sdt>
              <w:sdtPr>
                <w:alias w:val="poskyris"/>
                <w:tag w:val="part_7ed0bb4e0448488fa83ded3dc4bb51a9"/>
                <w:lock w:val="sdtLocked"/>
                <w:richText/>
              </w:sdtPr>
              <w:sdtContent>
                <w:p w14:paraId="17BCAA3B" w14:textId="77777777">
                  <w:pPr>
                    <w:tabs>
                      <w:tab w:val="left" w:pos="-1701"/>
                      <w:tab w:val="left" w:pos="851"/>
                    </w:tabs>
                    <w:suppressAutoHyphens/>
                    <w:ind w:firstLine="851"/>
                    <w:jc w:val="both"/>
                    <w:rPr>
                      <w:szCs w:val="24"/>
                    </w:rPr>
                  </w:pPr>
                  <w:sdt>
                    <w:sdtPr>
                      <w:alias w:val="Pavadinimas"/>
                      <w:tag w:val="title_7ed0bb4e0448488fa83ded3dc4bb51a9"/>
                      <w:lock w:val="sdtLocked"/>
                      <w:richText/>
                    </w:sdtPr>
                    <w:sdtContent>
                      <w:r>
                        <w:rPr>
                          <w:b/>
                          <w:bCs/>
                          <w:spacing w:val="-6"/>
                          <w:szCs w:val="24"/>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Cs w:val="24"/>
                    </w:rPr>
                  </w:pPr>
                  <w:r>
                    <w:rPr>
                      <w:szCs w:val="24"/>
                    </w:rPr>
                    <w:t>Nekeičiami.</w:t>
                  </w:r>
                </w:p>
              </w:sdtContent>
            </w:sdt>
            <w:sdt>
              <w:sdtPr>
                <w:alias w:val="poskyris"/>
                <w:tag w:val="part_cffc3fc3c7654f809e174807873a1e08"/>
                <w:lock w:val="sdtLocked"/>
                <w:richText/>
              </w:sdtPr>
              <w:sdtContent>
                <w:p w14:paraId="65FE530A" w14:textId="77777777">
                  <w:pPr>
                    <w:tabs>
                      <w:tab w:val="left" w:pos="570"/>
                    </w:tabs>
                    <w:suppressAutoHyphens/>
                    <w:ind w:firstLine="851"/>
                    <w:jc w:val="both"/>
                    <w:rPr>
                      <w:rFonts w:eastAsia="Tahoma"/>
                      <w:szCs w:val="24"/>
                    </w:rPr>
                  </w:pPr>
                  <w:sdt>
                    <w:sdtPr>
                      <w:alias w:val="Pavadinimas"/>
                      <w:tag w:val="title_cffc3fc3c7654f809e174807873a1e08"/>
                      <w:lock w:val="sdtLocked"/>
                      <w:richText/>
                    </w:sdtPr>
                    <w:sdtContent>
                      <w:r>
                        <w:rPr>
                          <w:b/>
                          <w:szCs w:val="24"/>
                        </w:rPr>
                        <w:t>Sprendimui įgyvendinti reikalingi priimti papildomi teisės aktai:</w:t>
                      </w:r>
                      <w:r>
                        <w:rPr>
                          <w:rFonts w:eastAsia="Tahoma"/>
                          <w:szCs w:val="24"/>
                        </w:rPr>
                        <w:t xml:space="preserve"> </w:t>
                      </w:r>
                    </w:sdtContent>
                  </w:sdt>
                </w:p>
                <w:p w14:paraId="17BCAA3D" w14:textId="2E0D6985">
                  <w:pPr>
                    <w:tabs>
                      <w:tab w:val="left" w:pos="570"/>
                    </w:tabs>
                    <w:suppressAutoHyphens/>
                    <w:ind w:firstLine="851"/>
                    <w:jc w:val="both"/>
                    <w:rPr>
                      <w:szCs w:val="24"/>
                    </w:rPr>
                  </w:pPr>
                  <w:r>
                    <w:rPr>
                      <w:szCs w:val="24"/>
                    </w:rPr>
                    <w:t>Nereikalingi.</w:t>
                  </w:r>
                </w:p>
              </w:sdtContent>
            </w:sdt>
            <w:sdt>
              <w:sdtPr>
                <w:alias w:val="poskyris"/>
                <w:tag w:val="part_d194ad4bd2684339abf9e03a3d269ab3"/>
                <w:lock w:val="sdtLocked"/>
                <w:richText/>
              </w:sdtPr>
              <w:sdtContent>
                <w:p w14:paraId="5A91D94D" w14:textId="77777777">
                  <w:pPr>
                    <w:tabs>
                      <w:tab w:val="left" w:pos="570"/>
                    </w:tabs>
                    <w:suppressAutoHyphens/>
                    <w:ind w:firstLine="851"/>
                    <w:jc w:val="both"/>
                    <w:rPr>
                      <w:rFonts w:eastAsia="Tahoma"/>
                      <w:szCs w:val="24"/>
                    </w:rPr>
                  </w:pPr>
                  <w:sdt>
                    <w:sdtPr>
                      <w:alias w:val="Pavadinimas"/>
                      <w:tag w:val="title_d194ad4bd2684339abf9e03a3d269ab3"/>
                      <w:lock w:val="sdtLocked"/>
                      <w:richText/>
                    </w:sdtPr>
                    <w:sdtContent>
                      <w:r>
                        <w:rPr>
                          <w:b/>
                          <w:szCs w:val="24"/>
                        </w:rPr>
                        <w:t>Sprendimui įgyvendinti reikalingos lėšos:</w:t>
                      </w:r>
                      <w:r>
                        <w:rPr>
                          <w:rFonts w:eastAsia="Tahoma"/>
                          <w:szCs w:val="24"/>
                        </w:rPr>
                        <w:t xml:space="preserve"> </w:t>
                      </w:r>
                    </w:sdtContent>
                  </w:sdt>
                </w:p>
                <w:p w14:paraId="17BCAA3E" w14:textId="5ABF7F57">
                  <w:pPr>
                    <w:tabs>
                      <w:tab w:val="left" w:pos="570"/>
                    </w:tabs>
                    <w:suppressAutoHyphens/>
                    <w:ind w:firstLine="851"/>
                    <w:jc w:val="both"/>
                    <w:rPr>
                      <w:rFonts w:eastAsia="Tahoma"/>
                      <w:szCs w:val="24"/>
                    </w:rPr>
                  </w:pPr>
                  <w:r>
                    <w:rPr>
                      <w:rFonts w:eastAsia="Tahoma"/>
                      <w:szCs w:val="24"/>
                    </w:rPr>
                    <w:t>Nereikalingos.</w:t>
                  </w:r>
                </w:p>
                <w:p w14:paraId="0E5BCDAF" w14:textId="6A38AA0E">
                  <w:pPr>
                    <w:tabs>
                      <w:tab w:val="left" w:pos="570"/>
                    </w:tabs>
                    <w:suppressAutoHyphens/>
                    <w:ind w:firstLine="851"/>
                    <w:jc w:val="both"/>
                    <w:rPr>
                      <w:szCs w:val="24"/>
                    </w:rPr>
                  </w:pPr>
                  <w:r>
                    <w:rPr>
                      <w:b/>
                    </w:rPr>
                    <w:t>Sprendimo projekto antikorupcinis vertinimas.</w:t>
                  </w:r>
                  <w:r>
                    <w:t xml:space="preserve"> Neatliekamas, nes neapima nei vienos Korupcijos prevencijos įstatyme numatytos 8 straipsnio 1 dalyje numatytos sąlygos.</w:t>
                  </w:r>
                </w:p>
              </w:sdtContent>
            </w:sdt>
            <w:sdt>
              <w:sdtPr>
                <w:alias w:val="poskyris"/>
                <w:tag w:val="part_74b5ff6a81454cf893ec01986bfb47aa"/>
                <w:lock w:val="sdtLocked"/>
                <w:richText/>
              </w:sdtPr>
              <w:sdtContent>
                <w:p w14:paraId="2D619BCB" w14:textId="77777777">
                  <w:pPr>
                    <w:suppressAutoHyphens/>
                    <w:ind w:firstLine="850"/>
                    <w:jc w:val="both"/>
                    <w:rPr>
                      <w:b/>
                      <w:szCs w:val="24"/>
                    </w:rPr>
                  </w:pPr>
                  <w:sdt>
                    <w:sdtPr>
                      <w:alias w:val="Pavadinimas"/>
                      <w:tag w:val="title_74b5ff6a81454cf893ec01986bfb47aa"/>
                      <w:lock w:val="sdtLocked"/>
                      <w:richText/>
                    </w:sdtPr>
                    <w:sdtContent>
                      <w:r>
                        <w:rPr>
                          <w:b/>
                          <w:szCs w:val="24"/>
                        </w:rPr>
                        <w:t>Sprendimo projekto numatomo teisinio reguliavimo poveikio vertinimas:</w:t>
                      </w:r>
                    </w:sdtContent>
                  </w:sdt>
                </w:p>
                <w:p w14:paraId="17BCAA40" w14:textId="1F4185E4">
                  <w:pPr>
                    <w:suppressAutoHyphens/>
                    <w:ind w:firstLine="850"/>
                    <w:jc w:val="both"/>
                    <w:rPr>
                      <w:szCs w:val="24"/>
                    </w:rPr>
                  </w:pPr>
                  <w:r>
                    <w:rPr>
                      <w:szCs w:val="24"/>
                    </w:rPr>
                    <w:t>Numatomo teisinio poveikio vertinimas neatliekamas.</w:t>
                  </w:r>
                </w:p>
                <w:p w14:paraId="17BCAA41" w14:textId="6328ADE3">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administracijos Turto skyriaus vedėja Violeta Tylenienė, Tel. 596290</w:t>
                  </w:r>
                </w:p>
                <w:p w14:paraId="2695D59A" w14:textId="3A82ED8A">
                  <w:pPr>
                    <w:tabs>
                      <w:tab w:val="left" w:pos="570"/>
                    </w:tabs>
                    <w:suppressAutoHyphens/>
                    <w:ind w:firstLine="851"/>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2b1d1ae96f9f40378f3f864c217e0c2d"/>
            <w:lock w:val="sdtLocked"/>
            <w:richText/>
          </w:sdtPr>
          <w:sdtContent>
            <w:p w14:paraId="17BCAA43" w14:textId="003C6259">
              <w:pPr>
                <w:tabs>
                  <w:tab w:val="left" w:pos="697"/>
                </w:tabs>
                <w:suppressAutoHyphens/>
                <w:spacing w:line="276" w:lineRule="auto"/>
                <w:jc w:val="both"/>
                <w:rPr>
                  <w:color w:val="000000"/>
                  <w:szCs w:val="24"/>
                </w:rPr>
              </w:pPr>
              <w:r>
                <w:rPr>
                  <w:color w:val="000000"/>
                  <w:szCs w:val="24"/>
                </w:rPr>
                <w:t xml:space="preserve">Vedėja                                                                                                                   Violeta Tylenienė</w:t>
              </w:r>
            </w:p>
          </w:sdtContent>
        </w:sdt>
      </w:sdtContent>
    </w:sdt>
    <w:sectPr>
      <w:headerReference w:type="default" r:id="rId6"/>
      <w:footerReference w:type="default" r:id="rId7"/>
      <w:pgSz w:w="11906" w:h="16838"/>
      <w:pgMar w:top="1134" w:right="1134" w:bottom="709"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276E0" w14:textId="77777777">
      <w:pPr>
        <w:suppressAutoHyphens/>
      </w:pPr>
      <w:r>
        <w:separator/>
      </w:r>
    </w:p>
  </w:endnote>
  <w:endnote w:type="continuationSeparator" w:id="0">
    <w:p w14:paraId="5842EDB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1E5EAF" w14:textId="77777777">
      <w:pPr>
        <w:suppressAutoHyphens/>
      </w:pPr>
      <w:r>
        <w:separator/>
      </w:r>
    </w:p>
  </w:footnote>
  <w:footnote w:type="continuationSeparator" w:id="0">
    <w:p w14:paraId="39D10CF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eb085a51704584b2204e7f5920255e" PartId="e3d6723dc02a42a98208c55c09f02c1c">
    <Part Type="skyrius" Nr="999" Title="SPRENDIMO „DĖL 2023 M. BALANDŽIO 11 D. KONCESIJOS SUTARTIES NR. SŽ-718 PAKEITIMO “" DocPartId="86848ad9fa984c79937700ac21398081" PartId="86289d5ab18a42f8a309844f22433ade">
      <Part Type="poskyris" Title="AIŠKINAMASIS RAŠTAS" DocPartId="daeb915cb7ac454aa32142aae00d0f2c" PartId="7f92c2c69db7428a8afea15a6f9bfc37"/>
      <Part Type="poskyris" Title="Parengto sprendimo projekto tikslai ir uždaviniai:" DocPartId="0d99e0d6e10443109b739443e299e478" PartId="0290da33ad7f483d8ab55b7095158348"/>
      <Part Type="poskyris" Title="Dabartinis sprendimo projekte aptariamų klausimų reguliavimas:" DocPartId="41656591ea6d4a52832a0635d5047dcd" PartId="0dcb3e7629be43e3a5f2b21e28636829">
        <Part Type="punktas" Nr="1" Abbr="1 p." DocPartId="14ca8315dd7845028c564b77fa2acc39" PartId="fbb12c95c1154281ac0402b36141744e"/>
        <Part Type="punktas" Nr="2" Abbr="2 p." DocPartId="f51408061bef44ca9bb9416ab88114b9" PartId="57ab94ebaefe44b0b79591fa5cd67c66"/>
        <Part Type="punktas" Nr="3" Abbr="3 p." DocPartId="2a105a0ccc1a45509dc54b9b068e7ac7" PartId="b851d42727e7432cba0b9d6c95ff6696"/>
        <Part Type="punktas" Nr="4" Abbr="4 p." DocPartId="c02dc4cab5e14f2cb15be9344cc315d4" PartId="34af8c273cea4acdb0dbc0edd518f1e4"/>
      </Part>
      <Part Type="poskyris" Title="Sprendimo projekte numatytos naujos teisinio reglamentavimo nuostatos:" DocPartId="33d3ee72e83b46f8ab40c9ecd14d09fc" PartId="c84c548e937c4ca695a2fe6f61e1b561"/>
      <Part Type="poskyris" Title="Priėmus sprendimą, galimos pasekmės:" DocPartId="0cf53cb235414904818ff1b46f313b33" PartId="8fe83acf1d8141a1ae82847a12b7f718"/>
      <Part Type="poskyris" Title="Priėmus sprendimą, keičiami ar panaikinami galiojantys Savivaldybės teisės aktai:" DocPartId="9441861c60b54422a508ae6fc9fd4a82" PartId="7ed0bb4e0448488fa83ded3dc4bb51a9"/>
      <Part Type="poskyris" Title="Sprendimui įgyvendinti reikalingi priimti papildomi teisės aktai:" DocPartId="085ef5b0d8fe4d6096394bf25e92266e" PartId="cffc3fc3c7654f809e174807873a1e08"/>
      <Part Type="poskyris" Title="Sprendimui įgyvendinti reikalingos lėšos:" DocPartId="3b3e2b4fecb44290b0e3e58ad91ff8f9" PartId="d194ad4bd2684339abf9e03a3d269ab3"/>
      <Part Type="poskyris" Title="Sprendimo projekto numatomo teisinio reguliavimo poveikio vertinimas:" DocPartId="81a8c6cab9784240a86f0d293bc00928" PartId="74b5ff6a81454cf893ec01986bfb47aa"/>
    </Part>
    <Part Type="signatura" DocPartId="7a1488652687429ca01122b8e4bac050" PartId="2b1d1ae96f9f40378f3f864c217e0c2d"/>
  </Part>
</Parts>
</file>

<file path=customXml/itemProps1.xml><?xml version="1.0" encoding="utf-8"?>
<ds:datastoreItem xmlns:ds="http://schemas.openxmlformats.org/officeDocument/2006/customXml" ds:itemID="{C36762F4-2891-43A7-9527-C19DCC16C1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553</Words>
  <Characters>3812</Characters>
  <Application>Microsoft Office Word</Application>
  <DocSecurity>4</DocSecurity>
  <Lines>86</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4321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2024-01-11T14:15:00Z</dcterms:created>
  <dc:creator>Žyvilė Rimšienė</dc:creator>
  <dc:language>en-GB</dc:language>
  <lastModifiedBy>adlibuser</lastModifiedBy>
  <lastPrinted>2024-01-03T12:38:00Z</lastPrinted>
  <dcterms:modified xsi:type="dcterms:W3CDTF">2024-01-11T14:15:00Z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