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c9a7095332bb462eb6fd95f0450b4214"/>
        <w:lock w:val="sdtLocked"/>
        <w:richText/>
      </w:sdtPr>
      <w:sdtContent>
        <w:tbl>
          <w:tblPr>
            <w:tblW w:w="9693" w:type="dxa"/>
            <w:tblInd w:w="55" w:type="dxa"/>
            <w:tblLayout w:type="fixed"/>
            <w:tblCellMar>
              <w:top w:w="55" w:type="dxa"/>
              <w:left w:w="55" w:type="dxa"/>
              <w:bottom w:w="55" w:type="dxa"/>
              <w:right w:w="55" w:type="dxa"/>
            </w:tblCellMar>
            <w:tblLook w:val="0000" w:firstRow="0" w:lastRow="0" w:firstColumn="0" w:lastColumn="0" w:noHBand="0" w:noVBand="0"/>
          </w:tblPr>
          <w:tblGrid>
            <w:gridCol w:w="55"/>
            <w:gridCol w:w="4762"/>
            <w:gridCol w:w="55"/>
            <w:gridCol w:w="227"/>
            <w:gridCol w:w="1841"/>
            <w:gridCol w:w="565"/>
            <w:gridCol w:w="2133"/>
            <w:gridCol w:w="55"/>
          </w:tblGrid>
          <w:tr>
            <w:trPr>
              <w:gridAfter w:val="1"/>
              <w:wAfter w:w="55" w:type="dxa"/>
            </w:trPr>
            <w:tc>
              <w:tcPr>
                <w:tcW w:w="9638" w:type="dxa"/>
                <w:gridSpan w:val="7"/>
                <w:tcBorders>
                  <w:bottom w:val="single" w:sz="4" w:space="0" w:color="000000"/>
                </w:tcBorders>
              </w:tcPr>
              <w:p>
                <w:pPr>
                  <w:widowControl w:val="0"/>
                  <w:suppressLineNumbers/>
                  <w:tabs>
                    <w:tab w:val="center" w:pos="4800"/>
                    <w:tab w:val="right" w:pos="9601"/>
                  </w:tabs>
                  <w:suppressAutoHyphens/>
                  <w:rPr>
                    <w:rFonts w:eastAsia="Andale Sans UI" w:cs="Tahoma"/>
                    <w:szCs w:val="24"/>
                    <w:lang w:bidi="en-US"/>
                  </w:rPr>
                </w:pPr>
              </w:p>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6"/>
                    <w:szCs w:val="26"/>
                    <w:lang w:val="en-US"/>
                  </w:rPr>
                  <w:drawing>
                    <wp:inline distT="0" distB="0" distL="0" distR="0" wp14:anchorId="1D6835A2" wp14:editId="41DE3A81">
                      <wp:extent cx="519430" cy="62166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519430" cy="621665"/>
                              </a:xfrm>
                              <a:prstGeom prst="rect">
                                <a:avLst/>
                              </a:prstGeom>
                              <a:solidFill>
                                <a:srgbClr val="FFFFFF">
                                  <a:alpha val="0"/>
                                </a:srgbClr>
                              </a:solidFill>
                              <a:ln w="9525">
                                <a:noFill/>
                                <a:miter lim="800000"/>
                                <a:headEnd/>
                                <a:tailEnd/>
                              </a:ln>
                            </pic:spPr>
                          </pic:pic>
                        </a:graphicData>
                      </a:graphic>
                    </wp:inline>
                  </w:drawing>
                </w:r>
              </w:p>
              <w:p>
                <w:pPr>
                  <w:rPr>
                    <w:sz w:val="10"/>
                    <w:szCs w:val="10"/>
                  </w:rPr>
                </w:pPr>
              </w:p>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 LT-01105 Vilnius,</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tel. 8 706 63661, faks. 8 706 63663, el. p. info@am.lt, http://am.lrv.lt.</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rPr>
              <w:gridAfter w:val="1"/>
              <w:wAfter w:w="55" w:type="dxa"/>
            </w:trPr>
            <w:tc>
              <w:tcPr>
                <w:tcW w:w="9638" w:type="dxa"/>
                <w:gridSpan w:val="7"/>
                <w:tcMar>
                  <w:top w:w="0" w:type="dxa"/>
                  <w:left w:w="0" w:type="dxa"/>
                  <w:bottom w:w="0" w:type="dxa"/>
                  <w:right w:w="0" w:type="dxa"/>
                </w:tcMar>
              </w:tcPr>
              <w:p>
                <w:pPr>
                  <w:widowControl w:val="0"/>
                  <w:suppressLineNumbers/>
                  <w:suppressAutoHyphens/>
                  <w:rPr>
                    <w:rFonts w:eastAsia="Andale Sans UI" w:cs="Tahoma"/>
                    <w:szCs w:val="24"/>
                    <w:lang w:bidi="en-US"/>
                  </w:rPr>
                </w:pPr>
              </w:p>
            </w:tc>
          </w:tr>
          <w:tr>
            <w:trPr>
              <w:gridAfter w:val="1"/>
              <w:wAfter w:w="55" w:type="dxa"/>
              <w:cantSplit/>
              <w:trHeight w:val="340"/>
            </w:trPr>
            <w:tc>
              <w:tcPr>
                <w:tcW w:w="4817" w:type="dxa"/>
                <w:gridSpan w:val="2"/>
                <w:vMerge w:val="restart"/>
                <w:tcMar>
                  <w:top w:w="0" w:type="dxa"/>
                  <w:left w:w="0" w:type="dxa"/>
                  <w:bottom w:w="0" w:type="dxa"/>
                  <w:right w:w="0" w:type="dxa"/>
                </w:tcMar>
              </w:tcPr>
              <w:p>
                <w:pPr>
                  <w:widowControl w:val="0"/>
                  <w:suppressAutoHyphens/>
                  <w:jc w:val="both"/>
                  <w:rPr>
                    <w:rFonts w:eastAsia="Andale Sans UI" w:cs="Tahoma"/>
                    <w:spacing w:val="10"/>
                    <w:szCs w:val="24"/>
                    <w:lang w:bidi="en-US"/>
                  </w:rPr>
                </w:pPr>
                <w:r>
                  <w:rPr>
                    <w:rFonts w:eastAsia="Andale Sans UI" w:cs="Tahoma"/>
                    <w:spacing w:val="10"/>
                    <w:szCs w:val="24"/>
                    <w:lang w:bidi="en-US"/>
                  </w:rPr>
                  <w:t>Adresatams pagal pridedamą sąrašą</w:t>
                </w:r>
              </w:p>
            </w:tc>
            <w:tc>
              <w:tcPr>
                <w:tcW w:w="282" w:type="dxa"/>
                <w:gridSpan w:val="2"/>
                <w:tcMar>
                  <w:top w:w="0" w:type="dxa"/>
                  <w:left w:w="0" w:type="dxa"/>
                  <w:bottom w:w="0" w:type="dxa"/>
                  <w:right w:w="0" w:type="dxa"/>
                </w:tcMar>
              </w:tcPr>
              <w:p>
                <w:pPr>
                  <w:widowControl w:val="0"/>
                  <w:suppressAutoHyphens/>
                  <w:ind w:right="67"/>
                  <w:jc w:val="right"/>
                  <w:rPr>
                    <w:rFonts w:eastAsia="Andale Sans UI" w:cs="Tahoma"/>
                    <w:spacing w:val="10"/>
                    <w:szCs w:val="24"/>
                    <w:lang w:bidi="en-US"/>
                  </w:rPr>
                </w:pPr>
              </w:p>
            </w:tc>
            <w:tc>
              <w:tcPr>
                <w:tcW w:w="1841" w:type="dxa"/>
                <w:tcMar>
                  <w:top w:w="0" w:type="dxa"/>
                  <w:left w:w="0" w:type="dxa"/>
                  <w:bottom w:w="0" w:type="dxa"/>
                  <w:right w:w="0" w:type="dxa"/>
                </w:tcMar>
              </w:tcPr>
              <w:p>
                <w:pPr>
                  <w:widowControl w:val="0"/>
                  <w:suppressLineNumbers/>
                  <w:suppressAutoHyphens/>
                  <w:ind w:right="67"/>
                  <w:rPr>
                    <w:rFonts w:eastAsia="Andale Sans UI" w:cs="Tahoma"/>
                    <w:szCs w:val="24"/>
                    <w:lang w:bidi="en-US"/>
                  </w:rPr>
                </w:pPr>
                <w:r>
                  <w:rPr>
                    <w:rFonts w:eastAsia="Andale Sans UI" w:cs="Tahoma"/>
                    <w:szCs w:val="24"/>
                    <w:lang w:bidi="en-US"/>
                  </w:rPr>
                  <w:t>2021-09-</w:t>
                </w:r>
              </w:p>
            </w:tc>
            <w:tc>
              <w:tcPr>
                <w:tcW w:w="565" w:type="dxa"/>
              </w:tcPr>
              <w:p>
                <w:pPr>
                  <w:widowControl w:val="0"/>
                  <w:suppressAutoHyphens/>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tcPr>
              <w:p>
                <w:pPr>
                  <w:widowControl w:val="0"/>
                  <w:suppressLineNumbers/>
                  <w:suppressAutoHyphens/>
                  <w:ind w:right="67"/>
                  <w:rPr>
                    <w:rFonts w:eastAsia="Andale Sans UI" w:cs="Tahoma"/>
                    <w:szCs w:val="24"/>
                    <w:lang w:bidi="en-US"/>
                  </w:rPr>
                </w:pPr>
                <w:r>
                  <w:rPr>
                    <w:rFonts w:eastAsia="Andale Sans UI" w:cs="Tahoma"/>
                    <w:szCs w:val="24"/>
                    <w:lang w:bidi="en-US"/>
                  </w:rPr>
                  <w:t>(65)-D8(E)-</w:t>
                </w:r>
              </w:p>
            </w:tc>
          </w:tr>
          <w:tr>
            <w:trPr>
              <w:gridAfter w:val="1"/>
              <w:wAfter w:w="55" w:type="dxa"/>
              <w:cantSplit/>
              <w:trHeight w:val="340"/>
            </w:trPr>
            <w:tc>
              <w:tcPr>
                <w:tcW w:w="4817" w:type="dxa"/>
                <w:gridSpan w:val="2"/>
                <w:vMerge/>
                <w:tcMar>
                  <w:top w:w="0" w:type="dxa"/>
                  <w:left w:w="0" w:type="dxa"/>
                  <w:bottom w:w="0" w:type="dxa"/>
                  <w:right w:w="0" w:type="dxa"/>
                </w:tcMar>
              </w:tcPr>
              <w:p/>
            </w:tc>
            <w:tc>
              <w:tcPr>
                <w:tcW w:w="282" w:type="dxa"/>
                <w:gridSpan w:val="2"/>
                <w:tcMar>
                  <w:top w:w="0" w:type="dxa"/>
                  <w:left w:w="0" w:type="dxa"/>
                  <w:bottom w:w="0" w:type="dxa"/>
                  <w:right w:w="0" w:type="dxa"/>
                </w:tcMar>
              </w:tcPr>
              <w:p>
                <w:pPr>
                  <w:widowControl w:val="0"/>
                  <w:tabs>
                    <w:tab w:val="left" w:pos="2869"/>
                  </w:tabs>
                  <w:suppressAutoHyphens/>
                  <w:ind w:right="67"/>
                  <w:jc w:val="right"/>
                  <w:rPr>
                    <w:rFonts w:eastAsia="Andale Sans UI" w:cs="Tahoma"/>
                    <w:spacing w:val="10"/>
                    <w:szCs w:val="24"/>
                    <w:lang w:bidi="en-US"/>
                  </w:rPr>
                </w:pPr>
                <w:r>
                  <w:rPr>
                    <w:rFonts w:eastAsia="Andale Sans UI" w:cs="Tahoma"/>
                    <w:spacing w:val="10"/>
                    <w:szCs w:val="24"/>
                    <w:lang w:bidi="en-US"/>
                  </w:rPr>
                  <w:t>Į</w:t>
                </w:r>
              </w:p>
            </w:tc>
            <w:tc>
              <w:tcPr>
                <w:tcW w:w="1841" w:type="dxa"/>
                <w:tcMar>
                  <w:top w:w="0" w:type="dxa"/>
                  <w:left w:w="0" w:type="dxa"/>
                  <w:bottom w:w="0" w:type="dxa"/>
                  <w:right w:w="0" w:type="dxa"/>
                </w:tcMar>
              </w:tcPr>
              <w:p>
                <w:pPr>
                  <w:widowControl w:val="0"/>
                  <w:suppressLineNumbers/>
                  <w:suppressAutoHyphens/>
                  <w:ind w:right="67"/>
                  <w:rPr>
                    <w:rFonts w:eastAsia="Andale Sans UI" w:cs="Tahoma"/>
                    <w:szCs w:val="24"/>
                    <w:lang w:bidi="en-US"/>
                  </w:rPr>
                </w:pPr>
              </w:p>
            </w:tc>
            <w:tc>
              <w:tcPr>
                <w:tcW w:w="565" w:type="dxa"/>
              </w:tcPr>
              <w:p>
                <w:pPr>
                  <w:widowControl w:val="0"/>
                  <w:tabs>
                    <w:tab w:val="left" w:pos="2869"/>
                  </w:tabs>
                  <w:suppressAutoHyphens/>
                  <w:ind w:right="67"/>
                  <w:jc w:val="right"/>
                  <w:rPr>
                    <w:rFonts w:eastAsia="Andale Sans UI" w:cs="Tahoma"/>
                    <w:spacing w:val="10"/>
                    <w:szCs w:val="24"/>
                    <w:lang w:bidi="en-US"/>
                  </w:rPr>
                </w:pPr>
                <w:r>
                  <w:rPr>
                    <w:rFonts w:eastAsia="Andale Sans UI" w:cs="Tahoma"/>
                    <w:spacing w:val="10"/>
                    <w:szCs w:val="24"/>
                    <w:lang w:bidi="en-US"/>
                  </w:rPr>
                  <w:t xml:space="preserve">Nr. </w:t>
                </w:r>
              </w:p>
            </w:tc>
            <w:tc>
              <w:tcPr>
                <w:tcW w:w="2133" w:type="dxa"/>
              </w:tcPr>
              <w:p>
                <w:pPr>
                  <w:widowControl w:val="0"/>
                  <w:suppressLineNumbers/>
                  <w:suppressAutoHyphens/>
                  <w:ind w:right="67"/>
                  <w:rPr>
                    <w:rFonts w:eastAsia="Andale Sans UI" w:cs="Tahoma"/>
                    <w:szCs w:val="24"/>
                    <w:lang w:bidi="en-US"/>
                  </w:rPr>
                </w:pPr>
              </w:p>
            </w:tc>
          </w:tr>
          <w:tr>
            <w:trPr>
              <w:gridAfter w:val="1"/>
              <w:wAfter w:w="55" w:type="dxa"/>
              <w:cantSplit/>
            </w:trPr>
            <w:tc>
              <w:tcPr>
                <w:tcW w:w="4817" w:type="dxa"/>
                <w:gridSpan w:val="2"/>
                <w:vMerge/>
                <w:tcMar>
                  <w:top w:w="0" w:type="dxa"/>
                  <w:left w:w="0" w:type="dxa"/>
                  <w:bottom w:w="0" w:type="dxa"/>
                  <w:right w:w="0" w:type="dxa"/>
                </w:tcMar>
              </w:tcPr>
              <w:p/>
            </w:tc>
            <w:tc>
              <w:tcPr>
                <w:tcW w:w="4821" w:type="dxa"/>
                <w:gridSpan w:val="5"/>
                <w:tcMar>
                  <w:top w:w="0" w:type="dxa"/>
                  <w:left w:w="0" w:type="dxa"/>
                  <w:bottom w:w="0" w:type="dxa"/>
                  <w:right w:w="0" w:type="dxa"/>
                </w:tcMar>
              </w:tcPr>
              <w:p>
                <w:pPr>
                  <w:widowControl w:val="0"/>
                  <w:tabs>
                    <w:tab w:val="left" w:pos="2869"/>
                  </w:tabs>
                  <w:suppressAutoHyphens/>
                  <w:ind w:right="67"/>
                  <w:rPr>
                    <w:rFonts w:eastAsia="Andale Sans UI" w:cs="Tahoma"/>
                    <w:spacing w:val="10"/>
                    <w:szCs w:val="24"/>
                    <w:lang w:bidi="en-US"/>
                  </w:rPr>
                </w:pPr>
              </w:p>
            </w:tc>
          </w:tr>
          <w:tr>
            <w:trPr>
              <w:gridAfter w:val="1"/>
              <w:wAfter w:w="55" w:type="dxa"/>
              <w:trHeight w:val="340"/>
            </w:trPr>
            <w:tc>
              <w:tcPr>
                <w:tcW w:w="9638" w:type="dxa"/>
                <w:gridSpan w:val="7"/>
                <w:tcMar>
                  <w:top w:w="0" w:type="dxa"/>
                  <w:left w:w="0" w:type="dxa"/>
                  <w:bottom w:w="0" w:type="dxa"/>
                  <w:right w:w="0" w:type="dxa"/>
                </w:tcMar>
              </w:tcPr>
              <w:p>
                <w:pPr>
                  <w:widowControl w:val="0"/>
                  <w:suppressLineNumbers/>
                  <w:suppressAutoHyphens/>
                  <w:rPr>
                    <w:rFonts w:eastAsia="Andale Sans UI" w:cs="Tahoma"/>
                    <w:b/>
                    <w:bCs/>
                    <w:szCs w:val="24"/>
                    <w:lang w:bidi="en-US"/>
                  </w:rPr>
                </w:pPr>
                <w:r>
                  <w:rPr>
                    <w:rFonts w:eastAsia="Calibri" w:cs="Tahoma"/>
                    <w:b/>
                    <w:bCs/>
                    <w:szCs w:val="24"/>
                    <w:lang w:bidi="en-US"/>
                  </w:rPr>
                  <w:t xml:space="preserve">DĖL </w:t>
                </w:r>
                <w:r>
                  <w:rPr>
                    <w:rFonts w:eastAsia="Andale Sans UI"/>
                    <w:b/>
                    <w:bCs/>
                    <w:szCs w:val="24"/>
                    <w:lang w:bidi="en-US"/>
                  </w:rPr>
                  <w:t>VILKŲ SUMEDŽIOJIMO PER 2021-2022 METŲ MEDŽIOKLĖS SEZONĄ LIMITO PATVIRTINIMO</w:t>
                </w:r>
              </w:p>
            </w:tc>
          </w:tr>
          <w:tr>
            <w:trPr>
              <w:gridBefore w:val="1"/>
              <w:wBefore w:w="55" w:type="dxa"/>
              <w:cantSplit/>
            </w:trPr>
            <w:tc>
              <w:tcPr>
                <w:tcW w:w="4817" w:type="dxa"/>
                <w:gridSpan w:val="2"/>
                <w:tcMar>
                  <w:top w:w="0" w:type="dxa"/>
                  <w:left w:w="0" w:type="dxa"/>
                  <w:bottom w:w="0" w:type="dxa"/>
                  <w:right w:w="0" w:type="dxa"/>
                </w:tcMar>
              </w:tcPr>
              <w:p/>
            </w:tc>
            <w:tc>
              <w:tcPr>
                <w:tcW w:w="4821" w:type="dxa"/>
                <w:gridSpan w:val="5"/>
                <w:tcMar>
                  <w:top w:w="0" w:type="dxa"/>
                  <w:left w:w="0" w:type="dxa"/>
                  <w:bottom w:w="0" w:type="dxa"/>
                  <w:right w:w="0" w:type="dxa"/>
                </w:tcMar>
              </w:tcPr>
              <w:p>
                <w:pPr>
                  <w:widowControl w:val="0"/>
                  <w:tabs>
                    <w:tab w:val="left" w:pos="2869"/>
                  </w:tabs>
                  <w:suppressAutoHyphens/>
                  <w:ind w:right="67"/>
                  <w:rPr>
                    <w:rFonts w:eastAsia="Andale Sans UI" w:cs="Tahoma"/>
                    <w:spacing w:val="10"/>
                    <w:szCs w:val="24"/>
                    <w:lang w:bidi="en-US"/>
                  </w:rPr>
                </w:pPr>
              </w:p>
            </w:tc>
          </w:tr>
        </w:tbl>
        <w:p/>
      </w:sdtContent>
    </w:sdt>
    <w:sdt>
      <w:sdtPr>
        <w:alias w:val="pastraipa"/>
        <w:tag w:val="part_c76f624fb327451b9bc516980d03a136"/>
        <w:lock w:val="sdtLocked"/>
        <w:richText/>
      </w:sdtPr>
      <w:sdtContent>
        <w:p>
          <w:pPr>
            <w:widowControl w:val="0"/>
            <w:suppressAutoHyphens/>
            <w:ind w:firstLine="567"/>
            <w:jc w:val="both"/>
            <w:rPr>
              <w:rFonts w:eastAsia="Andale Sans UI" w:cs="Tahoma"/>
              <w:szCs w:val="24"/>
              <w:lang w:bidi="en-US"/>
            </w:rPr>
          </w:pPr>
          <w:r>
            <w:rPr>
              <w:rFonts w:eastAsia="Andale Sans UI" w:cs="Tahoma"/>
              <w:szCs w:val="24"/>
              <w:lang w:bidi="en-US"/>
            </w:rPr>
            <w:t xml:space="preserve">Aplinkos ministerija parengė ir teikia derinti </w:t>
          </w:r>
          <w:r>
            <w:rPr>
              <w:rFonts w:cs="Tahoma"/>
              <w:color w:val="000000"/>
              <w:szCs w:val="24"/>
              <w:lang w:eastAsia="en-GB" w:bidi="en-US"/>
            </w:rPr>
            <w:t xml:space="preserve">Lietuvos Respublikos aplinkos ministro įsakymo „Dėl vilkų sumedžiojimo per 2021–2022 metų medžioklės sezoną limito patvirtinimo“ projektą </w:t>
          </w:r>
          <w:r>
            <w:rPr>
              <w:rFonts w:eastAsia="Andale Sans UI" w:cs="Tahoma"/>
              <w:szCs w:val="24"/>
              <w:lang w:bidi="en-US"/>
            </w:rPr>
            <w:t>(toliau – projektas).</w:t>
          </w:r>
        </w:p>
      </w:sdtContent>
    </w:sdt>
    <w:sdt>
      <w:sdtPr>
        <w:alias w:val="pastraipa"/>
        <w:tag w:val="part_62e7b7f44d5b46538f6c9a461758b2d8"/>
        <w:lock w:val="sdtLocked"/>
        <w:richText/>
      </w:sdtPr>
      <w:sdtContent>
        <w:p>
          <w:pPr>
            <w:widowControl w:val="0"/>
            <w:suppressAutoHyphens/>
            <w:ind w:firstLine="567"/>
            <w:jc w:val="both"/>
            <w:rPr>
              <w:rFonts w:cs="Tahoma"/>
              <w:color w:val="000000"/>
              <w:szCs w:val="24"/>
              <w:lang w:val="en-GB" w:eastAsia="en-GB" w:bidi="en-US"/>
            </w:rPr>
          </w:pPr>
          <w:r>
            <w:rPr>
              <w:rFonts w:cs="Tahoma"/>
              <w:color w:val="000000"/>
              <w:szCs w:val="24"/>
              <w:lang w:eastAsia="en-GB" w:bidi="en-US"/>
            </w:rPr>
            <w:t>Projektas parengtas siekiant nustatyti vilkų sumedžiojimo limitą per 2021–2022 m. medžioklės sezoną.</w:t>
          </w:r>
        </w:p>
      </w:sdtContent>
    </w:sdt>
    <w:sdt>
      <w:sdtPr>
        <w:alias w:val="pastraipa"/>
        <w:tag w:val="part_86e4b3a3daba4c839fe1ee7ae4fc1457"/>
        <w:lock w:val="sdtLocked"/>
        <w:richText/>
      </w:sdtPr>
      <w:sdtContent>
        <w:p>
          <w:pPr>
            <w:widowControl w:val="0"/>
            <w:suppressAutoHyphens/>
            <w:ind w:firstLine="567"/>
            <w:jc w:val="both"/>
            <w:rPr>
              <w:color w:val="000000"/>
              <w:szCs w:val="24"/>
              <w:lang w:eastAsia="en-GB" w:bidi="en-US"/>
            </w:rPr>
          </w:pPr>
          <w:r>
            <w:rPr>
              <w:color w:val="000000"/>
              <w:szCs w:val="24"/>
              <w:lang w:eastAsia="en-GB" w:bidi="en-US"/>
            </w:rPr>
            <w:t xml:space="preserve">Vadovaujantis Medžioklės Lietuvos Respublikos teritorijoje taisyklių, </w:t>
          </w:r>
          <w:r>
            <w:rPr>
              <w:rFonts w:eastAsia="Andale Sans UI"/>
              <w:szCs w:val="24"/>
              <w:lang w:bidi="en-US"/>
            </w:rPr>
            <w:t xml:space="preserve">patvirtintų Lietuvos Respublikos aplinkos ministro 2000 m. birželio 27 d. įsakymu Nr. 258 „Dėl Medžioklės Lietuvos Respublikos teritorijoje taisyklių patvirtinimo“ (toliau – Medžioklės taisyklės), 42 punktu, </w:t>
          </w:r>
          <w:r>
            <w:rPr>
              <w:rFonts w:eastAsia="Andale Sans UI"/>
              <w:color w:val="000000"/>
              <w:szCs w:val="24"/>
              <w:lang w:bidi="en-US"/>
            </w:rPr>
            <w:t>vilkų sumedžiojimo limitą Lietuvos Respublikoje tvirtina aplinkos ministras Vilko (</w:t>
          </w:r>
          <w:r>
            <w:rPr>
              <w:rFonts w:eastAsia="Andale Sans UI"/>
              <w:i/>
              <w:iCs/>
              <w:color w:val="000000"/>
              <w:szCs w:val="24"/>
              <w:lang w:bidi="en-US"/>
            </w:rPr>
            <w:t>Canis lupus</w:t>
          </w:r>
          <w:r>
            <w:rPr>
              <w:rFonts w:eastAsia="Andale Sans UI"/>
              <w:color w:val="000000"/>
              <w:szCs w:val="24"/>
              <w:lang w:bidi="en-US"/>
            </w:rPr>
            <w:t>) apsaugos plano, patvirtinto Lietuvos Respublikos aplinkos ministro 2014 m. rugpjūčio 28 d. įsakymu Nr. D1-699 „Dėl Vilko (</w:t>
          </w:r>
          <w:r>
            <w:rPr>
              <w:rFonts w:eastAsia="Andale Sans UI"/>
              <w:i/>
              <w:iCs/>
              <w:color w:val="000000"/>
              <w:szCs w:val="24"/>
              <w:lang w:bidi="en-US"/>
            </w:rPr>
            <w:t>Canis lupus</w:t>
          </w:r>
          <w:r>
            <w:rPr>
              <w:rFonts w:eastAsia="Andale Sans UI"/>
              <w:color w:val="000000"/>
              <w:szCs w:val="24"/>
              <w:lang w:bidi="en-US"/>
            </w:rPr>
            <w:t>) apsaugos plano patvirtinimo“ (toliau – Vilko apsaugos planas), nustatyta tvarka.</w:t>
          </w:r>
          <w:r>
            <w:rPr>
              <w:color w:val="000000"/>
              <w:szCs w:val="24"/>
              <w:lang w:eastAsia="en-GB" w:bidi="en-US"/>
            </w:rPr>
            <w:t xml:space="preserve"> </w:t>
          </w:r>
        </w:p>
      </w:sdtContent>
    </w:sdt>
    <w:sdt>
      <w:sdtPr>
        <w:alias w:val="pastraipa"/>
        <w:tag w:val="part_2dbefff81ba44ea6aca154d13e296543"/>
        <w:lock w:val="sdtLocked"/>
        <w:richText/>
      </w:sdtPr>
      <w:sdtContent>
        <w:p>
          <w:pPr>
            <w:widowControl w:val="0"/>
            <w:suppressAutoHyphens/>
            <w:ind w:firstLine="567"/>
            <w:jc w:val="both"/>
            <w:rPr>
              <w:rFonts w:eastAsia="Andale Sans UI"/>
              <w:szCs w:val="24"/>
              <w:lang w:bidi="en-US"/>
            </w:rPr>
          </w:pPr>
          <w:r>
            <w:rPr>
              <w:rFonts w:eastAsia="Andale Sans UI"/>
              <w:szCs w:val="24"/>
              <w:lang w:bidi="en-US"/>
            </w:rPr>
            <w:t xml:space="preserve">Vilko apsaugos plano 36 punkte nustatyta, kad </w:t>
          </w:r>
          <w:r>
            <w:rPr>
              <w:rFonts w:eastAsia="Andale Sans UI"/>
              <w:color w:val="000000"/>
              <w:szCs w:val="24"/>
              <w:lang w:bidi="en-US"/>
            </w:rPr>
            <w:t>Aplinkos ministerija, siekdama užtikrinti palankią vilko rūšies apsaugos būklę ir atsižvelgdama į vilkų populiacijos būklės stebėsenos duomenis, mokslinius tyrimus, einamajam medžioklės sezonui iki spalio 15 d. patvirtina vilkų sumedžiojimo limitą</w:t>
          </w:r>
          <w:r>
            <w:rPr>
              <w:rFonts w:eastAsia="Andale Sans UI" w:cs="Tahoma"/>
              <w:color w:val="000000"/>
              <w:szCs w:val="24"/>
              <w:lang w:bidi="en-US"/>
            </w:rPr>
            <w:t>.</w:t>
          </w:r>
        </w:p>
      </w:sdtContent>
    </w:sdt>
    <w:sdt>
      <w:sdtPr>
        <w:alias w:val="pastraipa"/>
        <w:tag w:val="part_0eb9491090c14829b797bbfb7f0710fd"/>
        <w:lock w:val="sdtLocked"/>
        <w:richText/>
      </w:sdtPr>
      <w:sdtContent>
        <w:p>
          <w:pPr>
            <w:widowControl w:val="0"/>
            <w:suppressAutoHyphens/>
            <w:ind w:firstLine="567"/>
            <w:jc w:val="both"/>
            <w:rPr>
              <w:rFonts w:eastAsia="Andale Sans UI"/>
              <w:color w:val="000000"/>
              <w:szCs w:val="24"/>
              <w:lang w:bidi="en-US"/>
            </w:rPr>
          </w:pPr>
          <w:r>
            <w:rPr>
              <w:rFonts w:eastAsia="Andale Sans UI"/>
              <w:color w:val="000000"/>
              <w:szCs w:val="24"/>
              <w:lang w:bidi="en-US"/>
            </w:rPr>
            <w:t>Vilko apsaugos planas įpareigoja sumedžiojimo limito nustatymo tikslais įvertinti besiveisiančių šeimų skaičių. Rengiant projektą iš esmės remtasi sumedžiotų vilkų genetiniais ir produktyvumo pagal sumedžiotų patelių gimdas tyrimais. Vytauto Didžiojo universiteto Žemės ūkio akademijos atliktų 2020-2021 m. sumedžiotų vilkų tyrimų rezultatai skelbiami Valstybinės saugomų teritorijų tarnybos interneto (toliau – VSTT) svetainėje:</w:t>
          </w:r>
        </w:p>
      </w:sdtContent>
    </w:sdt>
    <w:sdt>
      <w:sdtPr>
        <w:alias w:val="pastraipa"/>
        <w:tag w:val="part_9b26088d5244497bb48aac2947f100eb"/>
        <w:lock w:val="sdtLocked"/>
        <w:richText/>
      </w:sdtPr>
      <w:sdtContent>
        <w:p>
          <w:pPr>
            <w:widowControl w:val="0"/>
            <w:suppressAutoHyphens/>
            <w:ind w:firstLine="567"/>
            <w:jc w:val="both"/>
            <w:rPr>
              <w:rFonts w:eastAsia="Andale Sans UI" w:cs="Tahoma"/>
              <w:szCs w:val="24"/>
              <w:lang w:bidi="en-US"/>
            </w:rPr>
          </w:pPr>
          <w:r>
            <w:rPr>
              <w:rFonts w:eastAsia="Andale Sans UI" w:cs="Tahoma"/>
              <w:color w:val="000080"/>
              <w:szCs w:val="24"/>
              <w:u w:val="single"/>
              <w:lang w:bidi="en-US"/>
            </w:rPr>
            <w:t>https://vstt.lrv.lt/uploads/vstt/documents/files/Vilk%C5%B3%20tyrimai/Sumed%C5%BEiot%C5%B3%20vilk%C5%B3%20tyrim%C5%B3%202021%20m%20ataskaita.pdf</w:t>
          </w:r>
          <w:r>
            <w:rPr>
              <w:rFonts w:eastAsia="Andale Sans UI" w:cs="Tahoma"/>
              <w:color w:val="000080"/>
              <w:szCs w:val="24"/>
              <w:u w:val="single"/>
              <w:lang w:bidi="en-US"/>
            </w:rPr>
            <w:t>.</w:t>
          </w:r>
        </w:p>
      </w:sdtContent>
    </w:sdt>
    <w:sdt>
      <w:sdtPr>
        <w:alias w:val="pastraipa"/>
        <w:tag w:val="part_8d8d7dade8244d79af2dea144f0c97ef"/>
        <w:lock w:val="sdtLocked"/>
        <w:richText/>
      </w:sdtPr>
      <w:sdtContent>
        <w:p>
          <w:pPr>
            <w:widowControl w:val="0"/>
            <w:suppressAutoHyphens/>
            <w:ind w:firstLine="567"/>
            <w:jc w:val="both"/>
            <w:rPr>
              <w:rFonts w:eastAsia="Andale Sans UI" w:cs="Tahoma"/>
              <w:szCs w:val="24"/>
              <w:lang w:bidi="en-US"/>
            </w:rPr>
          </w:pPr>
          <w:r>
            <w:rPr>
              <w:rFonts w:eastAsia="Andale Sans UI" w:cs="Tahoma"/>
              <w:szCs w:val="24"/>
              <w:lang w:bidi="en-US"/>
            </w:rPr>
            <w:t xml:space="preserve">Genetinių ir gimdų tyrimų pagrindu nustatyta, kad Lietuvoje buvo 53 jauniklius vedusios vilkų šeimos. Pranešimų apie vilkų buvimo (įvykusio laikotarpyje nuo 2020 m. rugsėjo 1 d. iki 2021 m. rugpjūčio 31 d.) registravimo visus metus (VSTT Biologinės įvairovės duomenų bazėje) pagrindu bei atsižvelgiant į biologiškai galimus šeimų teritorijų nutolimus buvo suskaičiuota dar 10 atskirų vilkų šeimų, kurios 2020 m. pavasarį turėjo vadas. Apibendrinus rezultatus gauta, kad Lietuvos teritorijoje gyveno ne mažiau kaip 63 jauniklius vedusios vilkų šeimos. </w:t>
          </w:r>
          <w:r>
            <w:rPr>
              <w:rFonts w:eastAsia="Andale Sans UI"/>
              <w:szCs w:val="24"/>
              <w:lang w:bidi="en-US"/>
            </w:rPr>
            <w:t xml:space="preserve">Vilko apsaugos plano </w:t>
          </w:r>
          <w:r>
            <w:rPr>
              <w:rFonts w:eastAsia="Andale Sans UI"/>
              <w:color w:val="000000"/>
              <w:szCs w:val="24"/>
              <w:lang w:bidi="en-US"/>
            </w:rPr>
            <w:t>36.4 pa</w:t>
          </w:r>
          <w:r>
            <w:rPr>
              <w:rFonts w:eastAsia="Andale Sans UI"/>
              <w:szCs w:val="24"/>
              <w:lang w:bidi="en-US"/>
            </w:rPr>
            <w:t>punktyje nustatyta, kad</w:t>
          </w:r>
          <w:r>
            <w:rPr>
              <w:rFonts w:eastAsia="Andale Sans UI" w:cs="Tahoma"/>
              <w:szCs w:val="24"/>
              <w:lang w:eastAsia="lt-LT" w:bidi="en-US"/>
            </w:rPr>
            <w:t xml:space="preserve"> jeigu vilkų yra daugiau kaip 62 šeimos (visa populiacija 500 ar daugiau individų žiemos pabaigoje), populiacijos naudojimas planuojamas taip, kad būtų užtikrintas jos tolygus sumažinimas ir išlaikymas 32–62 šeimų</w:t>
          </w:r>
          <w:r>
            <w:rPr>
              <w:rFonts w:eastAsia="Andale Sans UI" w:cs="Tahoma"/>
              <w:b/>
              <w:szCs w:val="24"/>
              <w:lang w:eastAsia="lt-LT" w:bidi="en-US"/>
            </w:rPr>
            <w:t xml:space="preserve"> </w:t>
          </w:r>
          <w:r>
            <w:rPr>
              <w:rFonts w:eastAsia="Andale Sans UI" w:cs="Tahoma"/>
              <w:szCs w:val="24"/>
              <w:lang w:eastAsia="lt-LT" w:bidi="en-US"/>
            </w:rPr>
            <w:t>ribose. Nustatomas sumedžiojimo limitas, lygus metiniam prognozuojamam populiacijos prieaugiui arba didesnis, atlikus konsultacijas su nepriklausomomis mokslo ir kitomis suinteresuotomis institucijomis, ar siūlomas nustatyti limitas nesutrukdys pasiekti vilkų populiacijos apsaugos ir valdymo ilgalaikio tikslo ar palaikyti palankią apsaugos būklę). Atsižvelgiant į tai, kad n</w:t>
          </w:r>
          <w:r>
            <w:rPr>
              <w:rFonts w:eastAsia="Andale Sans UI" w:cs="Tahoma"/>
              <w:szCs w:val="24"/>
              <w:lang w:bidi="en-US"/>
            </w:rPr>
            <w:t>ustatytas šeimų skaičius patenka į 36.4 papunkčio reguliavimo zoną tik dėl vienos šeimos persvaros ir kad šiuo metu nėra surinkta pakankamai duomenų apie realų metinį šeimos ar populiacijos prieaugį Lietuvos gamtinėmis sąlygomis, siūloma taikyti mažesnį metinį prieaugio vidurkį.</w:t>
          </w:r>
        </w:p>
      </w:sdtContent>
    </w:sdt>
    <w:sdt>
      <w:sdtPr>
        <w:alias w:val="pastraipa"/>
        <w:tag w:val="part_b2811860f38a4bd0af83f3d3d184d5a6"/>
        <w:lock w:val="sdtLocked"/>
        <w:richText/>
      </w:sdtPr>
      <w:sdtContent>
        <w:p>
          <w:pPr>
            <w:widowControl w:val="0"/>
            <w:suppressAutoHyphens/>
            <w:ind w:firstLine="567"/>
            <w:jc w:val="both"/>
            <w:rPr>
              <w:rFonts w:eastAsia="Andale Sans UI"/>
              <w:szCs w:val="24"/>
              <w:lang w:bidi="en-US"/>
            </w:rPr>
          </w:pPr>
          <w:r>
            <w:rPr>
              <w:rFonts w:eastAsia="Andale Sans UI"/>
              <w:szCs w:val="24"/>
              <w:lang w:bidi="en-US"/>
            </w:rPr>
            <w:t>Atsižvelgus į pateiktas argumentus, siūloma patvirtinti 175 vilkų sumedžiojimo limitą.</w:t>
          </w:r>
        </w:p>
      </w:sdtContent>
    </w:sdt>
    <w:sdt>
      <w:sdtPr>
        <w:alias w:val="pastraipa"/>
        <w:tag w:val="part_e76b92f7770a46a7a945af2cc8429248"/>
        <w:lock w:val="sdtLocked"/>
        <w:richText/>
      </w:sdtPr>
      <w:sdtContent>
        <w:p>
          <w:pPr>
            <w:widowControl w:val="0"/>
            <w:suppressAutoHyphens/>
            <w:ind w:firstLine="567"/>
            <w:jc w:val="both"/>
            <w:rPr>
              <w:rFonts w:eastAsia="Andale Sans UI"/>
              <w:b/>
              <w:szCs w:val="24"/>
              <w:lang w:bidi="en-US"/>
            </w:rPr>
          </w:pPr>
          <w:r>
            <w:rPr>
              <w:rFonts w:eastAsia="Andale Sans UI"/>
              <w:szCs w:val="24"/>
              <w:lang w:bidi="en-US"/>
            </w:rPr>
            <w:t>Siekiant, kad vilkai būtų medžiojami proporcingai jų natūraliai gausai, vilkų sumedžiojimo limito siūloma neskirstyti rajonais.</w:t>
          </w:r>
        </w:p>
      </w:sdtContent>
    </w:sdt>
    <w:sdt>
      <w:sdtPr>
        <w:alias w:val="pastraipa"/>
        <w:tag w:val="part_60c60e10a85244908358892d6d6fd6cc"/>
        <w:lock w:val="sdtLocked"/>
        <w:richText/>
      </w:sdtPr>
      <w:sdtContent>
        <w:p>
          <w:pPr>
            <w:widowControl w:val="0"/>
            <w:suppressAutoHyphens/>
            <w:ind w:firstLine="567"/>
            <w:jc w:val="both"/>
            <w:rPr>
              <w:rFonts w:eastAsia="Andale Sans UI"/>
              <w:szCs w:val="24"/>
              <w:lang w:bidi="en-US"/>
            </w:rPr>
          </w:pPr>
          <w:r>
            <w:rPr>
              <w:rFonts w:eastAsia="Andale Sans UI"/>
              <w:szCs w:val="24"/>
              <w:lang w:bidi="en-US"/>
            </w:rPr>
            <w:t>Vilkų ūkiniams gyvūnams daroma žala pastaraisiais metais išlieka panaši. Iki 2021 m. rugsėjo 23 d. atlyginant vilkų ūkiniams gyvūnams padarytą žalą išmokėta 100 401 Eur (atitinkamai iki 2019 m. rugsėjo 24 d. už vilkų padarytą žalą ūkininkams išmokėta 71 188 Eur, 2020 m. rugsėjo 23 d. – 74 712 Eur).</w:t>
          </w:r>
        </w:p>
      </w:sdtContent>
    </w:sdt>
    <w:sdt>
      <w:sdtPr>
        <w:alias w:val="pastraipa"/>
        <w:tag w:val="part_065f501b150d47c693437c9856947736"/>
        <w:lock w:val="sdtLocked"/>
        <w:richText/>
      </w:sdtPr>
      <w:sdtContent>
        <w:p>
          <w:pPr>
            <w:widowControl w:val="0"/>
            <w:suppressAutoHyphens/>
            <w:ind w:firstLine="567"/>
            <w:jc w:val="both"/>
            <w:rPr>
              <w:rFonts w:eastAsia="Andale Sans UI"/>
              <w:szCs w:val="24"/>
              <w:lang w:bidi="en-US"/>
            </w:rPr>
          </w:pPr>
          <w:r>
            <w:rPr>
              <w:rFonts w:eastAsia="Andale Sans UI"/>
              <w:szCs w:val="24"/>
              <w:lang w:bidi="en-US"/>
            </w:rPr>
            <w:t>Vilkų medžiojimo sezonas prasideda spalio 15 d. ir trunka iki kovo 31 d. (išnaudojus vilkų sumedžiojimo limitą, vilkų medžiojimo sezonas nutraukiamas anksčiau).</w:t>
          </w:r>
        </w:p>
      </w:sdtContent>
    </w:sdt>
    <w:sdt>
      <w:sdtPr>
        <w:alias w:val="pastraipa"/>
        <w:tag w:val="part_5c941fccedc4410088e89e4a020e878c"/>
        <w:lock w:val="sdtLocked"/>
        <w:richText/>
      </w:sdtPr>
      <w:sdtContent>
        <w:p>
          <w:pPr>
            <w:widowControl w:val="0"/>
            <w:suppressAutoHyphens/>
            <w:ind w:firstLine="567"/>
            <w:jc w:val="both"/>
            <w:rPr>
              <w:rFonts w:eastAsia="Andale Sans UI" w:cs="Tahoma"/>
              <w:szCs w:val="24"/>
              <w:lang w:bidi="en-US"/>
            </w:rPr>
          </w:pPr>
          <w:r>
            <w:rPr>
              <w:rFonts w:eastAsia="Andale Sans UI" w:cs="Tahoma"/>
              <w:szCs w:val="24"/>
              <w:lang w:bidi="en-US"/>
            </w:rPr>
            <w:t>Priėmus projektą, neigiamų pasekmių nenumatoma.</w:t>
          </w:r>
        </w:p>
      </w:sdtContent>
    </w:sdt>
    <w:sdt>
      <w:sdtPr>
        <w:alias w:val="pastraipa"/>
        <w:tag w:val="part_e63b8f63a1de46d591857abca5cc4bb9"/>
        <w:lock w:val="sdtLocked"/>
        <w:richText/>
      </w:sdtPr>
      <w:sdtContent>
        <w:p>
          <w:pPr>
            <w:widowControl w:val="0"/>
            <w:suppressAutoHyphens/>
            <w:ind w:firstLine="567"/>
            <w:jc w:val="both"/>
            <w:rPr>
              <w:rFonts w:eastAsia="Andale Sans UI" w:cs="Tahoma"/>
              <w:szCs w:val="24"/>
              <w:lang w:bidi="en-US"/>
            </w:rPr>
          </w:pPr>
          <w:r>
            <w:rPr>
              <w:rFonts w:eastAsia="Andale Sans UI" w:cs="Tahoma"/>
              <w:szCs w:val="24"/>
              <w:lang w:bidi="en-US"/>
            </w:rPr>
            <w:t>Visuomenė su projektu supažindinama jį paskelbus Lietuvos Respublikos Seimo teisės aktų informacinės sistemos (TAIS).</w:t>
          </w:r>
        </w:p>
      </w:sdtContent>
    </w:sdt>
    <w:sdt>
      <w:sdtPr>
        <w:alias w:val="pastraipa"/>
        <w:tag w:val="part_f0a6099fd7954cccb38e72167b7420b6"/>
        <w:lock w:val="sdtLocked"/>
        <w:richText/>
      </w:sdtPr>
      <w:sdtContent>
        <w:p>
          <w:pPr>
            <w:widowControl w:val="0"/>
            <w:suppressAutoHyphens/>
            <w:ind w:firstLine="567"/>
            <w:jc w:val="both"/>
            <w:rPr>
              <w:rFonts w:eastAsia="Andale Sans UI" w:cs="Tahoma"/>
              <w:szCs w:val="24"/>
              <w:lang w:bidi="en-US"/>
            </w:rPr>
          </w:pPr>
          <w:r>
            <w:rPr>
              <w:rFonts w:eastAsia="Andale Sans UI" w:cs="Tahoma"/>
              <w:szCs w:val="24"/>
              <w:lang w:bidi="en-US"/>
            </w:rPr>
            <w:t>Prašome per 10 darbo dienų po projekto paskelbimo TAIS pagal kompetenciją projektui pateikti pastabas ir pasiūlymus. Negavus argumentuotų pastabų ir pasiūlymų iki nurodyto laiko, bus laikoma, kad projektui pritarta.</w:t>
          </w:r>
        </w:p>
      </w:sdtContent>
    </w:sdt>
    <w:sdt>
      <w:sdtPr>
        <w:alias w:val="pastraipa"/>
        <w:tag w:val="part_679676bdbcd144468a6fe0009cf5cabf"/>
        <w:lock w:val="sdtLocked"/>
        <w:richText/>
      </w:sdtPr>
      <w:sdtContent>
        <w:p>
          <w:pPr>
            <w:widowControl w:val="0"/>
            <w:suppressAutoHyphens/>
            <w:ind w:firstLine="567"/>
            <w:jc w:val="both"/>
            <w:rPr>
              <w:rFonts w:eastAsia="Andale Sans UI" w:cs="Tahoma"/>
              <w:szCs w:val="24"/>
              <w:lang w:bidi="en-US"/>
            </w:rPr>
          </w:pPr>
          <w:r>
            <w:rPr>
              <w:rFonts w:eastAsia="Andale Sans UI" w:cs="Tahoma"/>
              <w:szCs w:val="24"/>
              <w:lang w:bidi="en-US"/>
            </w:rPr>
            <w:t>PRIDEDAMA:</w:t>
          </w:r>
        </w:p>
        <w:sdt>
          <w:sdtPr>
            <w:alias w:val="1 p."/>
            <w:tag w:val="part_1570be8a40594ead8c3a98556859024b"/>
            <w:lock w:val="sdtLocked"/>
            <w:richText/>
          </w:sdtPr>
          <w:sdtContent>
            <w:p>
              <w:pPr>
                <w:widowControl w:val="0"/>
                <w:suppressAutoHyphens/>
                <w:ind w:firstLine="567"/>
                <w:jc w:val="both"/>
                <w:rPr>
                  <w:rFonts w:eastAsia="Andale Sans UI" w:cs="Tahoma"/>
                  <w:szCs w:val="24"/>
                  <w:lang w:bidi="en-US"/>
                </w:rPr>
              </w:pPr>
              <w:sdt>
                <w:sdtPr>
                  <w:alias w:val="Numeris"/>
                  <w:tag w:val="nr_1570be8a40594ead8c3a98556859024b"/>
                  <w:lock w:val="sdtLocked"/>
                  <w:richText/>
                </w:sdtPr>
                <w:sdtContent>
                  <w:r>
                    <w:rPr>
                      <w:rFonts w:eastAsia="Andale Sans UI" w:cs="Tahoma"/>
                      <w:szCs w:val="24"/>
                      <w:lang w:bidi="en-US"/>
                    </w:rPr>
                    <w:t>1</w:t>
                  </w:r>
                </w:sdtContent>
              </w:sdt>
              <w:r>
                <w:rPr>
                  <w:rFonts w:eastAsia="Andale Sans UI" w:cs="Tahoma"/>
                  <w:szCs w:val="24"/>
                  <w:lang w:bidi="en-US"/>
                </w:rPr>
                <w:t xml:space="preserve">. </w:t>
              </w:r>
              <w:r>
                <w:rPr>
                  <w:rFonts w:cs="Tahoma"/>
                  <w:color w:val="000000"/>
                  <w:szCs w:val="24"/>
                  <w:lang w:eastAsia="en-GB" w:bidi="en-US"/>
                </w:rPr>
                <w:t>Lietuvos Respublikos aplinkos ministro įsakymo „Dėl vilkų sumedžiojimo per 2021–2022 metų medžioklės sezoną limito patvirtinimo“</w:t>
              </w:r>
              <w:r>
                <w:rPr>
                  <w:rFonts w:eastAsia="Andale Sans UI" w:cs="Tahoma"/>
                  <w:szCs w:val="24"/>
                  <w:lang w:bidi="en-US"/>
                </w:rPr>
                <w:t xml:space="preserve"> projektas, 1 lapas.</w:t>
              </w:r>
            </w:p>
          </w:sdtContent>
        </w:sdt>
        <w:sdt>
          <w:sdtPr>
            <w:alias w:val="2 p."/>
            <w:tag w:val="part_408047b6ef8446158c31acbeab9db946"/>
            <w:lock w:val="sdtLocked"/>
            <w:richText/>
          </w:sdtPr>
          <w:sdtContent>
            <w:p>
              <w:pPr>
                <w:widowControl w:val="0"/>
                <w:suppressAutoHyphens/>
                <w:ind w:firstLine="567"/>
                <w:jc w:val="both"/>
                <w:rPr>
                  <w:rFonts w:eastAsia="Andale Sans UI" w:cs="Tahoma"/>
                  <w:szCs w:val="24"/>
                  <w:lang w:bidi="en-US"/>
                </w:rPr>
              </w:pPr>
              <w:sdt>
                <w:sdtPr>
                  <w:alias w:val="Numeris"/>
                  <w:tag w:val="nr_408047b6ef8446158c31acbeab9db946"/>
                  <w:lock w:val="sdtLocked"/>
                  <w:richText/>
                </w:sdtPr>
                <w:sdtContent>
                  <w:r>
                    <w:rPr>
                      <w:rFonts w:eastAsia="Andale Sans UI" w:cs="Tahoma"/>
                      <w:szCs w:val="24"/>
                      <w:lang w:bidi="en-US"/>
                    </w:rPr>
                    <w:t>2</w:t>
                  </w:r>
                </w:sdtContent>
              </w:sdt>
              <w:r>
                <w:rPr>
                  <w:rFonts w:eastAsia="Andale Sans UI" w:cs="Tahoma"/>
                  <w:szCs w:val="24"/>
                  <w:lang w:bidi="en-US"/>
                </w:rPr>
                <w:t>. Numatomo teisinio reguliavimo poveikio vertinimo pažyma, 1 lapas.</w:t>
              </w:r>
            </w:p>
            <w:p>
              <w:pPr>
                <w:widowControl w:val="0"/>
                <w:suppressAutoHyphens/>
                <w:ind w:firstLine="567"/>
                <w:jc w:val="both"/>
                <w:rPr>
                  <w:rFonts w:eastAsia="Andale Sans UI"/>
                  <w:szCs w:val="24"/>
                  <w:lang w:bidi="en-US"/>
                </w:rPr>
              </w:pPr>
            </w:p>
            <w:p>
              <w:pPr>
                <w:widowControl w:val="0"/>
                <w:suppressAutoHyphens/>
                <w:ind w:firstLine="567"/>
                <w:jc w:val="both"/>
                <w:rPr>
                  <w:rFonts w:eastAsia="Andale Sans UI"/>
                  <w:szCs w:val="24"/>
                  <w:lang w:bidi="en-US"/>
                </w:rPr>
              </w:pPr>
            </w:p>
            <w:p>
              <w:pPr>
                <w:widowControl w:val="0"/>
                <w:suppressAutoHyphens/>
                <w:ind w:firstLine="567"/>
                <w:jc w:val="both"/>
                <w:rPr>
                  <w:rFonts w:eastAsia="Andale Sans UI"/>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4817"/>
                <w:gridCol w:w="4826"/>
              </w:tblGrid>
              <w:tr>
                <w:trPr>
                  <w:trHeight w:val="340"/>
                </w:trPr>
                <w:tc>
                  <w:tcPr>
                    <w:tcW w:w="4817" w:type="dxa"/>
                    <w:vAlign w:val="bottom"/>
                  </w:tcPr>
                  <w:p>
                    <w:pPr>
                      <w:widowControl w:val="0"/>
                      <w:suppressLineNumbers/>
                      <w:suppressAutoHyphens/>
                      <w:rPr>
                        <w:rFonts w:eastAsia="Andale Sans UI" w:cs="Tahoma"/>
                        <w:szCs w:val="24"/>
                        <w:lang w:bidi="en-US"/>
                      </w:rPr>
                    </w:pPr>
                  </w:p>
                </w:tc>
                <w:tc>
                  <w:tcPr>
                    <w:tcW w:w="4826" w:type="dxa"/>
                    <w:vAlign w:val="bottom"/>
                  </w:tcPr>
                  <w:p>
                    <w:pPr>
                      <w:widowControl w:val="0"/>
                      <w:suppressAutoHyphens/>
                      <w:ind w:right="34"/>
                      <w:jc w:val="right"/>
                      <w:rPr>
                        <w:rFonts w:eastAsia="Andale Sans UI" w:cs="Tahoma"/>
                        <w:szCs w:val="24"/>
                        <w:lang w:bidi="en-US"/>
                      </w:rPr>
                    </w:pPr>
                  </w:p>
                </w:tc>
              </w:tr>
            </w:tbl>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p>
            <w:tbl>
              <w:tblPr>
                <w:tblW w:w="9643" w:type="dxa"/>
                <w:tblInd w:w="8" w:type="dxa"/>
                <w:tblLayout w:type="fixed"/>
                <w:tblCellMar>
                  <w:left w:w="0" w:type="dxa"/>
                  <w:right w:w="0" w:type="dxa"/>
                </w:tblCellMar>
                <w:tblLook w:val="0000" w:firstRow="0" w:lastRow="0" w:firstColumn="0" w:lastColumn="0" w:noHBand="0" w:noVBand="0"/>
              </w:tblPr>
              <w:tblGrid>
                <w:gridCol w:w="9643"/>
              </w:tblGrid>
              <w:tr>
                <w:trPr>
                  <w:trHeight w:val="340"/>
                </w:trPr>
                <w:tc>
                  <w:tcPr>
                    <w:tcW w:w="9643" w:type="dxa"/>
                  </w:tcPr>
                  <w:p>
                    <w:pPr>
                      <w:widowControl w:val="0"/>
                      <w:suppressLineNumbers/>
                      <w:suppressAutoHyphens/>
                      <w:rPr>
                        <w:rFonts w:eastAsia="Andale Sans UI" w:cs="Tahoma"/>
                        <w:szCs w:val="24"/>
                        <w:lang w:bidi="en-US"/>
                      </w:rPr>
                    </w:pPr>
                    <w:r>
                      <w:rPr>
                        <w:rFonts w:eastAsia="Andale Sans UI" w:cs="Tahoma"/>
                        <w:szCs w:val="24"/>
                        <w:lang w:bidi="en-US"/>
                      </w:rPr>
                      <w:t xml:space="preserve">Jolanta Urbelionytė, tel. 8 696 85133, el. p. </w:t>
                    </w:r>
                    <w:r>
                      <w:rPr>
                        <w:rFonts w:eastAsia="Andale Sans UI" w:cs="Tahoma"/>
                        <w:szCs w:val="24"/>
                        <w:lang w:bidi="en-US"/>
                      </w:rPr>
                      <w:t>jolanta</w:t>
                    </w:r>
                    <w:r>
                      <w:rPr>
                        <w:rFonts w:eastAsia="Andale Sans UI" w:cs="Tahoma"/>
                        <w:color w:val="000080"/>
                        <w:szCs w:val="24"/>
                        <w:u w:val="single"/>
                        <w:lang w:bidi="en-US"/>
                      </w:rPr>
                      <w:t>.urbelionyte @am.lt</w:t>
                    </w:r>
                  </w:p>
                </w:tc>
              </w:tr>
            </w:tbl>
            <w:p>
              <w:pPr>
                <w:widowControl w:val="0"/>
                <w:suppressAutoHyphens/>
                <w:ind w:firstLine="567"/>
                <w:jc w:val="both"/>
                <w:rPr>
                  <w:rFonts w:eastAsia="Andale Sans UI" w:cs="Tahoma"/>
                  <w:szCs w:val="24"/>
                  <w:lang w:bidi="en-US"/>
                </w:rPr>
              </w:pPr>
            </w:p>
            <w:p>
              <w:pPr>
                <w:widowControl w:val="0"/>
                <w:suppressAutoHyphens/>
                <w:ind w:firstLine="567"/>
                <w:jc w:val="both"/>
                <w:rPr>
                  <w:rFonts w:eastAsia="Andale Sans UI" w:cs="Tahoma"/>
                  <w:szCs w:val="24"/>
                  <w:lang w:bidi="en-US"/>
                </w:rPr>
              </w:pPr>
              <w:r>
                <w:rPr>
                  <w:rFonts w:eastAsia="Andale Sans UI" w:cs="Tahoma"/>
                  <w:szCs w:val="24"/>
                  <w:lang w:bidi="en-US"/>
                </w:rPr>
                <w:t>Adresatų sąrašas</w:t>
              </w:r>
            </w:p>
            <w:p>
              <w:pPr>
                <w:widowControl w:val="0"/>
                <w:suppressAutoHyphens/>
                <w:ind w:firstLine="567"/>
                <w:jc w:val="both"/>
                <w:rPr>
                  <w:rFonts w:eastAsia="Andale Sans UI" w:cs="Tahoma"/>
                  <w:szCs w:val="24"/>
                  <w:lang w:bidi="en-US"/>
                </w:rPr>
              </w:pPr>
            </w:p>
            <w:p>
              <w:pPr>
                <w:widowControl w:val="0"/>
                <w:suppressAutoHyphens/>
                <w:jc w:val="both"/>
                <w:rPr>
                  <w:rFonts w:eastAsia="Andale Sans UI" w:cs="Tahoma"/>
                  <w:szCs w:val="24"/>
                  <w:lang w:bidi="en-US"/>
                </w:rPr>
              </w:pPr>
              <w:r>
                <w:rPr>
                  <w:rFonts w:eastAsia="Andale Sans UI" w:cs="Tahoma"/>
                  <w:szCs w:val="24"/>
                  <w:lang w:bidi="en-US"/>
                </w:rPr>
                <w:t>Žemės ūkio ministerijai</w:t>
              </w:r>
            </w:p>
            <w:p>
              <w:pPr>
                <w:widowControl w:val="0"/>
                <w:suppressLineNumbers/>
                <w:suppressAutoHyphens/>
                <w:rPr>
                  <w:rFonts w:eastAsia="Andale Sans UI" w:cs="Tahoma"/>
                  <w:szCs w:val="24"/>
                  <w:lang w:bidi="en-US"/>
                </w:rPr>
              </w:pPr>
              <w:r>
                <w:rPr>
                  <w:rFonts w:eastAsia="Andale Sans UI" w:cs="Tahoma"/>
                  <w:szCs w:val="24"/>
                  <w:lang w:bidi="en-US"/>
                </w:rPr>
                <w:t>Aplinkos apsaugos agentūrai</w:t>
              </w:r>
            </w:p>
            <w:p>
              <w:pPr>
                <w:widowControl w:val="0"/>
                <w:suppressLineNumbers/>
                <w:suppressAutoHyphens/>
                <w:rPr>
                  <w:rFonts w:eastAsia="Andale Sans UI" w:cs="Tahoma"/>
                  <w:szCs w:val="24"/>
                  <w:lang w:bidi="en-US"/>
                </w:rPr>
              </w:pPr>
              <w:r>
                <w:rPr>
                  <w:rFonts w:eastAsia="Andale Sans UI" w:cs="Tahoma"/>
                  <w:szCs w:val="24"/>
                  <w:lang w:bidi="en-US"/>
                </w:rPr>
                <w:t>Aplinkos apsaugos departamentui prie Aplinkos ministerijos</w:t>
              </w:r>
            </w:p>
            <w:p>
              <w:pPr>
                <w:widowControl w:val="0"/>
                <w:suppressLineNumbers/>
                <w:suppressAutoHyphens/>
                <w:rPr>
                  <w:rFonts w:eastAsia="Andale Sans UI" w:cs="Tahoma"/>
                  <w:szCs w:val="24"/>
                  <w:lang w:bidi="en-US"/>
                </w:rPr>
              </w:pPr>
              <w:r>
                <w:rPr>
                  <w:rFonts w:eastAsia="Andale Sans UI" w:cs="Tahoma"/>
                  <w:szCs w:val="24"/>
                  <w:lang w:bidi="en-US"/>
                </w:rPr>
                <w:t>Valstybei saugomų teritorijų tarnybai prie Aplinkos ministerijos</w:t>
              </w:r>
            </w:p>
            <w:p>
              <w:pPr>
                <w:widowControl w:val="0"/>
                <w:suppressLineNumbers/>
                <w:suppressAutoHyphens/>
                <w:rPr>
                  <w:rFonts w:eastAsia="Andale Sans UI" w:cs="Tahoma"/>
                  <w:szCs w:val="24"/>
                  <w:lang w:bidi="en-US"/>
                </w:rPr>
              </w:pPr>
              <w:r>
                <w:rPr>
                  <w:rFonts w:eastAsia="Andale Sans UI" w:cs="Tahoma"/>
                  <w:szCs w:val="24"/>
                  <w:lang w:bidi="en-US"/>
                </w:rPr>
                <w:t>VĮ Valstybinių miškų urėdijai</w:t>
              </w:r>
            </w:p>
            <w:p>
              <w:pPr>
                <w:widowControl w:val="0"/>
                <w:suppressLineNumbers/>
                <w:suppressAutoHyphens/>
                <w:rPr>
                  <w:rFonts w:eastAsia="Andale Sans UI" w:cs="Tahoma"/>
                  <w:szCs w:val="24"/>
                  <w:lang w:bidi="en-US"/>
                </w:rPr>
              </w:pPr>
              <w:r>
                <w:rPr>
                  <w:rFonts w:eastAsia="Andale Sans UI" w:cs="Tahoma"/>
                  <w:szCs w:val="24"/>
                  <w:lang w:bidi="en-US"/>
                </w:rPr>
                <w:t>Lietuvos medžiotojų ir žvejų draugijai</w:t>
              </w:r>
            </w:p>
            <w:p>
              <w:pPr>
                <w:widowControl w:val="0"/>
                <w:suppressLineNumbers/>
                <w:suppressAutoHyphens/>
                <w:rPr>
                  <w:rFonts w:eastAsia="Andale Sans UI" w:cs="Tahoma"/>
                  <w:szCs w:val="24"/>
                  <w:lang w:bidi="en-US"/>
                </w:rPr>
              </w:pPr>
              <w:r>
                <w:rPr>
                  <w:rFonts w:eastAsia="Andale Sans UI" w:cs="Tahoma"/>
                  <w:color w:val="000080"/>
                  <w:szCs w:val="24"/>
                  <w:u w:val="single"/>
                  <w:lang w:bidi="en-US"/>
                </w:rPr>
                <w:t>lietuvosmzd@yahoo.com</w:t>
              </w:r>
            </w:p>
            <w:p>
              <w:pPr>
                <w:widowControl w:val="0"/>
                <w:suppressLineNumbers/>
                <w:suppressAutoHyphens/>
                <w:rPr>
                  <w:rFonts w:eastAsia="Andale Sans UI" w:cs="Tahoma"/>
                  <w:szCs w:val="24"/>
                  <w:lang w:bidi="en-US"/>
                </w:rPr>
              </w:pPr>
              <w:r>
                <w:rPr>
                  <w:rFonts w:eastAsia="Andale Sans UI" w:cs="Tahoma"/>
                  <w:szCs w:val="24"/>
                  <w:lang w:bidi="en-US"/>
                </w:rPr>
                <w:t>Lietuvos medžiotojų konfederacijai</w:t>
              </w:r>
            </w:p>
            <w:p>
              <w:pPr>
                <w:widowControl w:val="0"/>
                <w:suppressLineNumbers/>
                <w:suppressAutoHyphens/>
                <w:rPr>
                  <w:rFonts w:eastAsia="Andale Sans UI" w:cs="Tahoma"/>
                  <w:szCs w:val="24"/>
                  <w:lang w:bidi="en-US"/>
                </w:rPr>
              </w:pPr>
              <w:r>
                <w:rPr>
                  <w:rFonts w:eastAsia="Andale Sans UI" w:cs="Tahoma"/>
                  <w:color w:val="000080"/>
                  <w:szCs w:val="24"/>
                  <w:u w:val="single"/>
                  <w:lang w:bidi="en-US"/>
                </w:rPr>
                <w:t>medziokle.lmk</w:t>
              </w:r>
              <w:r>
                <w:rPr>
                  <w:rFonts w:eastAsia="Andale Sans UI" w:cs="Tahoma"/>
                  <w:color w:val="000080"/>
                  <w:szCs w:val="24"/>
                  <w:u w:val="single"/>
                  <w:lang w:val="de-DE" w:bidi="en-US"/>
                </w:rPr>
                <w:t>@gmail.com</w:t>
              </w:r>
            </w:p>
            <w:p>
              <w:pPr>
                <w:widowControl w:val="0"/>
                <w:suppressLineNumbers/>
                <w:suppressAutoHyphens/>
                <w:rPr>
                  <w:rFonts w:eastAsia="Andale Sans UI" w:cs="Tahoma"/>
                  <w:szCs w:val="24"/>
                  <w:lang w:bidi="en-US"/>
                </w:rPr>
              </w:pPr>
              <w:r>
                <w:rPr>
                  <w:rFonts w:eastAsia="Andale Sans UI" w:cs="Tahoma"/>
                  <w:szCs w:val="24"/>
                  <w:lang w:bidi="en-US"/>
                </w:rPr>
                <w:t>Lietuvos medžiotojų sąjungai „Gamta“</w:t>
              </w:r>
            </w:p>
            <w:p>
              <w:pPr>
                <w:widowControl w:val="0"/>
                <w:suppressLineNumbers/>
                <w:suppressAutoHyphens/>
                <w:rPr>
                  <w:rFonts w:eastAsia="Andale Sans UI" w:cs="Tahoma"/>
                  <w:szCs w:val="24"/>
                  <w:lang w:bidi="en-US"/>
                </w:rPr>
              </w:pPr>
              <w:r>
                <w:rPr>
                  <w:rFonts w:eastAsia="Andale Sans UI" w:cs="Tahoma"/>
                  <w:color w:val="000080"/>
                  <w:szCs w:val="24"/>
                  <w:u w:val="single"/>
                  <w:lang w:bidi="en-US"/>
                </w:rPr>
                <w:t>raimondas@medziokles.lt</w:t>
              </w:r>
            </w:p>
            <w:p>
              <w:pPr>
                <w:widowControl w:val="0"/>
                <w:suppressLineNumbers/>
                <w:suppressAutoHyphens/>
                <w:rPr>
                  <w:rFonts w:eastAsia="Andale Sans UI" w:cs="Tahoma"/>
                  <w:szCs w:val="24"/>
                  <w:lang w:bidi="en-US"/>
                </w:rPr>
              </w:pPr>
              <w:r>
                <w:rPr>
                  <w:rFonts w:eastAsia="Andale Sans UI" w:cs="Tahoma"/>
                  <w:szCs w:val="24"/>
                  <w:lang w:bidi="en-US"/>
                </w:rPr>
                <w:t>Sūduvos medžiotojų sąjungai</w:t>
              </w:r>
            </w:p>
            <w:p>
              <w:pPr>
                <w:widowControl w:val="0"/>
                <w:suppressLineNumbers/>
                <w:suppressAutoHyphens/>
                <w:rPr>
                  <w:rFonts w:eastAsia="Andale Sans UI" w:cs="Tahoma"/>
                  <w:szCs w:val="24"/>
                  <w:lang w:val="de-DE" w:bidi="en-US"/>
                </w:rPr>
              </w:pPr>
              <w:r>
                <w:rPr>
                  <w:rFonts w:eastAsia="Andale Sans UI" w:cs="Tahoma"/>
                  <w:color w:val="000080"/>
                  <w:szCs w:val="24"/>
                  <w:u w:val="single"/>
                  <w:lang w:bidi="en-US"/>
                </w:rPr>
                <w:t>ramunas.mazetis</w:t>
              </w:r>
              <w:r>
                <w:rPr>
                  <w:rFonts w:eastAsia="Andale Sans UI" w:cs="Tahoma"/>
                  <w:color w:val="000080"/>
                  <w:szCs w:val="24"/>
                  <w:u w:val="single"/>
                  <w:lang w:val="de-DE" w:bidi="en-US"/>
                </w:rPr>
                <w:t>@gmail.com</w:t>
              </w:r>
            </w:p>
            <w:p>
              <w:pPr>
                <w:widowControl w:val="0"/>
                <w:suppressLineNumbers/>
                <w:suppressAutoHyphens/>
                <w:rPr>
                  <w:rFonts w:eastAsia="Andale Sans UI" w:cs="Tahoma"/>
                  <w:szCs w:val="24"/>
                  <w:lang w:bidi="en-US"/>
                </w:rPr>
              </w:pPr>
              <w:r>
                <w:rPr>
                  <w:rFonts w:eastAsia="Andale Sans UI" w:cs="Tahoma"/>
                  <w:szCs w:val="24"/>
                  <w:lang w:bidi="en-US"/>
                </w:rPr>
                <w:t>Lietuvos medžiotojų draugijai</w:t>
              </w:r>
            </w:p>
            <w:p>
              <w:pPr>
                <w:widowControl w:val="0"/>
                <w:suppressLineNumbers/>
                <w:suppressAutoHyphens/>
                <w:rPr>
                  <w:rFonts w:eastAsia="Andale Sans UI" w:cs="Tahoma"/>
                  <w:szCs w:val="24"/>
                  <w:lang w:bidi="en-US"/>
                </w:rPr>
              </w:pPr>
              <w:r>
                <w:rPr>
                  <w:rFonts w:eastAsia="Andale Sans UI" w:cs="Tahoma"/>
                  <w:color w:val="000080"/>
                  <w:szCs w:val="24"/>
                  <w:u w:val="single"/>
                  <w:lang w:bidi="en-US"/>
                </w:rPr>
                <w:t>info</w:t>
              </w:r>
              <w:r>
                <w:rPr>
                  <w:rFonts w:eastAsia="Andale Sans UI" w:cs="Tahoma"/>
                  <w:color w:val="000080"/>
                  <w:szCs w:val="24"/>
                  <w:u w:val="single"/>
                  <w:lang w:val="de-DE" w:bidi="en-US"/>
                </w:rPr>
                <w:t>@medziotojudraugija.lt</w:t>
              </w:r>
            </w:p>
            <w:p>
              <w:pPr>
                <w:widowControl w:val="0"/>
                <w:suppressLineNumbers/>
                <w:suppressAutoHyphens/>
                <w:rPr>
                  <w:rFonts w:eastAsia="Andale Sans UI" w:cs="Tahoma"/>
                  <w:szCs w:val="24"/>
                  <w:lang w:bidi="en-US"/>
                </w:rPr>
              </w:pPr>
              <w:r>
                <w:rPr>
                  <w:rFonts w:eastAsia="Andale Sans UI" w:cs="Tahoma"/>
                  <w:szCs w:val="24"/>
                  <w:lang w:bidi="en-US"/>
                </w:rPr>
                <w:t>Ginklų pirklių asociacijai</w:t>
              </w:r>
            </w:p>
            <w:p>
              <w:pPr>
                <w:widowControl w:val="0"/>
                <w:suppressLineNumbers/>
                <w:suppressAutoHyphens/>
                <w:rPr>
                  <w:rFonts w:eastAsia="Andale Sans UI" w:cs="Tahoma"/>
                  <w:szCs w:val="24"/>
                  <w:lang w:bidi="en-US"/>
                </w:rPr>
              </w:pPr>
              <w:r>
                <w:rPr>
                  <w:rFonts w:eastAsia="Andale Sans UI" w:cs="Tahoma"/>
                  <w:color w:val="000080"/>
                  <w:szCs w:val="24"/>
                  <w:u w:val="single"/>
                  <w:lang w:bidi="en-US"/>
                </w:rPr>
                <w:t>info@ginklupirkliai.lt</w:t>
              </w:r>
            </w:p>
            <w:p>
              <w:pPr>
                <w:widowControl w:val="0"/>
                <w:suppressLineNumbers/>
                <w:suppressAutoHyphens/>
                <w:rPr>
                  <w:rFonts w:eastAsia="Andale Sans UI" w:cs="Tahoma"/>
                  <w:szCs w:val="24"/>
                  <w:lang w:bidi="en-US"/>
                </w:rPr>
              </w:pPr>
              <w:r>
                <w:rPr>
                  <w:rFonts w:eastAsia="Andale Sans UI" w:cs="Tahoma"/>
                  <w:szCs w:val="24"/>
                  <w:lang w:bidi="en-US"/>
                </w:rPr>
                <w:t>Aplinkosaugos koalicijai</w:t>
              </w:r>
            </w:p>
            <w:p>
              <w:pPr>
                <w:widowControl w:val="0"/>
                <w:suppressAutoHyphens/>
                <w:jc w:val="both"/>
                <w:rPr>
                  <w:rFonts w:eastAsia="Andale Sans UI" w:cs="Tahoma"/>
                  <w:szCs w:val="24"/>
                  <w:lang w:bidi="en-US"/>
                </w:rPr>
              </w:pPr>
              <w:r>
                <w:rPr>
                  <w:rFonts w:eastAsia="Andale Sans UI" w:cs="Tahoma"/>
                  <w:color w:val="000080"/>
                  <w:szCs w:val="24"/>
                  <w:u w:val="single"/>
                  <w:lang w:bidi="en-US"/>
                </w:rPr>
                <w:t>info@akoalicija.lt</w:t>
              </w:r>
            </w:p>
            <w:p>
              <w:pPr>
                <w:widowControl w:val="0"/>
                <w:suppressAutoHyphens/>
                <w:jc w:val="both"/>
                <w:rPr>
                  <w:rFonts w:eastAsia="Andale Sans UI"/>
                  <w:szCs w:val="24"/>
                  <w:shd w:val="clear" w:color="auto" w:fill="FFFFFF"/>
                  <w:lang w:bidi="en-US"/>
                </w:rPr>
              </w:pPr>
              <w:r>
                <w:rPr>
                  <w:rFonts w:eastAsia="Andale Sans UI"/>
                  <w:szCs w:val="24"/>
                  <w:shd w:val="clear" w:color="auto" w:fill="FFFFFF"/>
                  <w:lang w:bidi="en-US"/>
                </w:rPr>
                <w:t>Gamtos apsaugos asociacijai „Baltijos vilkas“</w:t>
              </w:r>
            </w:p>
            <w:p>
              <w:pPr>
                <w:widowControl w:val="0"/>
                <w:suppressAutoHyphens/>
                <w:jc w:val="both"/>
                <w:rPr>
                  <w:rFonts w:eastAsia="Andale Sans UI"/>
                  <w:szCs w:val="24"/>
                  <w:shd w:val="clear" w:color="auto" w:fill="FFFFFF"/>
                  <w:lang w:bidi="en-US"/>
                </w:rPr>
              </w:pPr>
              <w:r>
                <w:rPr>
                  <w:rFonts w:eastAsia="Andale Sans UI"/>
                  <w:color w:val="000080"/>
                  <w:szCs w:val="24"/>
                  <w:u w:val="single"/>
                  <w:shd w:val="clear" w:color="auto" w:fill="FFFFFF"/>
                  <w:lang w:bidi="en-US"/>
                </w:rPr>
                <w:t>info@vilkai.lt</w:t>
              </w:r>
            </w:p>
            <w:p>
              <w:pPr>
                <w:widowControl w:val="0"/>
                <w:suppressAutoHyphens/>
                <w:jc w:val="both"/>
                <w:rPr>
                  <w:rFonts w:eastAsia="Andale Sans UI" w:cs="Tahoma"/>
                  <w:szCs w:val="24"/>
                  <w:lang w:bidi="en-US"/>
                </w:rPr>
              </w:pPr>
              <w:r>
                <w:rPr>
                  <w:rFonts w:eastAsia="Andale Sans UI" w:cs="Tahoma"/>
                  <w:szCs w:val="24"/>
                  <w:lang w:bidi="en-US"/>
                </w:rPr>
                <w:t>Lietuvos žaliajam aljansui</w:t>
              </w:r>
            </w:p>
            <w:p>
              <w:pPr>
                <w:widowControl w:val="0"/>
                <w:suppressAutoHyphens/>
                <w:jc w:val="both"/>
                <w:rPr>
                  <w:rFonts w:eastAsia="Andale Sans UI" w:cs="Tahoma"/>
                  <w:szCs w:val="24"/>
                  <w:lang w:bidi="en-US"/>
                </w:rPr>
              </w:pPr>
              <w:r>
                <w:rPr>
                  <w:rFonts w:eastAsia="Andale Sans UI" w:cs="Tahoma"/>
                  <w:color w:val="000080"/>
                  <w:szCs w:val="24"/>
                  <w:u w:val="single"/>
                  <w:lang w:bidi="en-US"/>
                </w:rPr>
                <w:t>info@lzaljansas.lt</w:t>
              </w:r>
            </w:p>
            <w:p>
              <w:pPr>
                <w:widowControl w:val="0"/>
                <w:suppressAutoHyphens/>
                <w:jc w:val="both"/>
                <w:rPr>
                  <w:rFonts w:eastAsia="Andale Sans UI" w:cs="Tahoma"/>
                  <w:szCs w:val="24"/>
                  <w:lang w:bidi="en-US"/>
                </w:rPr>
              </w:pPr>
              <w:r>
                <w:rPr>
                  <w:rFonts w:eastAsia="Andale Sans UI" w:cs="Tahoma"/>
                  <w:szCs w:val="24"/>
                  <w:lang w:bidi="en-US"/>
                </w:rPr>
                <w:t>Gamtos tyrimų centrui</w:t>
              </w:r>
            </w:p>
            <w:p>
              <w:pPr>
                <w:widowControl w:val="0"/>
                <w:suppressAutoHyphens/>
                <w:jc w:val="both"/>
                <w:rPr>
                  <w:rFonts w:eastAsia="Andale Sans UI" w:cs="Tahoma"/>
                  <w:szCs w:val="24"/>
                  <w:lang w:bidi="en-US"/>
                </w:rPr>
              </w:pPr>
              <w:r>
                <w:rPr>
                  <w:rFonts w:eastAsia="Andale Sans UI" w:cs="Tahoma"/>
                  <w:color w:val="000080"/>
                  <w:szCs w:val="24"/>
                  <w:u w:val="single"/>
                  <w:lang w:bidi="en-US"/>
                </w:rPr>
                <w:t>sekretoriatas@gamtc.lt</w:t>
              </w:r>
            </w:p>
            <w:p>
              <w:pPr>
                <w:widowControl w:val="0"/>
                <w:suppressAutoHyphens/>
                <w:jc w:val="both"/>
                <w:rPr>
                  <w:rFonts w:eastAsia="Andale Sans UI" w:cs="Tahoma"/>
                  <w:szCs w:val="24"/>
                  <w:lang w:bidi="en-US"/>
                </w:rPr>
              </w:pPr>
              <w:r>
                <w:rPr>
                  <w:rFonts w:eastAsia="Andale Sans UI" w:cs="Tahoma"/>
                  <w:szCs w:val="24"/>
                  <w:lang w:bidi="en-US"/>
                </w:rPr>
                <w:t>Vytauto Didžiojo universiteto Žemės ūkio akademijos</w:t>
              </w:r>
              <w:r>
                <w:rPr>
                  <w:rFonts w:eastAsia="Andale Sans UI" w:cs="Tahoma"/>
                  <w:bCs/>
                  <w:szCs w:val="24"/>
                  <w:lang w:bidi="en-US"/>
                </w:rPr>
                <w:t xml:space="preserve"> </w:t>
              </w:r>
              <w:r>
                <w:rPr>
                  <w:rFonts w:eastAsia="Andale Sans UI" w:cs="Tahoma"/>
                  <w:szCs w:val="24"/>
                  <w:lang w:bidi="en-US"/>
                </w:rPr>
                <w:t>Miškų ir ekologijos fakultetui</w:t>
              </w:r>
            </w:p>
          </w:sdtContent>
        </w:sdt>
        <w:sdt>
          <w:sdtPr>
            <w:alias w:val="signatura"/>
            <w:tag w:val="part_ecccb3e6e5c6425fbff044f499c24826"/>
            <w:lock w:val="sdtLocked"/>
            <w:richText/>
          </w:sdtPr>
          <w:sdtContent>
            <w:p>
              <w:pPr>
                <w:widowControl w:val="0"/>
                <w:suppressAutoHyphens/>
                <w:jc w:val="both"/>
                <w:rPr>
                  <w:rFonts w:eastAsia="Andale Sans UI" w:cs="Tahoma"/>
                  <w:szCs w:val="24"/>
                  <w:lang w:bidi="en-US"/>
                </w:rPr>
              </w:pPr>
              <w:r>
                <w:rPr>
                  <w:rFonts w:eastAsia="Andale Sans UI" w:cs="Tahoma"/>
                  <w:color w:val="000080"/>
                  <w:szCs w:val="24"/>
                  <w:u w:val="single"/>
                  <w:lang w:bidi="en-US"/>
                </w:rPr>
                <w:t>zua@vdu.lt</w:t>
              </w:r>
            </w:p>
            <w:p>
              <w:pPr>
                <w:widowControl w:val="0"/>
                <w:suppressAutoHyphens/>
                <w:jc w:val="both"/>
                <w:rPr>
                  <w:rFonts w:eastAsia="Andale Sans UI" w:cs="Tahoma"/>
                  <w:szCs w:val="24"/>
                  <w:lang w:bidi="en-US"/>
                </w:rPr>
              </w:pPr>
              <w:r>
                <w:rPr>
                  <w:rFonts w:eastAsia="Andale Sans UI" w:cs="Tahoma"/>
                  <w:szCs w:val="24"/>
                  <w:lang w:bidi="en-US"/>
                </w:rPr>
                <w:t>Vilniaus universiteto Gyvybės mokslų centro Biomokslų institutui</w:t>
              </w:r>
            </w:p>
            <w:p>
              <w:pPr>
                <w:widowControl w:val="0"/>
                <w:suppressAutoHyphens/>
                <w:jc w:val="both"/>
                <w:rPr>
                  <w:rFonts w:eastAsia="Andale Sans UI" w:cs="Tahoma"/>
                  <w:szCs w:val="24"/>
                  <w:lang w:val="en-GB" w:bidi="en-US"/>
                </w:rPr>
              </w:pPr>
              <w:r>
                <w:rPr>
                  <w:rFonts w:eastAsia="Andale Sans UI" w:cs="Tahoma"/>
                  <w:color w:val="000080"/>
                  <w:szCs w:val="24"/>
                  <w:u w:val="single"/>
                  <w:lang w:bidi="en-US"/>
                </w:rPr>
                <w:t>info</w:t>
              </w:r>
              <w:r>
                <w:rPr>
                  <w:rFonts w:eastAsia="Andale Sans UI" w:cs="Tahoma"/>
                  <w:color w:val="000080"/>
                  <w:szCs w:val="24"/>
                  <w:u w:val="single"/>
                  <w:lang w:val="en-GB" w:bidi="en-US"/>
                </w:rPr>
                <w:t>@gmc.vu.lt</w:t>
              </w:r>
            </w:p>
            <w:p>
              <w:pPr>
                <w:widowControl w:val="0"/>
                <w:suppressLineNumbers/>
                <w:suppressAutoHyphens/>
                <w:rPr>
                  <w:rFonts w:eastAsia="Andale Sans UI" w:cs="Tahoma"/>
                  <w:szCs w:val="24"/>
                  <w:lang w:bidi="en-US"/>
                </w:rPr>
              </w:pPr>
              <w:r>
                <w:rPr>
                  <w:rFonts w:eastAsia="Andale Sans UI" w:cs="Tahoma"/>
                  <w:szCs w:val="24"/>
                  <w:lang w:bidi="en-US"/>
                </w:rPr>
                <w:t>Lietuvos miško ir žemės savininkų asociacijai</w:t>
              </w:r>
            </w:p>
            <w:p>
              <w:pPr>
                <w:widowControl w:val="0"/>
                <w:suppressAutoHyphens/>
                <w:jc w:val="both"/>
                <w:rPr>
                  <w:rFonts w:eastAsia="Andale Sans UI" w:cs="Tahoma"/>
                  <w:szCs w:val="24"/>
                  <w:lang w:val="en-GB" w:bidi="en-US"/>
                </w:rPr>
              </w:pPr>
              <w:r>
                <w:rPr>
                  <w:rFonts w:eastAsia="Andale Sans UI" w:cs="Tahoma"/>
                  <w:color w:val="000080"/>
                  <w:szCs w:val="24"/>
                  <w:u w:val="single"/>
                  <w:lang w:bidi="en-US"/>
                </w:rPr>
                <w:t>info</w:t>
              </w:r>
              <w:r>
                <w:rPr>
                  <w:rFonts w:eastAsia="Andale Sans UI" w:cs="Tahoma"/>
                  <w:color w:val="000080"/>
                  <w:szCs w:val="24"/>
                  <w:u w:val="single"/>
                  <w:lang w:val="en-GB" w:bidi="en-US"/>
                </w:rPr>
                <w:t>@forest.lt</w:t>
              </w:r>
            </w:p>
            <w:p>
              <w:pPr>
                <w:widowControl w:val="0"/>
                <w:suppressAutoHyphens/>
                <w:jc w:val="both"/>
                <w:rPr>
                  <w:rFonts w:eastAsia="Andale Sans UI" w:cs="Tahoma"/>
                  <w:szCs w:val="24"/>
                  <w:lang w:bidi="en-US"/>
                </w:rPr>
              </w:pPr>
              <w:r>
                <w:rPr>
                  <w:rFonts w:eastAsia="Andale Sans UI" w:cs="Tahoma"/>
                  <w:szCs w:val="24"/>
                  <w:lang w:bidi="en-US"/>
                </w:rPr>
                <w:t>Privačių miškų savininkų asociacijai</w:t>
              </w:r>
            </w:p>
            <w:p>
              <w:pPr>
                <w:widowControl w:val="0"/>
                <w:suppressAutoHyphens/>
                <w:jc w:val="both"/>
                <w:rPr>
                  <w:rFonts w:eastAsia="Andale Sans UI" w:cs="Tahoma"/>
                  <w:szCs w:val="24"/>
                  <w:lang w:bidi="en-US"/>
                </w:rPr>
              </w:pPr>
              <w:r>
                <w:rPr>
                  <w:rFonts w:eastAsia="Andale Sans UI" w:cs="Tahoma"/>
                  <w:color w:val="000080"/>
                  <w:szCs w:val="24"/>
                  <w:u w:val="single"/>
                  <w:lang w:bidi="en-US"/>
                </w:rPr>
                <w:t>Aidas@pmsa.lt</w:t>
              </w:r>
            </w:p>
            <w:p>
              <w:pPr>
                <w:widowControl w:val="0"/>
                <w:suppressAutoHyphens/>
                <w:jc w:val="both"/>
                <w:rPr>
                  <w:rFonts w:eastAsia="Andale Sans UI" w:cs="Tahoma"/>
                  <w:szCs w:val="24"/>
                  <w:lang w:bidi="en-US"/>
                </w:rPr>
              </w:pPr>
              <w:r>
                <w:rPr>
                  <w:rFonts w:eastAsia="Andale Sans UI" w:cs="Tahoma"/>
                  <w:szCs w:val="24"/>
                  <w:lang w:bidi="en-US"/>
                </w:rPr>
                <w:t>Lietuvos ūkininkų sąjungai</w:t>
              </w:r>
            </w:p>
            <w:p>
              <w:pPr>
                <w:widowControl w:val="0"/>
                <w:suppressAutoHyphens/>
                <w:jc w:val="both"/>
                <w:rPr>
                  <w:rFonts w:eastAsia="Andale Sans UI" w:cs="Tahoma"/>
                  <w:szCs w:val="24"/>
                  <w:lang w:bidi="en-US"/>
                </w:rPr>
              </w:pPr>
              <w:r>
                <w:rPr>
                  <w:rFonts w:eastAsia="Andale Sans UI" w:cs="Tahoma"/>
                  <w:color w:val="000080"/>
                  <w:szCs w:val="24"/>
                  <w:u w:val="single"/>
                  <w:lang w:bidi="en-US"/>
                </w:rPr>
                <w:t>lus</w:t>
              </w:r>
              <w:r>
                <w:rPr>
                  <w:rFonts w:eastAsia="Andale Sans UI" w:cs="Tahoma"/>
                  <w:color w:val="000080"/>
                  <w:szCs w:val="24"/>
                  <w:u w:val="single"/>
                  <w:lang w:val="en-GB" w:bidi="en-US"/>
                </w:rPr>
                <w:t>@</w:t>
              </w:r>
              <w:r>
                <w:rPr>
                  <w:rFonts w:eastAsia="Andale Sans UI" w:cs="Tahoma"/>
                  <w:color w:val="000080"/>
                  <w:szCs w:val="24"/>
                  <w:u w:val="single"/>
                  <w:lang w:bidi="en-US"/>
                </w:rPr>
                <w:t>lus.lt</w:t>
              </w:r>
            </w:p>
            <w:p>
              <w:pPr>
                <w:widowControl w:val="0"/>
                <w:suppressAutoHyphens/>
                <w:jc w:val="both"/>
                <w:rPr>
                  <w:rFonts w:eastAsia="Andale Sans UI" w:cs="Tahoma"/>
                  <w:szCs w:val="24"/>
                  <w:lang w:bidi="en-US"/>
                </w:rPr>
              </w:pPr>
              <w:r>
                <w:rPr>
                  <w:rFonts w:eastAsia="Andale Sans UI" w:cs="Tahoma"/>
                  <w:szCs w:val="24"/>
                  <w:lang w:bidi="en-US"/>
                </w:rPr>
                <w:t>Lietuvos avių augintojų asociacijai</w:t>
              </w:r>
            </w:p>
            <w:p>
              <w:pPr>
                <w:widowControl w:val="0"/>
                <w:suppressAutoHyphens/>
                <w:jc w:val="both"/>
                <w:rPr>
                  <w:rFonts w:eastAsia="Andale Sans UI" w:cs="Tahoma"/>
                  <w:szCs w:val="24"/>
                  <w:lang w:bidi="en-US"/>
                </w:rPr>
              </w:pPr>
              <w:r>
                <w:rPr>
                  <w:rFonts w:eastAsia="Andale Sans UI" w:cs="Tahoma"/>
                  <w:color w:val="000080"/>
                  <w:szCs w:val="24"/>
                  <w:u w:val="single"/>
                  <w:lang w:bidi="en-US"/>
                </w:rPr>
                <w:t>info@aviuaugintojai.lt</w:t>
              </w:r>
            </w:p>
          </w:sdtContent>
        </w:sdt>
      </w:sdtContent>
    </w:sdt>
    <w:sectPr>
      <w:headerReference w:type="even" r:id="rId31"/>
      <w:headerReference w:type="default" r:id="rId32"/>
      <w:footerReference w:type="even" r:id="rId33"/>
      <w:footerReference w:type="default" r:id="rId34"/>
      <w:headerReference w:type="first" r:id="rId35"/>
      <w:footerReference w:type="first" r:id="rId36"/>
      <w:footnotePr>
        <w:pos w:val="beneathText"/>
        <w:numRestart w:val="eachPage"/>
      </w:footnotePr>
      <w:endnotePr>
        <w:numFmt w:val="decimal"/>
      </w:endnotePr>
      <w:pgSz w:w="11905" w:h="16837"/>
      <w:pgMar w:top="671" w:right="567" w:bottom="851" w:left="1701" w:header="567" w:footer="230"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widowControl w:val="0"/>
        <w:suppressAutoHyphens/>
        <w:rPr>
          <w:rFonts w:eastAsia="Andale Sans UI" w:cs="Tahoma"/>
          <w:szCs w:val="24"/>
          <w:lang w:bidi="en-US"/>
        </w:rPr>
      </w:pPr>
      <w:r>
        <w:rPr>
          <w:rFonts w:eastAsia="Andale Sans UI" w:cs="Tahoma"/>
          <w:szCs w:val="24"/>
          <w:lang w:bidi="en-US"/>
        </w:rPr>
        <w:separator/>
      </w:r>
    </w:p>
  </w:endnote>
  <w:end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ndale Sans UI">
    <w:altName w:val="Arial Unicode MS"/>
    <w:charset w:val="BA"/>
    <w:family w:val="swiss"/>
    <w:pitch w:val="variable"/>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jc w:val="right"/>
      <w:rPr>
        <w:rFonts w:eastAsia="Andale Sans UI" w:cs="Tahoma"/>
        <w:szCs w:val="24"/>
        <w:lang w:bidi="en-US"/>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widowControl w:val="0"/>
        <w:suppressAutoHyphens/>
        <w:rPr>
          <w:rFonts w:eastAsia="Andale Sans UI" w:cs="Tahoma"/>
          <w:szCs w:val="24"/>
          <w:lang w:bidi="en-US"/>
        </w:rPr>
      </w:pPr>
      <w:r>
        <w:rPr>
          <w:rFonts w:eastAsia="Andale Sans UI" w:cs="Tahoma"/>
          <w:szCs w:val="24"/>
          <w:lang w:bidi="en-US"/>
        </w:rPr>
        <w:separator/>
      </w:r>
    </w:p>
  </w:footnote>
  <w:foot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3</w: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481"/>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04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04705888">
      <w:bodyDiv w:val="1"/>
      <w:marLeft w:val="0"/>
      <w:marRight w:val="0"/>
      <w:marTop w:val="0"/>
      <w:marBottom w:val="0"/>
      <w:divBdr>
        <w:top w:val="none" w:sz="0" w:space="0" w:color="auto"/>
        <w:left w:val="none" w:sz="0" w:space="0" w:color="auto"/>
        <w:bottom w:val="none" w:sz="0" w:space="0" w:color="auto"/>
        <w:right w:val="none" w:sz="0" w:space="0" w:color="auto"/>
      </w:divBdr>
      <w:divsChild>
        <w:div w:id="1753157320">
          <w:marLeft w:val="0"/>
          <w:marRight w:val="0"/>
          <w:marTop w:val="0"/>
          <w:marBottom w:val="0"/>
          <w:divBdr>
            <w:top w:val="none" w:sz="0" w:space="0" w:color="auto"/>
            <w:left w:val="none" w:sz="0" w:space="0" w:color="auto"/>
            <w:bottom w:val="none" w:sz="0" w:space="0" w:color="auto"/>
            <w:right w:val="none" w:sz="0" w:space="0" w:color="auto"/>
          </w:divBdr>
        </w:div>
      </w:divsChild>
    </w:div>
    <w:div w:id="343097972">
      <w:bodyDiv w:val="1"/>
      <w:marLeft w:val="0"/>
      <w:marRight w:val="0"/>
      <w:marTop w:val="0"/>
      <w:marBottom w:val="0"/>
      <w:divBdr>
        <w:top w:val="none" w:sz="0" w:space="0" w:color="auto"/>
        <w:left w:val="none" w:sz="0" w:space="0" w:color="auto"/>
        <w:bottom w:val="none" w:sz="0" w:space="0" w:color="auto"/>
        <w:right w:val="none" w:sz="0" w:space="0" w:color="auto"/>
      </w:divBdr>
    </w:div>
    <w:div w:id="376046466">
      <w:bodyDiv w:val="1"/>
      <w:marLeft w:val="0"/>
      <w:marRight w:val="0"/>
      <w:marTop w:val="0"/>
      <w:marBottom w:val="0"/>
      <w:divBdr>
        <w:top w:val="none" w:sz="0" w:space="0" w:color="auto"/>
        <w:left w:val="none" w:sz="0" w:space="0" w:color="auto"/>
        <w:bottom w:val="none" w:sz="0" w:space="0" w:color="auto"/>
        <w:right w:val="none" w:sz="0" w:space="0" w:color="auto"/>
      </w:divBdr>
    </w:div>
    <w:div w:id="382949975">
      <w:bodyDiv w:val="1"/>
      <w:marLeft w:val="0"/>
      <w:marRight w:val="0"/>
      <w:marTop w:val="0"/>
      <w:marBottom w:val="0"/>
      <w:divBdr>
        <w:top w:val="none" w:sz="0" w:space="0" w:color="auto"/>
        <w:left w:val="none" w:sz="0" w:space="0" w:color="auto"/>
        <w:bottom w:val="none" w:sz="0" w:space="0" w:color="auto"/>
        <w:right w:val="none" w:sz="0" w:space="0" w:color="auto"/>
      </w:divBdr>
      <w:divsChild>
        <w:div w:id="101807164">
          <w:marLeft w:val="0"/>
          <w:marRight w:val="0"/>
          <w:marTop w:val="0"/>
          <w:marBottom w:val="0"/>
          <w:divBdr>
            <w:top w:val="none" w:sz="0" w:space="0" w:color="auto"/>
            <w:left w:val="none" w:sz="0" w:space="0" w:color="auto"/>
            <w:bottom w:val="none" w:sz="0" w:space="0" w:color="auto"/>
            <w:right w:val="none" w:sz="0" w:space="0" w:color="auto"/>
          </w:divBdr>
        </w:div>
        <w:div w:id="1054736488">
          <w:marLeft w:val="0"/>
          <w:marRight w:val="0"/>
          <w:marTop w:val="0"/>
          <w:marBottom w:val="0"/>
          <w:divBdr>
            <w:top w:val="none" w:sz="0" w:space="0" w:color="auto"/>
            <w:left w:val="none" w:sz="0" w:space="0" w:color="auto"/>
            <w:bottom w:val="none" w:sz="0" w:space="0" w:color="auto"/>
            <w:right w:val="none" w:sz="0" w:space="0" w:color="auto"/>
          </w:divBdr>
        </w:div>
      </w:divsChild>
    </w:div>
    <w:div w:id="546141022">
      <w:bodyDiv w:val="1"/>
      <w:marLeft w:val="0"/>
      <w:marRight w:val="0"/>
      <w:marTop w:val="0"/>
      <w:marBottom w:val="0"/>
      <w:divBdr>
        <w:top w:val="none" w:sz="0" w:space="0" w:color="auto"/>
        <w:left w:val="none" w:sz="0" w:space="0" w:color="auto"/>
        <w:bottom w:val="none" w:sz="0" w:space="0" w:color="auto"/>
        <w:right w:val="none" w:sz="0" w:space="0" w:color="auto"/>
      </w:divBdr>
      <w:divsChild>
        <w:div w:id="1648244215">
          <w:marLeft w:val="0"/>
          <w:marRight w:val="0"/>
          <w:marTop w:val="0"/>
          <w:marBottom w:val="0"/>
          <w:divBdr>
            <w:top w:val="none" w:sz="0" w:space="0" w:color="auto"/>
            <w:left w:val="none" w:sz="0" w:space="0" w:color="auto"/>
            <w:bottom w:val="none" w:sz="0" w:space="0" w:color="auto"/>
            <w:right w:val="none" w:sz="0" w:space="0" w:color="auto"/>
          </w:divBdr>
        </w:div>
        <w:div w:id="1238320530">
          <w:marLeft w:val="0"/>
          <w:marRight w:val="0"/>
          <w:marTop w:val="0"/>
          <w:marBottom w:val="0"/>
          <w:divBdr>
            <w:top w:val="none" w:sz="0" w:space="0" w:color="auto"/>
            <w:left w:val="none" w:sz="0" w:space="0" w:color="auto"/>
            <w:bottom w:val="none" w:sz="0" w:space="0" w:color="auto"/>
            <w:right w:val="none" w:sz="0" w:space="0" w:color="auto"/>
          </w:divBdr>
        </w:div>
      </w:divsChild>
    </w:div>
    <w:div w:id="1010837175">
      <w:bodyDiv w:val="1"/>
      <w:marLeft w:val="0"/>
      <w:marRight w:val="0"/>
      <w:marTop w:val="0"/>
      <w:marBottom w:val="0"/>
      <w:divBdr>
        <w:top w:val="none" w:sz="0" w:space="0" w:color="auto"/>
        <w:left w:val="none" w:sz="0" w:space="0" w:color="auto"/>
        <w:bottom w:val="none" w:sz="0" w:space="0" w:color="auto"/>
        <w:right w:val="none" w:sz="0" w:space="0" w:color="auto"/>
      </w:divBdr>
    </w:div>
    <w:div w:id="1242833593">
      <w:bodyDiv w:val="1"/>
      <w:marLeft w:val="0"/>
      <w:marRight w:val="0"/>
      <w:marTop w:val="0"/>
      <w:marBottom w:val="0"/>
      <w:divBdr>
        <w:top w:val="none" w:sz="0" w:space="0" w:color="auto"/>
        <w:left w:val="none" w:sz="0" w:space="0" w:color="auto"/>
        <w:bottom w:val="none" w:sz="0" w:space="0" w:color="auto"/>
        <w:right w:val="none" w:sz="0" w:space="0" w:color="auto"/>
      </w:divBdr>
      <w:divsChild>
        <w:div w:id="1709987984">
          <w:marLeft w:val="0"/>
          <w:marRight w:val="0"/>
          <w:marTop w:val="0"/>
          <w:marBottom w:val="0"/>
          <w:divBdr>
            <w:top w:val="none" w:sz="0" w:space="0" w:color="auto"/>
            <w:left w:val="none" w:sz="0" w:space="0" w:color="auto"/>
            <w:bottom w:val="none" w:sz="0" w:space="0" w:color="auto"/>
            <w:right w:val="none" w:sz="0" w:space="0" w:color="auto"/>
          </w:divBdr>
        </w:div>
        <w:div w:id="851458080">
          <w:marLeft w:val="0"/>
          <w:marRight w:val="0"/>
          <w:marTop w:val="0"/>
          <w:marBottom w:val="0"/>
          <w:divBdr>
            <w:top w:val="none" w:sz="0" w:space="0" w:color="auto"/>
            <w:left w:val="none" w:sz="0" w:space="0" w:color="auto"/>
            <w:bottom w:val="none" w:sz="0" w:space="0" w:color="auto"/>
            <w:right w:val="none" w:sz="0" w:space="0" w:color="auto"/>
          </w:divBdr>
        </w:div>
      </w:divsChild>
    </w:div>
    <w:div w:id="1457332822">
      <w:bodyDiv w:val="1"/>
      <w:marLeft w:val="0"/>
      <w:marRight w:val="0"/>
      <w:marTop w:val="0"/>
      <w:marBottom w:val="0"/>
      <w:divBdr>
        <w:top w:val="none" w:sz="0" w:space="0" w:color="auto"/>
        <w:left w:val="none" w:sz="0" w:space="0" w:color="auto"/>
        <w:bottom w:val="none" w:sz="0" w:space="0" w:color="auto"/>
        <w:right w:val="none" w:sz="0" w:space="0" w:color="auto"/>
      </w:divBdr>
    </w:div>
    <w:div w:id="1951931517">
      <w:bodyDiv w:val="1"/>
      <w:marLeft w:val="0"/>
      <w:marRight w:val="0"/>
      <w:marTop w:val="0"/>
      <w:marBottom w:val="0"/>
      <w:divBdr>
        <w:top w:val="none" w:sz="0" w:space="0" w:color="auto"/>
        <w:left w:val="none" w:sz="0" w:space="0" w:color="auto"/>
        <w:bottom w:val="none" w:sz="0" w:space="0" w:color="auto"/>
        <w:right w:val="none" w:sz="0" w:space="0" w:color="auto"/>
      </w:divBdr>
      <w:divsChild>
        <w:div w:id="1217471170">
          <w:marLeft w:val="0"/>
          <w:marRight w:val="0"/>
          <w:marTop w:val="0"/>
          <w:marBottom w:val="0"/>
          <w:divBdr>
            <w:top w:val="none" w:sz="0" w:space="0" w:color="auto"/>
            <w:left w:val="none" w:sz="0" w:space="0" w:color="auto"/>
            <w:bottom w:val="none" w:sz="0" w:space="0" w:color="auto"/>
            <w:right w:val="none" w:sz="0" w:space="0" w:color="auto"/>
          </w:divBdr>
        </w:div>
        <w:div w:id="1049761330">
          <w:marLeft w:val="0"/>
          <w:marRight w:val="0"/>
          <w:marTop w:val="0"/>
          <w:marBottom w:val="0"/>
          <w:divBdr>
            <w:top w:val="none" w:sz="0" w:space="0" w:color="auto"/>
            <w:left w:val="none" w:sz="0" w:space="0" w:color="auto"/>
            <w:bottom w:val="none" w:sz="0" w:space="0" w:color="auto"/>
            <w:right w:val="none" w:sz="0" w:space="0" w:color="auto"/>
          </w:divBdr>
          <w:divsChild>
            <w:div w:id="268902316">
              <w:marLeft w:val="0"/>
              <w:marRight w:val="0"/>
              <w:marTop w:val="0"/>
              <w:marBottom w:val="0"/>
              <w:divBdr>
                <w:top w:val="none" w:sz="0" w:space="0" w:color="auto"/>
                <w:left w:val="none" w:sz="0" w:space="0" w:color="auto"/>
                <w:bottom w:val="none" w:sz="0" w:space="0" w:color="auto"/>
                <w:right w:val="none" w:sz="0" w:space="0" w:color="auto"/>
              </w:divBdr>
            </w:div>
            <w:div w:id="560754487">
              <w:marLeft w:val="0"/>
              <w:marRight w:val="0"/>
              <w:marTop w:val="0"/>
              <w:marBottom w:val="0"/>
              <w:divBdr>
                <w:top w:val="none" w:sz="0" w:space="0" w:color="auto"/>
                <w:left w:val="none" w:sz="0" w:space="0" w:color="auto"/>
                <w:bottom w:val="none" w:sz="0" w:space="0" w:color="auto"/>
                <w:right w:val="none" w:sz="0" w:space="0" w:color="auto"/>
              </w:divBdr>
            </w:div>
            <w:div w:id="777068557">
              <w:marLeft w:val="0"/>
              <w:marRight w:val="0"/>
              <w:marTop w:val="0"/>
              <w:marBottom w:val="0"/>
              <w:divBdr>
                <w:top w:val="none" w:sz="0" w:space="0" w:color="auto"/>
                <w:left w:val="none" w:sz="0" w:space="0" w:color="auto"/>
                <w:bottom w:val="none" w:sz="0" w:space="0" w:color="auto"/>
                <w:right w:val="none" w:sz="0" w:space="0" w:color="auto"/>
              </w:divBdr>
            </w:div>
            <w:div w:id="330452409">
              <w:marLeft w:val="0"/>
              <w:marRight w:val="0"/>
              <w:marTop w:val="0"/>
              <w:marBottom w:val="0"/>
              <w:divBdr>
                <w:top w:val="none" w:sz="0" w:space="0" w:color="auto"/>
                <w:left w:val="none" w:sz="0" w:space="0" w:color="auto"/>
                <w:bottom w:val="none" w:sz="0" w:space="0" w:color="auto"/>
                <w:right w:val="none" w:sz="0" w:space="0" w:color="auto"/>
              </w:divBdr>
            </w:div>
            <w:div w:id="1352486727">
              <w:marLeft w:val="0"/>
              <w:marRight w:val="0"/>
              <w:marTop w:val="0"/>
              <w:marBottom w:val="0"/>
              <w:divBdr>
                <w:top w:val="none" w:sz="0" w:space="0" w:color="auto"/>
                <w:left w:val="none" w:sz="0" w:space="0" w:color="auto"/>
                <w:bottom w:val="none" w:sz="0" w:space="0" w:color="auto"/>
                <w:right w:val="none" w:sz="0" w:space="0" w:color="auto"/>
              </w:divBdr>
            </w:div>
            <w:div w:id="112941794">
              <w:marLeft w:val="0"/>
              <w:marRight w:val="0"/>
              <w:marTop w:val="0"/>
              <w:marBottom w:val="0"/>
              <w:divBdr>
                <w:top w:val="none" w:sz="0" w:space="0" w:color="auto"/>
                <w:left w:val="none" w:sz="0" w:space="0" w:color="auto"/>
                <w:bottom w:val="none" w:sz="0" w:space="0" w:color="auto"/>
                <w:right w:val="none" w:sz="0" w:space="0" w:color="auto"/>
              </w:divBdr>
            </w:div>
            <w:div w:id="598870749">
              <w:marLeft w:val="0"/>
              <w:marRight w:val="0"/>
              <w:marTop w:val="0"/>
              <w:marBottom w:val="0"/>
              <w:divBdr>
                <w:top w:val="none" w:sz="0" w:space="0" w:color="auto"/>
                <w:left w:val="none" w:sz="0" w:space="0" w:color="auto"/>
                <w:bottom w:val="none" w:sz="0" w:space="0" w:color="auto"/>
                <w:right w:val="none" w:sz="0" w:space="0" w:color="auto"/>
              </w:divBdr>
            </w:div>
            <w:div w:id="1124545229">
              <w:marLeft w:val="0"/>
              <w:marRight w:val="0"/>
              <w:marTop w:val="0"/>
              <w:marBottom w:val="0"/>
              <w:divBdr>
                <w:top w:val="none" w:sz="0" w:space="0" w:color="auto"/>
                <w:left w:val="none" w:sz="0" w:space="0" w:color="auto"/>
                <w:bottom w:val="none" w:sz="0" w:space="0" w:color="auto"/>
                <w:right w:val="none" w:sz="0" w:space="0" w:color="auto"/>
              </w:divBdr>
            </w:div>
            <w:div w:id="124394336">
              <w:marLeft w:val="0"/>
              <w:marRight w:val="0"/>
              <w:marTop w:val="0"/>
              <w:marBottom w:val="0"/>
              <w:divBdr>
                <w:top w:val="none" w:sz="0" w:space="0" w:color="auto"/>
                <w:left w:val="none" w:sz="0" w:space="0" w:color="auto"/>
                <w:bottom w:val="none" w:sz="0" w:space="0" w:color="auto"/>
                <w:right w:val="none" w:sz="0" w:space="0" w:color="auto"/>
              </w:divBdr>
            </w:div>
            <w:div w:id="918095141">
              <w:marLeft w:val="0"/>
              <w:marRight w:val="0"/>
              <w:marTop w:val="0"/>
              <w:marBottom w:val="0"/>
              <w:divBdr>
                <w:top w:val="none" w:sz="0" w:space="0" w:color="auto"/>
                <w:left w:val="none" w:sz="0" w:space="0" w:color="auto"/>
                <w:bottom w:val="none" w:sz="0" w:space="0" w:color="auto"/>
                <w:right w:val="none" w:sz="0" w:space="0" w:color="auto"/>
              </w:divBdr>
            </w:div>
            <w:div w:id="1969624527">
              <w:marLeft w:val="0"/>
              <w:marRight w:val="0"/>
              <w:marTop w:val="0"/>
              <w:marBottom w:val="0"/>
              <w:divBdr>
                <w:top w:val="none" w:sz="0" w:space="0" w:color="auto"/>
                <w:left w:val="none" w:sz="0" w:space="0" w:color="auto"/>
                <w:bottom w:val="none" w:sz="0" w:space="0" w:color="auto"/>
                <w:right w:val="none" w:sz="0" w:space="0" w:color="auto"/>
              </w:divBdr>
            </w:div>
          </w:divsChild>
        </w:div>
        <w:div w:id="287589300">
          <w:marLeft w:val="0"/>
          <w:marRight w:val="0"/>
          <w:marTop w:val="0"/>
          <w:marBottom w:val="0"/>
          <w:divBdr>
            <w:top w:val="none" w:sz="0" w:space="0" w:color="auto"/>
            <w:left w:val="none" w:sz="0" w:space="0" w:color="auto"/>
            <w:bottom w:val="none" w:sz="0" w:space="0" w:color="auto"/>
            <w:right w:val="none" w:sz="0" w:space="0" w:color="auto"/>
          </w:divBdr>
          <w:divsChild>
            <w:div w:id="222839824">
              <w:marLeft w:val="0"/>
              <w:marRight w:val="0"/>
              <w:marTop w:val="0"/>
              <w:marBottom w:val="0"/>
              <w:divBdr>
                <w:top w:val="none" w:sz="0" w:space="0" w:color="auto"/>
                <w:left w:val="none" w:sz="0" w:space="0" w:color="auto"/>
                <w:bottom w:val="none" w:sz="0" w:space="0" w:color="auto"/>
                <w:right w:val="none" w:sz="0" w:space="0" w:color="auto"/>
              </w:divBdr>
            </w:div>
            <w:div w:id="800534913">
              <w:marLeft w:val="0"/>
              <w:marRight w:val="0"/>
              <w:marTop w:val="0"/>
              <w:marBottom w:val="0"/>
              <w:divBdr>
                <w:top w:val="none" w:sz="0" w:space="0" w:color="auto"/>
                <w:left w:val="none" w:sz="0" w:space="0" w:color="auto"/>
                <w:bottom w:val="none" w:sz="0" w:space="0" w:color="auto"/>
                <w:right w:val="none" w:sz="0" w:space="0" w:color="auto"/>
              </w:divBdr>
            </w:div>
            <w:div w:id="984048664">
              <w:marLeft w:val="0"/>
              <w:marRight w:val="0"/>
              <w:marTop w:val="0"/>
              <w:marBottom w:val="0"/>
              <w:divBdr>
                <w:top w:val="none" w:sz="0" w:space="0" w:color="auto"/>
                <w:left w:val="none" w:sz="0" w:space="0" w:color="auto"/>
                <w:bottom w:val="none" w:sz="0" w:space="0" w:color="auto"/>
                <w:right w:val="none" w:sz="0" w:space="0" w:color="auto"/>
              </w:divBdr>
            </w:div>
            <w:div w:id="154613955">
              <w:marLeft w:val="0"/>
              <w:marRight w:val="0"/>
              <w:marTop w:val="0"/>
              <w:marBottom w:val="0"/>
              <w:divBdr>
                <w:top w:val="none" w:sz="0" w:space="0" w:color="auto"/>
                <w:left w:val="none" w:sz="0" w:space="0" w:color="auto"/>
                <w:bottom w:val="none" w:sz="0" w:space="0" w:color="auto"/>
                <w:right w:val="none" w:sz="0" w:space="0" w:color="auto"/>
              </w:divBdr>
            </w:div>
            <w:div w:id="602493985">
              <w:marLeft w:val="0"/>
              <w:marRight w:val="0"/>
              <w:marTop w:val="0"/>
              <w:marBottom w:val="0"/>
              <w:divBdr>
                <w:top w:val="none" w:sz="0" w:space="0" w:color="auto"/>
                <w:left w:val="none" w:sz="0" w:space="0" w:color="auto"/>
                <w:bottom w:val="none" w:sz="0" w:space="0" w:color="auto"/>
                <w:right w:val="none" w:sz="0" w:space="0" w:color="auto"/>
              </w:divBdr>
            </w:div>
            <w:div w:id="618533965">
              <w:marLeft w:val="0"/>
              <w:marRight w:val="0"/>
              <w:marTop w:val="0"/>
              <w:marBottom w:val="0"/>
              <w:divBdr>
                <w:top w:val="none" w:sz="0" w:space="0" w:color="auto"/>
                <w:left w:val="none" w:sz="0" w:space="0" w:color="auto"/>
                <w:bottom w:val="none" w:sz="0" w:space="0" w:color="auto"/>
                <w:right w:val="none" w:sz="0" w:space="0" w:color="auto"/>
              </w:divBdr>
            </w:div>
            <w:div w:id="1436249639">
              <w:marLeft w:val="0"/>
              <w:marRight w:val="0"/>
              <w:marTop w:val="0"/>
              <w:marBottom w:val="0"/>
              <w:divBdr>
                <w:top w:val="none" w:sz="0" w:space="0" w:color="auto"/>
                <w:left w:val="none" w:sz="0" w:space="0" w:color="auto"/>
                <w:bottom w:val="none" w:sz="0" w:space="0" w:color="auto"/>
                <w:right w:val="none" w:sz="0" w:space="0" w:color="auto"/>
              </w:divBdr>
            </w:div>
            <w:div w:id="1942450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image" Target="media/image1.png"/>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31" Type="http://schemas.openxmlformats.org/officeDocument/2006/relationships/header" Target="header1.xml"/>
  <Relationship Id="rId32" Type="http://schemas.openxmlformats.org/officeDocument/2006/relationships/header" Target="header2.xml"/>
  <Relationship Id="rId33" Type="http://schemas.openxmlformats.org/officeDocument/2006/relationships/footer" Target="footer1.xml"/>
  <Relationship Id="rId34" Type="http://schemas.openxmlformats.org/officeDocument/2006/relationships/footer" Target="footer2.xml"/>
  <Relationship Id="rId35" Type="http://schemas.openxmlformats.org/officeDocument/2006/relationships/header" Target="header3.xml"/>
  <Relationship Id="rId36" Type="http://schemas.openxmlformats.org/officeDocument/2006/relationships/footer" Target="footer3.xml"/>
  <Relationship Id="rId37" Type="http://schemas.openxmlformats.org/officeDocument/2006/relationships/fontTable" Target="fontTable.xml"/>
  <Relationship Id="rId38" Type="http://schemas.openxmlformats.org/officeDocument/2006/relationships/theme" Target="theme/theme1.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Vilmantas Graičiūnas</DisplayName>
        <AccountId>82</AccountId>
        <AccountType/>
      </UserInfo>
    </SharedWithUser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lentele" DocPartId="f728af85b90b446baf862a27153584b8" PartId="c9a7095332bb462eb6fd95f0450b4214"/>
  <Part Type="pastraipa" DocPartId="30ae6044c66944ebb4144a528cf742ef" PartId="c76f624fb327451b9bc516980d03a136"/>
  <Part Type="pastraipa" DocPartId="f15f73011add47608cdedd9d4892302b" PartId="62e7b7f44d5b46538f6c9a461758b2d8"/>
  <Part Type="pastraipa" DocPartId="444c01df9e244cffba4b66402f645ad9" PartId="86e4b3a3daba4c839fe1ee7ae4fc1457"/>
  <Part Type="pastraipa" DocPartId="24eb50dcb7cf4b44808425740e53ace9" PartId="2dbefff81ba44ea6aca154d13e296543"/>
  <Part Type="pastraipa" DocPartId="268b00148be54c97ab6eaa9bd41c4e69" PartId="0eb9491090c14829b797bbfb7f0710fd"/>
  <Part Type="pastraipa" DocPartId="70d4d95ba9dc4d62a87d1d941bff0743" PartId="9b26088d5244497bb48aac2947f100eb"/>
  <Part Type="pastraipa" DocPartId="69c6cc8cbcf54fd6ac84ca80f1b66329" PartId="8d8d7dade8244d79af2dea144f0c97ef"/>
  <Part Type="pastraipa" DocPartId="55fdf3d686184a58884d382942ebec87" PartId="b2811860f38a4bd0af83f3d3d184d5a6"/>
  <Part Type="pastraipa" DocPartId="061051d2d36e4100b00e05a846271bbe" PartId="e76b92f7770a46a7a945af2cc8429248"/>
  <Part Type="pastraipa" DocPartId="7b0d8239b18144d09c221b07298d87fb" PartId="60c60e10a85244908358892d6d6fd6cc"/>
  <Part Type="pastraipa" DocPartId="12b1d5653cb04040908e8ae85086e83f" PartId="065f501b150d47c693437c9856947736"/>
  <Part Type="pastraipa" DocPartId="055cac076d5c4b61bc0e9b83218663c0" PartId="5c941fccedc4410088e89e4a020e878c"/>
  <Part Type="pastraipa" DocPartId="26777d870be74f13bfdad94795e409cf" PartId="e63b8f63a1de46d591857abca5cc4bb9"/>
  <Part Type="pastraipa" DocPartId="1256f132e3f84062ada12b1fcd8a1b0e" PartId="f0a6099fd7954cccb38e72167b7420b6"/>
  <Part Type="pastraipa" DocPartId="7be3a1c9d8744c3383dfdb6ef92d4b16" PartId="679676bdbcd144468a6fe0009cf5cabf">
    <Part Type="punktas" Nr="1" Abbr="1 p." DocPartId="02b629cda1ed4f2a944d8ac3b057e7ef" PartId="1570be8a40594ead8c3a98556859024b"/>
    <Part Type="punktas" Nr="2" Abbr="2 p." DocPartId="8552b977591d4d7e93514bb87602c502" PartId="408047b6ef8446158c31acbeab9db946"/>
    <Part Type="signatura" DocPartId="495a30ee05ba45a7be6bed57ab2a0613" PartId="ecccb3e6e5c6425fbff044f499c24826"/>
  </Part>
</Parts>
</file>

<file path=customXml/itemProps1.xml><?xml version="1.0" encoding="utf-8"?>
<ds:datastoreItem xmlns:ds="http://schemas.openxmlformats.org/officeDocument/2006/customXml" ds:itemID="{8D6B9AEC-7E30-4F52-91D3-055230EF8D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6C43993-7477-49C5-8ACA-039A078D8C2C}">
  <ds:schemaRefs>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www.w3.org/XML/1998/namespace"/>
    <ds:schemaRef ds:uri="http://purl.org/dc/dcmitype/"/>
  </ds:schemaRefs>
</ds:datastoreItem>
</file>

<file path=customXml/itemProps3.xml><?xml version="1.0" encoding="utf-8"?>
<ds:datastoreItem xmlns:ds="http://schemas.openxmlformats.org/officeDocument/2006/customXml" ds:itemID="{36D4A959-C70C-4D7A-9968-4A11CA11A059}">
  <ds:schemaRefs>
    <ds:schemaRef ds:uri="http://schemas.microsoft.com/sharepoint/v3/contenttype/forms"/>
  </ds:schemaRefs>
</ds:datastoreItem>
</file>

<file path=customXml/itemProps4.xml><?xml version="1.0" encoding="utf-8"?>
<ds:datastoreItem xmlns:ds="http://schemas.openxmlformats.org/officeDocument/2006/customXml" ds:itemID="{613D2DE1-7071-4E1A-A515-5405F2EB64D8}">
  <ds:schemaRefs>
    <ds:schemaRef ds:uri="http://schemas.openxmlformats.org/officeDocument/2006/bibliography"/>
  </ds:schemaRefs>
</ds:datastoreItem>
</file>

<file path=customXml/itemProps5.xml><?xml version="1.0" encoding="utf-8"?>
<ds:datastoreItem xmlns:ds="http://schemas.openxmlformats.org/officeDocument/2006/customXml" ds:itemID="{66EF078F-24EC-441E-BD6C-299A933F12E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852</Words>
  <Characters>6268</Characters>
  <Application>Microsoft Office Word</Application>
  <DocSecurity>4</DocSecurity>
  <Lines>179</Lines>
  <Paragraphs>87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7033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2021-09-27T06:36:00Z</dcterms:created>
  <dcterms:modified xsi:type="dcterms:W3CDTF">2021-09-27T06:36:00Z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