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f6da39e1d6643e488033edcfb61737d"/>
        <w:lock w:val="sdtLocked"/>
        <w:richText/>
      </w:sdtPr>
      <w:sdtContent>
        <w:p>
          <w:pPr>
            <w:spacing w:line="360" w:lineRule="auto"/>
            <w:jc w:val="center"/>
            <w:rPr>
              <w:rFonts w:eastAsia="Arial Unicode MS"/>
              <w:sz w:val="22"/>
              <w:szCs w:val="22"/>
              <w:lang w:val="en-US" w:eastAsia="en-GB"/>
            </w:rPr>
          </w:pPr>
        </w:p>
        <w:p>
          <w:pPr>
            <w:spacing w:line="360" w:lineRule="auto"/>
            <w:jc w:val="center"/>
            <w:rPr>
              <w:rFonts w:eastAsia="Arial Unicode MS"/>
              <w:sz w:val="22"/>
              <w:szCs w:val="22"/>
              <w:lang w:val="en-US" w:eastAsia="en-GB"/>
            </w:rPr>
          </w:pPr>
        </w:p>
        <w:p>
          <w:pPr>
            <w:widowControl w:val="0"/>
            <w:jc w:val="center"/>
            <w:rPr>
              <w:rFonts w:eastAsia="Arial Unicode MS"/>
              <w:color w:val="1A3B7A"/>
              <w:sz w:val="22"/>
              <w:szCs w:val="22"/>
              <w:lang w:val="en-US" w:eastAsia="en-GB"/>
            </w:rPr>
          </w:pPr>
          <w:r>
            <w:rPr>
              <w:rFonts w:eastAsia="Arial Unicode MS"/>
              <w:sz w:val="22"/>
              <w:szCs w:val="22"/>
              <w:lang w:eastAsia="en-GB"/>
            </w:rPr>
            <w:t>PROJEKTO SUSITARIMAS Nr. B PRJ.CAP.1268</w:t>
          </w:r>
        </w:p>
        <w:p>
          <w:pPr>
            <w:rPr>
              <w:sz w:val="42"/>
              <w:szCs w:val="42"/>
            </w:rPr>
          </w:pPr>
        </w:p>
        <w:p>
          <w:pPr>
            <w:spacing w:line="360" w:lineRule="auto"/>
            <w:jc w:val="center"/>
            <w:rPr>
              <w:rFonts w:eastAsia="Arial Unicode MS"/>
              <w:sz w:val="22"/>
              <w:szCs w:val="22"/>
              <w:lang w:val="en-US" w:eastAsia="en-GB"/>
            </w:rPr>
          </w:pPr>
        </w:p>
        <w:p>
          <w:pPr>
            <w:spacing w:line="360" w:lineRule="auto"/>
            <w:ind w:left="520"/>
            <w:jc w:val="center"/>
            <w:rPr>
              <w:rFonts w:eastAsia="Arial Unicode MS"/>
              <w:szCs w:val="24"/>
              <w:lang w:eastAsia="en-GB"/>
            </w:rPr>
          </w:pPr>
          <w:r>
            <w:rPr>
              <w:rFonts w:eastAsia="Arial Unicode MS"/>
              <w:szCs w:val="24"/>
              <w:lang w:eastAsia="en-GB"/>
            </w:rPr>
            <w:t>Susitariančios šalys</w:t>
          </w:r>
        </w:p>
        <w:p>
          <w:pPr>
            <w:spacing w:line="360" w:lineRule="auto"/>
            <w:ind w:left="520"/>
            <w:jc w:val="center"/>
            <w:rPr>
              <w:rFonts w:eastAsia="Arial Unicode MS"/>
              <w:sz w:val="22"/>
              <w:szCs w:val="22"/>
              <w:lang w:val="en-US" w:eastAsia="en-GB"/>
            </w:rPr>
          </w:pPr>
        </w:p>
        <w:p>
          <w:pPr>
            <w:spacing w:line="360" w:lineRule="auto"/>
            <w:ind w:left="520"/>
            <w:jc w:val="center"/>
            <w:rPr>
              <w:rFonts w:eastAsia="Arial Unicode MS"/>
              <w:sz w:val="22"/>
              <w:szCs w:val="22"/>
              <w:lang w:val="en-US" w:eastAsia="en-GB"/>
            </w:rPr>
          </w:pPr>
          <w:r>
            <w:rPr>
              <w:rFonts w:eastAsia="Arial Unicode MS"/>
              <w:sz w:val="22"/>
              <w:szCs w:val="22"/>
              <w:lang w:eastAsia="en-GB"/>
            </w:rPr>
            <w:t>AUSTRIJOS RESPUBLIKOS FEDERALINIS GYNYBOS MINISTRAS</w:t>
          </w:r>
        </w:p>
        <w:p>
          <w:pPr>
            <w:spacing w:line="360" w:lineRule="auto"/>
            <w:ind w:left="360"/>
            <w:jc w:val="center"/>
            <w:rPr>
              <w:rFonts w:eastAsia="Arial Unicode MS"/>
              <w:sz w:val="22"/>
              <w:szCs w:val="22"/>
              <w:lang w:val="en-US" w:eastAsia="en-GB"/>
            </w:rPr>
          </w:pPr>
          <w:r>
            <w:rPr>
              <w:rFonts w:eastAsia="Arial Unicode MS"/>
              <w:sz w:val="22"/>
              <w:szCs w:val="22"/>
              <w:lang w:eastAsia="en-GB"/>
            </w:rPr>
            <w:t>KROATIJOS RESPUBLIKOS GYNYBOS MINISTERIJA</w:t>
          </w:r>
        </w:p>
        <w:p>
          <w:pPr>
            <w:spacing w:line="360" w:lineRule="auto"/>
            <w:ind w:left="360"/>
            <w:jc w:val="center"/>
            <w:rPr>
              <w:rFonts w:eastAsia="Arial Unicode MS"/>
              <w:sz w:val="22"/>
              <w:szCs w:val="22"/>
              <w:lang w:val="en-US" w:eastAsia="en-GB"/>
            </w:rPr>
          </w:pPr>
          <w:r>
            <w:rPr>
              <w:rFonts w:eastAsia="Arial Unicode MS"/>
              <w:sz w:val="22"/>
              <w:szCs w:val="22"/>
              <w:lang w:eastAsia="en-GB"/>
            </w:rPr>
            <w:t>KIPRO RESPUBLIKOS GYNYBOS MINISTERIJA</w:t>
          </w:r>
        </w:p>
        <w:p>
          <w:pPr>
            <w:spacing w:line="360" w:lineRule="auto"/>
            <w:ind w:left="520"/>
            <w:jc w:val="center"/>
            <w:rPr>
              <w:rFonts w:eastAsia="Arial Unicode MS"/>
              <w:sz w:val="22"/>
              <w:szCs w:val="22"/>
              <w:lang w:val="en-US" w:eastAsia="en-GB"/>
            </w:rPr>
          </w:pPr>
          <w:r>
            <w:rPr>
              <w:rFonts w:eastAsia="Arial Unicode MS"/>
              <w:sz w:val="22"/>
              <w:szCs w:val="22"/>
              <w:lang w:eastAsia="en-GB"/>
            </w:rPr>
            <w:t>PRANCŪZIJOS RESPUBLIKOS GYNYBOS MINISTRAS</w:t>
          </w:r>
        </w:p>
        <w:p>
          <w:pPr>
            <w:spacing w:line="360" w:lineRule="auto"/>
            <w:ind w:left="360"/>
            <w:jc w:val="center"/>
            <w:rPr>
              <w:rFonts w:eastAsia="Arial Unicode MS"/>
              <w:sz w:val="22"/>
              <w:szCs w:val="22"/>
              <w:lang w:val="en-US" w:eastAsia="en-GB"/>
            </w:rPr>
          </w:pPr>
          <w:r>
            <w:rPr>
              <w:rFonts w:eastAsia="Arial Unicode MS"/>
              <w:sz w:val="22"/>
              <w:szCs w:val="22"/>
              <w:lang w:eastAsia="en-GB"/>
            </w:rPr>
            <w:t>GRAIKIJOS RESPUBLIKOS NACIONALINĖS GYNYBOS MINISTERIJA</w:t>
          </w:r>
        </w:p>
        <w:p>
          <w:pPr>
            <w:spacing w:line="360" w:lineRule="auto"/>
            <w:ind w:left="360"/>
            <w:jc w:val="center"/>
            <w:rPr>
              <w:rFonts w:eastAsia="Arial Unicode MS"/>
              <w:sz w:val="22"/>
              <w:szCs w:val="22"/>
              <w:lang w:val="en-US" w:eastAsia="en-GB"/>
            </w:rPr>
          </w:pPr>
          <w:r>
            <w:rPr>
              <w:rFonts w:eastAsia="Arial Unicode MS"/>
              <w:sz w:val="22"/>
              <w:szCs w:val="22"/>
              <w:lang w:eastAsia="en-GB"/>
            </w:rPr>
            <w:t xml:space="preserve">AIRIJOS GYNYBOS MINISTRAS </w:t>
          </w:r>
        </w:p>
        <w:p>
          <w:pPr>
            <w:spacing w:line="360" w:lineRule="auto"/>
            <w:ind w:left="360"/>
            <w:jc w:val="center"/>
            <w:rPr>
              <w:rFonts w:eastAsia="Arial Unicode MS"/>
              <w:sz w:val="22"/>
              <w:szCs w:val="22"/>
              <w:lang w:val="en-US" w:eastAsia="en-GB"/>
            </w:rPr>
          </w:pPr>
          <w:r>
            <w:rPr>
              <w:rFonts w:eastAsia="Arial Unicode MS"/>
              <w:sz w:val="22"/>
              <w:szCs w:val="22"/>
              <w:lang w:eastAsia="en-GB"/>
            </w:rPr>
            <w:t>LATVIJOS RESPUBLIKOS GYNYBOS MINISTERIJA</w:t>
          </w:r>
        </w:p>
        <w:p>
          <w:pPr>
            <w:spacing w:line="360" w:lineRule="auto"/>
            <w:ind w:left="360"/>
            <w:jc w:val="center"/>
            <w:rPr>
              <w:rFonts w:eastAsia="Arial Unicode MS"/>
              <w:sz w:val="22"/>
              <w:szCs w:val="22"/>
              <w:lang w:val="en-US" w:eastAsia="en-GB"/>
            </w:rPr>
          </w:pPr>
          <w:r>
            <w:rPr>
              <w:rFonts w:eastAsia="Arial Unicode MS"/>
              <w:sz w:val="22"/>
              <w:szCs w:val="22"/>
              <w:lang w:eastAsia="en-GB"/>
            </w:rPr>
            <w:t>LIETUVOS RESPUBLIKOS KRAŠTO APSAUGOS MINISTERIJA</w:t>
          </w:r>
        </w:p>
        <w:p>
          <w:pPr>
            <w:spacing w:line="360" w:lineRule="auto"/>
            <w:ind w:left="360"/>
            <w:jc w:val="center"/>
            <w:rPr>
              <w:rFonts w:eastAsia="Arial Unicode MS"/>
              <w:sz w:val="22"/>
              <w:szCs w:val="22"/>
              <w:lang w:val="en-US" w:eastAsia="en-GB"/>
            </w:rPr>
          </w:pPr>
          <w:r>
            <w:rPr>
              <w:rFonts w:eastAsia="Arial Unicode MS"/>
              <w:sz w:val="22"/>
              <w:szCs w:val="22"/>
              <w:lang w:eastAsia="en-GB"/>
            </w:rPr>
            <w:t>PORTUGALIJOS RESPUBLIKOS NACIONALINĖS GYNYBOS MINISTERIJA</w:t>
          </w:r>
        </w:p>
        <w:p>
          <w:pPr>
            <w:spacing w:line="360" w:lineRule="auto"/>
            <w:ind w:left="360"/>
            <w:jc w:val="center"/>
            <w:rPr>
              <w:rFonts w:eastAsia="Arial Unicode MS"/>
              <w:sz w:val="22"/>
              <w:szCs w:val="22"/>
              <w:lang w:val="en-US" w:eastAsia="en-GB"/>
            </w:rPr>
          </w:pPr>
          <w:r>
            <w:rPr>
              <w:rFonts w:eastAsia="Arial Unicode MS"/>
              <w:sz w:val="22"/>
              <w:szCs w:val="22"/>
              <w:lang w:eastAsia="en-GB"/>
            </w:rPr>
            <w:t>RUMUNIJOS NACIONALINĖS GYNYBOS MINISTERIJA</w:t>
          </w:r>
        </w:p>
        <w:p>
          <w:pPr>
            <w:spacing w:line="360" w:lineRule="auto"/>
            <w:ind w:left="360"/>
            <w:jc w:val="center"/>
            <w:rPr>
              <w:rFonts w:eastAsia="Arial Unicode MS"/>
              <w:sz w:val="22"/>
              <w:szCs w:val="22"/>
              <w:lang w:val="en-US" w:eastAsia="en-GB"/>
            </w:rPr>
          </w:pPr>
          <w:r>
            <w:rPr>
              <w:rFonts w:eastAsia="Arial Unicode MS"/>
              <w:sz w:val="22"/>
              <w:szCs w:val="22"/>
              <w:lang w:eastAsia="en-GB"/>
            </w:rPr>
            <w:t>SLOVAKIJOS RESPUBLIKOS GYNYBOS MINISTERIJA</w:t>
          </w:r>
        </w:p>
        <w:p>
          <w:pPr>
            <w:spacing w:line="360" w:lineRule="auto"/>
            <w:ind w:left="360"/>
            <w:jc w:val="center"/>
            <w:rPr>
              <w:rFonts w:eastAsia="Arial Unicode MS"/>
              <w:sz w:val="22"/>
              <w:szCs w:val="22"/>
              <w:lang w:val="en-US" w:eastAsia="en-GB"/>
            </w:rPr>
          </w:pPr>
          <w:r>
            <w:rPr>
              <w:rFonts w:eastAsia="Arial Unicode MS"/>
              <w:sz w:val="22"/>
              <w:szCs w:val="22"/>
              <w:lang w:val="en-US" w:eastAsia="en-GB"/>
            </w:rPr>
            <w:t>FÖRSVARETS MATERIELVERK OF THE KINGDOM OF SWEDEN</w:t>
          </w:r>
        </w:p>
        <w:p>
          <w:pPr>
            <w:spacing w:line="360" w:lineRule="auto"/>
            <w:ind w:left="520"/>
            <w:jc w:val="center"/>
            <w:rPr>
              <w:rFonts w:eastAsia="Arial Unicode MS"/>
              <w:sz w:val="22"/>
              <w:szCs w:val="22"/>
              <w:lang w:val="en-US" w:eastAsia="en-GB"/>
            </w:rPr>
          </w:pPr>
        </w:p>
        <w:p>
          <w:pPr>
            <w:spacing w:line="360" w:lineRule="auto"/>
            <w:ind w:left="520"/>
            <w:jc w:val="center"/>
            <w:rPr>
              <w:rFonts w:eastAsia="Arial Unicode MS"/>
              <w:sz w:val="22"/>
              <w:szCs w:val="22"/>
              <w:lang w:val="en-US" w:eastAsia="en-GB"/>
            </w:rPr>
          </w:pPr>
          <w:r>
            <w:rPr>
              <w:rFonts w:eastAsia="Arial Unicode MS"/>
              <w:sz w:val="22"/>
              <w:szCs w:val="22"/>
              <w:lang w:eastAsia="en-GB"/>
            </w:rPr>
            <w:t>Toliau vadinamos „Prisidedančiomis narėmis“.</w:t>
          </w:r>
        </w:p>
        <w:p>
          <w:pPr>
            <w:spacing w:line="360" w:lineRule="auto"/>
            <w:ind w:left="520"/>
            <w:jc w:val="center"/>
            <w:rPr>
              <w:rFonts w:eastAsia="Arial Unicode MS"/>
              <w:sz w:val="22"/>
              <w:szCs w:val="22"/>
              <w:lang w:val="en-US" w:eastAsia="en-GB"/>
            </w:rPr>
          </w:pPr>
          <w:r>
            <w:rPr>
              <w:rFonts w:eastAsia="Arial Unicode MS"/>
              <w:sz w:val="22"/>
              <w:szCs w:val="22"/>
              <w:lang w:eastAsia="en-GB"/>
            </w:rPr>
            <w:t>ir EUROPOS GYNYBOS AGENTŪRA</w:t>
          </w:r>
        </w:p>
        <w:p>
          <w:pPr>
            <w:spacing w:line="360" w:lineRule="auto"/>
            <w:ind w:left="520"/>
            <w:jc w:val="center"/>
            <w:rPr>
              <w:rFonts w:eastAsia="Arial Unicode MS"/>
              <w:sz w:val="22"/>
              <w:szCs w:val="22"/>
              <w:lang w:val="en-US" w:eastAsia="en-GB"/>
            </w:rPr>
          </w:pPr>
          <w:r>
            <w:rPr>
              <w:rFonts w:eastAsia="Arial Unicode MS"/>
              <w:sz w:val="22"/>
              <w:szCs w:val="22"/>
              <w:lang w:eastAsia="en-GB"/>
            </w:rPr>
            <w:t>Toliau kartu vadinami „Dalyviais“</w:t>
          </w:r>
        </w:p>
        <w:p>
          <w:pPr>
            <w:spacing w:line="360" w:lineRule="auto"/>
            <w:ind w:left="520"/>
            <w:jc w:val="center"/>
            <w:rPr>
              <w:rFonts w:eastAsia="Arial Unicode MS"/>
              <w:sz w:val="22"/>
              <w:szCs w:val="22"/>
              <w:lang w:val="en-US" w:eastAsia="en-GB"/>
            </w:rPr>
          </w:pPr>
          <w:r>
            <w:rPr>
              <w:rFonts w:eastAsia="Arial Unicode MS"/>
              <w:sz w:val="22"/>
              <w:szCs w:val="22"/>
              <w:lang w:eastAsia="en-GB"/>
            </w:rPr>
            <w:t>Dėl</w:t>
          </w:r>
        </w:p>
        <w:p>
          <w:pPr>
            <w:spacing w:line="360" w:lineRule="auto"/>
            <w:ind w:left="520"/>
            <w:jc w:val="center"/>
            <w:rPr>
              <w:rFonts w:eastAsia="Arial Unicode MS"/>
              <w:b/>
              <w:sz w:val="22"/>
              <w:szCs w:val="22"/>
              <w:lang w:val="en-US" w:eastAsia="en-GB"/>
            </w:rPr>
          </w:pPr>
          <w:r>
            <w:rPr>
              <w:rFonts w:eastAsia="Arial Unicode MS"/>
              <w:b/>
              <w:sz w:val="22"/>
              <w:szCs w:val="22"/>
              <w:lang w:eastAsia="en-GB"/>
            </w:rPr>
            <w:t>BENDRADARBIAUJAMASIS</w:t>
          </w:r>
          <w:r>
            <w:rPr>
              <w:rFonts w:eastAsia="Arial Unicode MS"/>
              <w:sz w:val="22"/>
              <w:szCs w:val="22"/>
              <w:lang w:eastAsia="en-GB"/>
            </w:rPr>
            <w:t xml:space="preserve"> </w:t>
          </w:r>
          <w:r>
            <w:rPr>
              <w:rFonts w:eastAsia="Arial Unicode MS"/>
              <w:b/>
              <w:sz w:val="22"/>
              <w:szCs w:val="22"/>
              <w:lang w:eastAsia="en-GB"/>
            </w:rPr>
            <w:t xml:space="preserve">ChBRB ĮRANGOS PIRKIMAS (CPoCHBRB) </w:t>
          </w:r>
        </w:p>
        <w:sdt>
          <w:sdtPr>
            <w:alias w:val="preambule"/>
            <w:tag w:val="part_79cd89458f8b4e04a8a723df9915d7ef"/>
            <w:lock w:val="sdtLocked"/>
            <w:richText/>
          </w:sdtPr>
          <w:sdtContent>
            <w:p>
              <w:pPr>
                <w:spacing w:line="360" w:lineRule="auto"/>
                <w:ind w:left="520"/>
                <w:rPr>
                  <w:rFonts w:eastAsia="Arial Unicode MS"/>
                  <w:sz w:val="22"/>
                  <w:szCs w:val="22"/>
                  <w:lang w:val="en-US" w:eastAsia="en-GB"/>
                </w:rPr>
              </w:pPr>
              <w:r>
                <w:rPr>
                  <w:rFonts w:eastAsia="Arial Unicode MS"/>
                  <w:sz w:val="22"/>
                  <w:szCs w:val="22"/>
                  <w:lang w:val="en-US" w:eastAsia="en-GB"/>
                </w:rPr>
                <w:br w:type="page"/>
              </w:r>
              <w:r>
                <w:rPr>
                  <w:rFonts w:eastAsia="Arial Unicode MS"/>
                  <w:sz w:val="22"/>
                  <w:szCs w:val="22"/>
                  <w:lang w:eastAsia="en-GB"/>
                </w:rPr>
                <w:t>APIBRĖŽIMAI IR SANTRUMPOS</w:t>
              </w:r>
            </w:p>
            <w:p>
              <w:pPr>
                <w:spacing w:line="360" w:lineRule="auto"/>
                <w:ind w:left="520"/>
                <w:rPr>
                  <w:rFonts w:eastAsia="Arial Unicode MS"/>
                  <w:sz w:val="22"/>
                  <w:szCs w:val="22"/>
                  <w:lang w:val="en-US" w:eastAsia="en-GB"/>
                </w:rPr>
              </w:pPr>
            </w:p>
          </w:sdtContent>
        </w:sdt>
        <w:sdt>
          <w:sdtPr>
            <w:alias w:val="lentele"/>
            <w:tag w:val="part_0b0b98923c244bc899eba2c1c016d80a"/>
            <w:lock w:val="sdtLocked"/>
            <w:richText/>
          </w:sdt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720"/>
                <w:gridCol w:w="8040"/>
              </w:tblGrid>
              <w:tr>
                <w:trPr>
                  <w:trHeight w:val="572"/>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i/>
                        <w:sz w:val="22"/>
                        <w:szCs w:val="22"/>
                        <w:lang w:eastAsia="en-GB"/>
                      </w:rPr>
                      <w:t xml:space="preserve">Ad hoc </w:t>
                    </w:r>
                    <w:r>
                      <w:rPr>
                        <w:rFonts w:eastAsia="Arial Unicode MS"/>
                        <w:sz w:val="22"/>
                        <w:szCs w:val="22"/>
                        <w:lang w:eastAsia="en-GB"/>
                      </w:rPr>
                      <w:t>banko sąskaita</w:t>
                    </w:r>
                  </w:p>
                </w:tc>
                <w:tc>
                  <w:tcPr>
                    <w:tcW w:w="3736" w:type="pct"/>
                    <w:vAlign w:val="center"/>
                  </w:tcPr>
                  <w:p>
                    <w:pPr>
                      <w:widowControl w:val="0"/>
                      <w:spacing w:line="360" w:lineRule="auto"/>
                      <w:ind w:left="520" w:firstLine="57"/>
                      <w:rPr>
                        <w:rFonts w:eastAsia="Arial Unicode MS"/>
                        <w:sz w:val="22"/>
                        <w:szCs w:val="22"/>
                        <w:lang w:val="en-US" w:eastAsia="en-GB"/>
                      </w:rPr>
                    </w:pPr>
                    <w:r>
                      <w:rPr>
                        <w:rFonts w:eastAsia="Arial Unicode MS"/>
                        <w:sz w:val="22"/>
                        <w:szCs w:val="22"/>
                        <w:lang w:eastAsia="en-GB"/>
                      </w:rPr>
                      <w:t>Indėlių sąskaita EGA banke, specialiai skirta su Projektu susijusioms lėšoms laikyti ir finansinėms operacijoms valdyti</w:t>
                    </w:r>
                  </w:p>
                </w:tc>
              </w:tr>
              <w:tr>
                <w:trPr>
                  <w:trHeight w:val="572"/>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Kat.</w:t>
                    </w:r>
                    <w:r>
                      <w:rPr>
                        <w:rFonts w:eastAsia="Arial Unicode MS"/>
                        <w:sz w:val="22"/>
                        <w:szCs w:val="22"/>
                        <w:lang w:val="en-US" w:eastAsia="en-GB"/>
                      </w:rPr>
                      <w:t xml:space="preserve"> </w:t>
                    </w:r>
                    <w:r>
                      <w:rPr>
                        <w:rFonts w:eastAsia="Arial Unicode MS"/>
                        <w:sz w:val="22"/>
                        <w:szCs w:val="22"/>
                        <w:lang w:eastAsia="en-GB"/>
                      </w:rPr>
                      <w:t>B projektas</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i/>
                        <w:sz w:val="22"/>
                        <w:szCs w:val="22"/>
                        <w:lang w:eastAsia="en-GB"/>
                      </w:rPr>
                      <w:t xml:space="preserve">Ad hoc </w:t>
                    </w:r>
                    <w:r>
                      <w:rPr>
                        <w:rFonts w:eastAsia="Arial Unicode MS"/>
                        <w:sz w:val="22"/>
                        <w:szCs w:val="22"/>
                        <w:lang w:eastAsia="en-GB"/>
                      </w:rPr>
                      <w:t>B kategorijos projektas, kaip apibrėžta Tarybos sprendimo (BUSP) 2015/1835 20 straipsnyje</w:t>
                    </w:r>
                  </w:p>
                </w:tc>
              </w:tr>
              <w:tr>
                <w:trPr>
                  <w:trHeight w:val="572"/>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ChBRB</w:t>
                    </w:r>
                    <w:r>
                      <w:rPr>
                        <w:rFonts w:eastAsia="Arial Unicode MS"/>
                        <w:sz w:val="22"/>
                        <w:szCs w:val="22"/>
                        <w:lang w:val="en-US" w:eastAsia="en-GB"/>
                      </w:rPr>
                      <w:t xml:space="preserve"> </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Cheminė, biologinė, radiologinė ir branduolinė</w:t>
                    </w:r>
                  </w:p>
                </w:tc>
              </w:tr>
              <w:tr>
                <w:trPr>
                  <w:trHeight w:val="299"/>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cM(s)</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prie projekto Prisidedantis (-ys) narys (-iai)</w:t>
                    </w:r>
                  </w:p>
                </w:tc>
              </w:tr>
              <w:tr>
                <w:trPr>
                  <w:trHeight w:val="614"/>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CPo</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Bendradarbiavimas įsigyjant ChBRB įrangą</w:t>
                    </w:r>
                  </w:p>
                </w:tc>
              </w:tr>
              <w:tr>
                <w:trPr>
                  <w:trHeight w:val="614"/>
                </w:trPr>
                <w:tc>
                  <w:tcPr>
                    <w:tcW w:w="1264" w:type="pct"/>
                    <w:vAlign w:val="center"/>
                  </w:tcPr>
                  <w:p>
                    <w:pPr>
                      <w:widowControl w:val="0"/>
                      <w:spacing w:line="360" w:lineRule="auto"/>
                      <w:ind w:left="520" w:firstLine="57"/>
                      <w:rPr>
                        <w:rFonts w:eastAsia="Arial Unicode MS"/>
                        <w:sz w:val="22"/>
                        <w:szCs w:val="22"/>
                        <w:lang w:val="en-US" w:eastAsia="en-GB"/>
                      </w:rPr>
                    </w:pPr>
                    <w:r>
                      <w:rPr>
                        <w:rFonts w:eastAsia="Arial Unicode MS"/>
                        <w:sz w:val="22"/>
                        <w:szCs w:val="22"/>
                        <w:lang w:val="en-US" w:eastAsia="en-GB"/>
                      </w:rPr>
                      <w:t>CWS</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Bendradarbiavimo darbo vietos</w:t>
                    </w:r>
                  </w:p>
                </w:tc>
              </w:tr>
              <w:tr>
                <w:trPr>
                  <w:trHeight w:val="613"/>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EDA</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Europos gynybos agentūra</w:t>
                    </w:r>
                  </w:p>
                </w:tc>
              </w:tr>
              <w:tr>
                <w:trPr>
                  <w:trHeight w:val="761"/>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EGA bendradarbiavimo platforma (ECP)</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i/>
                        <w:sz w:val="22"/>
                        <w:szCs w:val="22"/>
                        <w:lang w:eastAsia="en-GB"/>
                      </w:rPr>
                      <w:t xml:space="preserve">Ad Hoc </w:t>
                    </w:r>
                    <w:r>
                      <w:rPr>
                        <w:rFonts w:eastAsia="Arial Unicode MS"/>
                        <w:sz w:val="22"/>
                        <w:szCs w:val="22"/>
                        <w:lang w:eastAsia="en-GB"/>
                      </w:rPr>
                      <w:t>platforma, skirta dalytis informacija apie EGA projektus.</w:t>
                    </w:r>
                  </w:p>
                </w:tc>
              </w:tr>
              <w:tr>
                <w:trPr>
                  <w:trHeight w:val="614"/>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EDA PO</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EGA projekto pareigūnas, atsakingas už CPoSoEq projektą</w:t>
                    </w:r>
                  </w:p>
                </w:tc>
              </w:tr>
              <w:tr>
                <w:trPr>
                  <w:trHeight w:val="651"/>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EGA valdančioji taryba</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EGA Valdančioji taryba, įsteigta pagal Tarybos sprendimo (BUSP) 2015/1835 8 straipsnį</w:t>
                    </w:r>
                  </w:p>
                </w:tc>
              </w:tr>
              <w:tr>
                <w:trPr>
                  <w:trHeight w:val="520"/>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EDIP</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Europos gynybos investicijų programa</w:t>
                    </w:r>
                  </w:p>
                </w:tc>
              </w:tr>
              <w:tr>
                <w:trPr>
                  <w:trHeight w:val="614"/>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EDIRPA</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Europos gynybos pramonės stiprinimas pasitelkiant Bendrąjį viešųjų pirkimų aktą</w:t>
                    </w:r>
                  </w:p>
                </w:tc>
              </w:tr>
              <w:tr>
                <w:trPr>
                  <w:trHeight w:val="614"/>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ES</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Europos Sąjunga</w:t>
                    </w:r>
                  </w:p>
                </w:tc>
              </w:tr>
              <w:tr>
                <w:trPr>
                  <w:trHeight w:val="522"/>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FWA</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Pagrindinė sutartis</w:t>
                    </w:r>
                  </w:p>
                </w:tc>
              </w:tr>
              <w:tr>
                <w:trPr>
                  <w:trHeight w:val="613"/>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OF</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Užsakymo forma</w:t>
                    </w:r>
                    <w:r>
                      <w:rPr>
                        <w:rFonts w:eastAsia="Arial Unicode MS"/>
                        <w:sz w:val="22"/>
                        <w:szCs w:val="22"/>
                        <w:lang w:val="en-US" w:eastAsia="en-GB"/>
                      </w:rPr>
                      <w:t xml:space="preserve"> </w:t>
                    </w:r>
                  </w:p>
                  <w:p>
                    <w:pPr>
                      <w:widowControl w:val="0"/>
                      <w:spacing w:line="360" w:lineRule="auto"/>
                      <w:ind w:left="520"/>
                      <w:rPr>
                        <w:rFonts w:eastAsia="Arial Unicode MS"/>
                        <w:sz w:val="22"/>
                        <w:szCs w:val="22"/>
                        <w:lang w:val="en-US" w:eastAsia="en-GB"/>
                      </w:rPr>
                    </w:pPr>
                    <w:r>
                      <w:rPr>
                        <w:rFonts w:eastAsia="Arial Unicode MS"/>
                        <w:sz w:val="22"/>
                        <w:szCs w:val="22"/>
                        <w:lang w:eastAsia="en-GB"/>
                      </w:rPr>
                      <w:t>Sutartis pagal konkretų Pagrindų susitarimą, į kurią įtraukiami visų rašytinių cMs užsakymų kiekiai.</w:t>
                    </w:r>
                    <w:r>
                      <w:rPr>
                        <w:rFonts w:eastAsia="Arial Unicode MS"/>
                        <w:sz w:val="22"/>
                        <w:szCs w:val="22"/>
                        <w:lang w:val="en-US" w:eastAsia="en-GB"/>
                      </w:rPr>
                      <w:t xml:space="preserve"> </w:t>
                    </w:r>
                  </w:p>
                </w:tc>
              </w:tr>
              <w:tr>
                <w:trPr>
                  <w:trHeight w:val="465"/>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PA</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Projekto susitarimas</w:t>
                    </w:r>
                  </w:p>
                </w:tc>
              </w:tr>
              <w:tr>
                <w:trPr>
                  <w:trHeight w:val="559"/>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PAMG</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Projekto susitarimų valdymo grupė</w:t>
                    </w:r>
                  </w:p>
                </w:tc>
              </w:tr>
              <w:tr>
                <w:trPr>
                  <w:trHeight w:val="497"/>
                </w:trPr>
                <w:tc>
                  <w:tcPr>
                    <w:tcW w:w="1264" w:type="pct"/>
                  </w:tcPr>
                  <w:p>
                    <w:pPr>
                      <w:widowControl w:val="0"/>
                      <w:spacing w:line="360" w:lineRule="auto"/>
                      <w:ind w:left="520"/>
                      <w:rPr>
                        <w:rFonts w:eastAsia="Arial Unicode MS"/>
                        <w:sz w:val="22"/>
                        <w:szCs w:val="22"/>
                        <w:lang w:val="en-US" w:eastAsia="en-GB"/>
                      </w:rPr>
                    </w:pPr>
                    <w:r>
                      <w:rPr>
                        <w:rFonts w:eastAsia="Arial Unicode MS"/>
                        <w:sz w:val="22"/>
                        <w:szCs w:val="22"/>
                        <w:lang w:eastAsia="en-GB"/>
                      </w:rPr>
                      <w:t>Dalyviai</w:t>
                    </w:r>
                  </w:p>
                </w:tc>
                <w:tc>
                  <w:tcPr>
                    <w:tcW w:w="3736" w:type="pct"/>
                  </w:tcPr>
                  <w:p>
                    <w:pPr>
                      <w:widowControl w:val="0"/>
                      <w:spacing w:line="360" w:lineRule="auto"/>
                      <w:ind w:left="520"/>
                      <w:rPr>
                        <w:rFonts w:eastAsia="Arial Unicode MS"/>
                        <w:sz w:val="22"/>
                        <w:szCs w:val="22"/>
                        <w:lang w:val="en-US" w:eastAsia="en-GB"/>
                      </w:rPr>
                    </w:pPr>
                    <w:r>
                      <w:rPr>
                        <w:rFonts w:eastAsia="Arial Unicode MS"/>
                        <w:sz w:val="22"/>
                        <w:szCs w:val="22"/>
                        <w:lang w:eastAsia="en-GB"/>
                      </w:rPr>
                      <w:t>PA dalyviai (visi cM(s) ir EGA)</w:t>
                    </w:r>
                  </w:p>
                </w:tc>
              </w:tr>
              <w:tr>
                <w:trPr>
                  <w:trHeight w:val="497"/>
                </w:trPr>
                <w:tc>
                  <w:tcPr>
                    <w:tcW w:w="1264" w:type="pct"/>
                  </w:tcPr>
                  <w:p>
                    <w:pPr>
                      <w:widowControl w:val="0"/>
                      <w:spacing w:line="360" w:lineRule="auto"/>
                      <w:ind w:left="520"/>
                      <w:rPr>
                        <w:rFonts w:eastAsia="Arial Unicode MS"/>
                        <w:sz w:val="22"/>
                        <w:szCs w:val="22"/>
                        <w:lang w:val="en-US" w:eastAsia="en-GB"/>
                      </w:rPr>
                    </w:pPr>
                    <w:r>
                      <w:rPr>
                        <w:rFonts w:eastAsia="Arial Unicode MS"/>
                        <w:sz w:val="22"/>
                        <w:szCs w:val="22"/>
                        <w:lang w:eastAsia="en-GB"/>
                      </w:rPr>
                      <w:t>Projektas</w:t>
                    </w:r>
                  </w:p>
                </w:tc>
                <w:tc>
                  <w:tcPr>
                    <w:tcW w:w="3736" w:type="pct"/>
                  </w:tcPr>
                  <w:p>
                    <w:pPr>
                      <w:widowControl w:val="0"/>
                      <w:spacing w:line="360" w:lineRule="auto"/>
                      <w:ind w:left="520"/>
                      <w:rPr>
                        <w:rFonts w:eastAsia="Arial Unicode MS"/>
                        <w:sz w:val="22"/>
                        <w:szCs w:val="22"/>
                        <w:lang w:val="en-US" w:eastAsia="en-GB"/>
                      </w:rPr>
                    </w:pPr>
                    <w:r>
                      <w:rPr>
                        <w:rFonts w:eastAsia="Arial Unicode MS"/>
                        <w:sz w:val="22"/>
                        <w:szCs w:val="22"/>
                        <w:lang w:eastAsia="en-GB"/>
                      </w:rPr>
                      <w:t>Bendras karių ekipuotės pirkimas (CPoCHBRB)</w:t>
                    </w:r>
                  </w:p>
                </w:tc>
              </w:tr>
              <w:tr>
                <w:trPr>
                  <w:trHeight w:val="497"/>
                </w:trPr>
                <w:tc>
                  <w:tcPr>
                    <w:tcW w:w="1264" w:type="pct"/>
                    <w:vAlign w:val="center"/>
                  </w:tcPr>
                  <w:p>
                    <w:pPr>
                      <w:widowControl w:val="0"/>
                      <w:spacing w:line="360" w:lineRule="auto"/>
                      <w:ind w:left="520"/>
                      <w:rPr>
                        <w:rFonts w:eastAsia="Arial Unicode MS"/>
                        <w:sz w:val="22"/>
                        <w:szCs w:val="22"/>
                        <w:lang w:val="en-GB" w:eastAsia="en-GB"/>
                      </w:rPr>
                    </w:pPr>
                    <w:r>
                      <w:rPr>
                        <w:rFonts w:eastAsia="Arial Unicode MS"/>
                        <w:sz w:val="22"/>
                        <w:szCs w:val="22"/>
                        <w:lang w:val="en-US" w:eastAsia="en-GB"/>
                      </w:rPr>
                      <w:t>PWG</w:t>
                    </w:r>
                  </w:p>
                </w:tc>
                <w:tc>
                  <w:tcPr>
                    <w:tcW w:w="3736" w:type="pct"/>
                    <w:vAlign w:val="center"/>
                  </w:tcPr>
                  <w:p>
                    <w:pPr>
                      <w:widowControl w:val="0"/>
                      <w:spacing w:line="360" w:lineRule="auto"/>
                      <w:ind w:left="520"/>
                      <w:rPr>
                        <w:rFonts w:eastAsia="Arial Unicode MS"/>
                        <w:sz w:val="22"/>
                        <w:szCs w:val="22"/>
                        <w:lang w:val="en-GB" w:eastAsia="en-GB"/>
                      </w:rPr>
                    </w:pPr>
                    <w:r>
                      <w:rPr>
                        <w:rFonts w:eastAsia="Arial Unicode MS"/>
                        <w:sz w:val="22"/>
                        <w:szCs w:val="22"/>
                        <w:lang w:eastAsia="en-GB"/>
                      </w:rPr>
                      <w:t>Projekto darbo grupė</w:t>
                    </w:r>
                    <w:r>
                      <w:rPr>
                        <w:rFonts w:eastAsia="Arial Unicode MS"/>
                        <w:sz w:val="22"/>
                        <w:szCs w:val="22"/>
                        <w:lang w:val="en-GB" w:eastAsia="en-GB"/>
                      </w:rPr>
                      <w:t xml:space="preserve"> </w:t>
                    </w:r>
                  </w:p>
                </w:tc>
              </w:tr>
              <w:tr>
                <w:trPr>
                  <w:trHeight w:val="613"/>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pMS</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EGA dalyvaujančios ES valstybės narės</w:t>
                    </w:r>
                  </w:p>
                </w:tc>
              </w:tr>
              <w:tr>
                <w:trPr>
                  <w:trHeight w:val="387"/>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PoC</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Kontaktinis asmuo</w:t>
                    </w:r>
                  </w:p>
                </w:tc>
              </w:tr>
              <w:tr>
                <w:trPr>
                  <w:trHeight w:val="614"/>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ToR</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Techninės sąlygos</w:t>
                    </w:r>
                  </w:p>
                </w:tc>
              </w:tr>
              <w:tr>
                <w:trPr>
                  <w:trHeight w:val="614"/>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 xml:space="preserve">PVM </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Pridėtinės vertės mokestis</w:t>
                    </w:r>
                  </w:p>
                </w:tc>
              </w:tr>
              <w:tr>
                <w:trPr>
                  <w:trHeight w:val="614"/>
                </w:trPr>
                <w:tc>
                  <w:tcPr>
                    <w:tcW w:w="1264"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val="en-US" w:eastAsia="en-GB"/>
                      </w:rPr>
                      <w:t>WO</w:t>
                    </w:r>
                  </w:p>
                </w:tc>
                <w:tc>
                  <w:tcPr>
                    <w:tcW w:w="3736" w:type="pct"/>
                    <w:vAlign w:val="center"/>
                  </w:tcPr>
                  <w:p>
                    <w:pPr>
                      <w:widowControl w:val="0"/>
                      <w:spacing w:line="360" w:lineRule="auto"/>
                      <w:ind w:left="520"/>
                      <w:rPr>
                        <w:rFonts w:eastAsia="Arial Unicode MS"/>
                        <w:sz w:val="22"/>
                        <w:szCs w:val="22"/>
                        <w:lang w:val="en-US" w:eastAsia="en-GB"/>
                      </w:rPr>
                    </w:pPr>
                    <w:r>
                      <w:rPr>
                        <w:rFonts w:eastAsia="Arial Unicode MS"/>
                        <w:sz w:val="22"/>
                        <w:szCs w:val="22"/>
                        <w:lang w:eastAsia="en-GB"/>
                      </w:rPr>
                      <w:t>Rašytinis užsakymas</w:t>
                    </w:r>
                  </w:p>
                  <w:p>
                    <w:pPr>
                      <w:widowControl w:val="0"/>
                      <w:spacing w:line="360" w:lineRule="auto"/>
                      <w:ind w:left="520"/>
                      <w:rPr>
                        <w:rFonts w:eastAsia="Arial Unicode MS"/>
                        <w:sz w:val="22"/>
                        <w:szCs w:val="22"/>
                        <w:lang w:val="en-US" w:eastAsia="en-GB"/>
                      </w:rPr>
                    </w:pPr>
                    <w:r>
                      <w:rPr>
                        <w:rFonts w:eastAsia="Arial Unicode MS"/>
                        <w:sz w:val="22"/>
                        <w:szCs w:val="22"/>
                        <w:lang w:eastAsia="en-GB"/>
                      </w:rPr>
                      <w:t>cM rašytinis prašymas EGA užsakyti tam tikrą ChBRB dujokaukių, ChBRB filtrų ir (arba) ChBRB individualios apsaugos įrangos kiekį pagal konkretų pagrindų susitarimą.</w:t>
                    </w:r>
                    <w:r>
                      <w:rPr>
                        <w:rFonts w:eastAsia="Arial Unicode MS"/>
                        <w:sz w:val="22"/>
                        <w:szCs w:val="22"/>
                        <w:lang w:val="en-US" w:eastAsia="en-GB"/>
                      </w:rPr>
                      <w:t xml:space="preserve"> </w:t>
                    </w:r>
                  </w:p>
                </w:tc>
              </w:tr>
            </w:tbl>
            <w:p>
              <w:pPr>
                <w:spacing w:line="360" w:lineRule="auto"/>
                <w:ind w:left="520"/>
                <w:rPr>
                  <w:rFonts w:eastAsia="Arial Unicode MS"/>
                  <w:sz w:val="22"/>
                  <w:szCs w:val="22"/>
                  <w:lang w:val="en-US" w:eastAsia="en-GB"/>
                </w:rPr>
                <w:sectPr>
                  <w:headerReference w:type="even" r:id="rId10"/>
                  <w:headerReference w:type="default" r:id="rId11"/>
                  <w:footerReference w:type="even" r:id="rId12"/>
                  <w:footerReference w:type="default" r:id="rId13"/>
                  <w:headerReference w:type="first" r:id="rId14"/>
                  <w:footerReference w:type="first" r:id="rId15"/>
                  <w:pgSz w:w="11910" w:h="16840"/>
                  <w:pgMar w:top="1340" w:right="580" w:bottom="993" w:left="560" w:header="0" w:footer="288" w:gutter="0"/>
                  <w:cols w:space="720"/>
                  <w:rtlGutter/>
                </w:sectPr>
              </w:pPr>
            </w:p>
            <w:p>
              <w:pPr>
                <w:rPr>
                  <w:sz w:val="20"/>
                </w:rPr>
              </w:pPr>
            </w:p>
          </w:sdtContent>
        </w:sdt>
        <w:sdt>
          <w:sdtPr>
            <w:alias w:val="1 p."/>
            <w:tag w:val="part_4700f085d7d34ee188d014313b9508b4"/>
            <w:lock w:val="sdtLocked"/>
            <w:richText/>
          </w:sdtPr>
          <w:sdtContent>
            <w:p>
              <w:pPr>
                <w:keepNext/>
                <w:keepLines/>
                <w:ind w:left="360" w:hanging="360"/>
                <w:rPr>
                  <w:rFonts w:eastAsia="Arial Unicode MS"/>
                  <w:b/>
                  <w:sz w:val="22"/>
                  <w:szCs w:val="22"/>
                  <w:lang w:val="en-US" w:eastAsia="en-GB"/>
                </w:rPr>
              </w:pPr>
              <w:sdt>
                <w:sdtPr>
                  <w:alias w:val="Numeris"/>
                  <w:tag w:val="nr_4700f085d7d34ee188d014313b9508b4"/>
                  <w:lock w:val="sdtLocked"/>
                  <w:richText/>
                </w:sdtPr>
                <w:sdtContent>
                  <w:r>
                    <w:rPr>
                      <w:rFonts w:eastAsia="Arial Unicode MS"/>
                      <w:b/>
                      <w:sz w:val="22"/>
                      <w:szCs w:val="22"/>
                      <w:lang w:val="en-US" w:eastAsia="en-GB"/>
                    </w:rPr>
                    <w:t>1</w:t>
                  </w:r>
                </w:sdtContent>
              </w:sdt>
              <w:r>
                <w:rPr>
                  <w:rFonts w:eastAsia="Arial Unicode MS"/>
                  <w:b/>
                  <w:sz w:val="22"/>
                  <w:szCs w:val="22"/>
                  <w:lang w:val="en-US" w:eastAsia="en-GB"/>
                </w:rPr>
                <w:t>.</w:t>
                <w:tab/>
              </w:r>
              <w:r>
                <w:rPr>
                  <w:rFonts w:eastAsia="Arial Unicode MS"/>
                  <w:b/>
                  <w:sz w:val="22"/>
                  <w:szCs w:val="22"/>
                  <w:lang w:eastAsia="en-GB"/>
                </w:rPr>
                <w:t>Įvadas</w:t>
              </w:r>
            </w:p>
            <w:p>
              <w:pPr>
                <w:rPr>
                  <w:sz w:val="20"/>
                </w:rPr>
              </w:pPr>
            </w:p>
            <w:p>
              <w:pPr>
                <w:spacing w:line="360" w:lineRule="auto"/>
                <w:ind w:left="520"/>
                <w:jc w:val="both"/>
                <w:rPr>
                  <w:rFonts w:eastAsia="Arial Unicode MS"/>
                  <w:sz w:val="22"/>
                  <w:szCs w:val="22"/>
                  <w:lang w:val="en-US" w:eastAsia="en-GB"/>
                </w:rPr>
              </w:pPr>
              <w:r>
                <w:rPr>
                  <w:rFonts w:eastAsia="Arial Unicode MS"/>
                  <w:sz w:val="22"/>
                  <w:szCs w:val="22"/>
                  <w:lang w:eastAsia="en-GB"/>
                </w:rPr>
                <w:t>Prisidedantys nariai (angl. cMs), atsižvelgiant į:</w:t>
              </w:r>
            </w:p>
            <w:p>
              <w:pPr>
                <w:rPr>
                  <w:sz w:val="20"/>
                </w:rPr>
              </w:pPr>
            </w:p>
            <w:p>
              <w:pPr>
                <w:spacing w:line="360" w:lineRule="auto"/>
                <w:ind w:left="720" w:hanging="360"/>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 xml:space="preserve">Europos Sąjungos sutartimi, pagal kurią Europos gynybos agentūrai (toliau – EGA) pavedamos užduotys, </w:t>
              </w:r>
              <w:r>
                <w:rPr>
                  <w:rFonts w:eastAsia="Arial Unicode MS"/>
                  <w:i/>
                  <w:szCs w:val="24"/>
                  <w:lang w:eastAsia="en-GB"/>
                </w:rPr>
                <w:t>inter alia,</w:t>
              </w:r>
              <w:r>
                <w:rPr>
                  <w:rFonts w:eastAsia="Arial Unicode MS"/>
                  <w:szCs w:val="24"/>
                  <w:lang w:eastAsia="en-GB"/>
                </w:rPr>
                <w:t xml:space="preserve"> skatinti operatyvinių poreikių derinimą ir veiksmingų, suderinamų viešųjų pirkimų metodų priėmimą</w:t>
              </w:r>
              <w:r>
                <w:rPr>
                  <w:rFonts w:eastAsia="Arial Unicode MS"/>
                  <w:szCs w:val="24"/>
                  <w:lang w:val="en-GB" w:eastAsia="en-GB"/>
                </w:rPr>
                <w:t xml:space="preserve"> </w:t>
              </w:r>
              <w:r>
                <w:rPr>
                  <w:rFonts w:eastAsia="Arial Unicode MS"/>
                  <w:szCs w:val="24"/>
                  <w:lang w:eastAsia="en-GB"/>
                </w:rPr>
                <w:t>(ES sutarties 45 straipsnio 1b dalis);</w:t>
              </w:r>
            </w:p>
            <w:p>
              <w:pPr>
                <w:spacing w:line="360" w:lineRule="auto"/>
                <w:ind w:left="720" w:hanging="360"/>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Protokolas (Nr. 7) dėl Europos Sąjungos privilegijų ir imunitetų, pridėtas prie Europos Sąjungos sutarties ir Sutarties dėl Europos Sąjungos veikimo ir Tarybos sprendimo 27 straipsnio 3 dalimi taikomas EGA;</w:t>
              </w:r>
            </w:p>
            <w:p>
              <w:pPr>
                <w:spacing w:line="360" w:lineRule="auto"/>
                <w:ind w:left="720" w:hanging="360"/>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2015 m. spalio 12 d. Tarybos sprendimu 2015/1835/CFSP, kuriuo apibrėžiamas Europos gynybos agentūros statutas, buveinė ir veiklos taisyklės (toliau – Tarybos sprendimas), EGA pavedama skatinti ir stiprinti Europos bendradarbiavimą, visų pirma skatinti ekonomiškai efektyvius ir veiksmingus viešuosius pirkimus nustatant ir skleidžiant geriausią praktiką ir įgyvendinti visas priemones, reikalingas gynybos sektoriaus pramoninei ir technologinei bazei stiprinti.</w:t>
              </w:r>
              <w:r>
                <w:rPr>
                  <w:rFonts w:eastAsia="Arial Unicode MS"/>
                  <w:szCs w:val="24"/>
                  <w:lang w:val="en-GB" w:eastAsia="en-GB"/>
                </w:rPr>
                <w:t xml:space="preserve"> </w:t>
              </w:r>
              <w:r>
                <w:rPr>
                  <w:rFonts w:eastAsia="Arial Unicode MS"/>
                  <w:szCs w:val="24"/>
                  <w:lang w:eastAsia="en-GB"/>
                </w:rPr>
                <w:t xml:space="preserve">Be to, jame nustatytos aiškios taisyklės, kaip pradėti valstybių narių grupių bendradarbiavimo </w:t>
              </w:r>
              <w:r>
                <w:rPr>
                  <w:rFonts w:eastAsia="Arial Unicode MS"/>
                  <w:i/>
                  <w:szCs w:val="24"/>
                  <w:lang w:eastAsia="en-GB"/>
                </w:rPr>
                <w:t xml:space="preserve">ad hoc </w:t>
              </w:r>
              <w:r>
                <w:rPr>
                  <w:rFonts w:eastAsia="Arial Unicode MS"/>
                  <w:szCs w:val="24"/>
                  <w:lang w:eastAsia="en-GB"/>
                </w:rPr>
                <w:t>projektus arba projektus ir kaip patikėti EGA tokių projektų arba projektų valdymą</w:t>
              </w:r>
              <w:r>
                <w:rPr>
                  <w:rFonts w:eastAsia="Arial Unicode MS"/>
                  <w:szCs w:val="24"/>
                  <w:lang w:val="en-GB" w:eastAsia="en-GB"/>
                </w:rPr>
                <w:t xml:space="preserve"> </w:t>
              </w:r>
              <w:r>
                <w:rPr>
                  <w:rFonts w:eastAsia="Arial Unicode MS"/>
                  <w:szCs w:val="24"/>
                  <w:lang w:eastAsia="en-GB"/>
                </w:rPr>
                <w:t>(17 straipsnis ir IV skyrius);</w:t>
              </w:r>
            </w:p>
            <w:p>
              <w:pPr>
                <w:spacing w:line="360" w:lineRule="auto"/>
                <w:ind w:left="720" w:hanging="360"/>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 xml:space="preserve">2016 m. rugpjūčio 4 d. Tarybos Sprendimas (ES) 2016/1353 dėl Europos gynybos agentūros finansinių taisyklių (toliau – EGA finansinės taisyklės), visų pirma 2009 m. liepos 13 d. Europos Parlamento ir Tarybos direktyvos </w:t>
              </w:r>
              <w:fldSimple w:instr="HYPERLINK http://eur-lex.europa.eu/legal-content/LIT/TXT/?uri=CELEX:32009L0081&amp;locale=lt \t _blank">
                <w:r>
                  <w:rPr>
                    <w:rFonts w:eastAsia="Arial Unicode MS"/>
                    <w:szCs w:val="24"/>
                    <w:lang w:eastAsia="en-GB"/>
                    <w:u w:val="single"/>
                    <w:color w:val="0000FF" w:themeColor="hyperlink"/>
                  </w:rPr>
                  <w:t>2009/81/EB</w:t>
                </w:r>
              </w:fldSimple>
              <w:r>
                <w:rPr>
                  <w:rFonts w:eastAsia="Arial Unicode MS"/>
                  <w:szCs w:val="24"/>
                  <w:lang w:eastAsia="en-GB"/>
                </w:rPr>
                <w:t xml:space="preserve"> dėl tam tikrų darbų pirkimo sutarčių sudarymo tvarkos derinimo 34 straipsnis, siejamas su 23 konstatuojamąja dalimi, perkančiųjų organizacijų ar subjektų sudaromos prekių ir paslaugų pirkimo sutartys gynybos ir saugumo srityse, keičiančios direktyvas </w:t>
              </w:r>
              <w:fldSimple w:instr="HYPERLINK http://eur-lex.europa.eu/legal-content/LIT/TXT/?uri=CELEX:32004L0017&amp;locale=lt \t _blank">
                <w:r>
                  <w:rPr>
                    <w:rFonts w:eastAsia="Arial Unicode MS"/>
                    <w:szCs w:val="24"/>
                    <w:lang w:eastAsia="en-GB"/>
                    <w:u w:val="single"/>
                    <w:color w:val="0000FF" w:themeColor="hyperlink"/>
                  </w:rPr>
                  <w:t>2004/17/EB</w:t>
                </w:r>
              </w:fldSimple>
              <w:r>
                <w:rPr>
                  <w:rFonts w:eastAsia="Arial Unicode MS"/>
                  <w:szCs w:val="24"/>
                  <w:lang w:eastAsia="en-GB"/>
                </w:rPr>
                <w:t xml:space="preserve"> ir </w:t>
              </w:r>
              <w:fldSimple w:instr="HYPERLINK http://eur-lex.europa.eu/legal-content/LIT/TXT/?uri=CELEX:32004L0018&amp;locale=lt \t _blank">
                <w:r>
                  <w:rPr>
                    <w:rFonts w:eastAsia="Arial Unicode MS"/>
                    <w:szCs w:val="24"/>
                    <w:lang w:eastAsia="en-GB"/>
                    <w:u w:val="single"/>
                    <w:color w:val="0000FF" w:themeColor="hyperlink"/>
                  </w:rPr>
                  <w:t>2004/18/EB</w:t>
                </w:r>
              </w:fldSimple>
              <w:r>
                <w:rPr>
                  <w:rFonts w:eastAsia="Arial Unicode MS"/>
                  <w:szCs w:val="24"/>
                  <w:lang w:eastAsia="en-GB"/>
                </w:rPr>
                <w:t>, OL.</w:t>
              </w:r>
              <w:r>
                <w:rPr>
                  <w:rFonts w:eastAsia="Arial Unicode MS"/>
                  <w:szCs w:val="24"/>
                  <w:lang w:val="en-GB" w:eastAsia="en-GB"/>
                </w:rPr>
                <w:t xml:space="preserve"> </w:t>
              </w:r>
              <w:r>
                <w:rPr>
                  <w:rFonts w:eastAsia="Arial Unicode MS"/>
                  <w:szCs w:val="24"/>
                  <w:lang w:eastAsia="en-GB"/>
                </w:rPr>
                <w:t>L 216/76;</w:t>
              </w:r>
            </w:p>
            <w:p>
              <w:pPr>
                <w:spacing w:line="360" w:lineRule="auto"/>
                <w:ind w:left="720" w:hanging="360"/>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 xml:space="preserve">2023 m. sausio 20 d. dalyvaujančios valstybės narės (pMS) tinkamai informavo EGA Valdančiąją tarybą, kad jos ketina sukurti </w:t>
              </w:r>
              <w:r>
                <w:rPr>
                  <w:rFonts w:eastAsia="Arial Unicode MS"/>
                  <w:i/>
                  <w:szCs w:val="24"/>
                  <w:lang w:eastAsia="en-GB"/>
                </w:rPr>
                <w:t xml:space="preserve">ad hoc </w:t>
              </w:r>
              <w:r>
                <w:rPr>
                  <w:rFonts w:eastAsia="Arial Unicode MS"/>
                  <w:szCs w:val="24"/>
                  <w:lang w:eastAsia="en-GB"/>
                </w:rPr>
                <w:t>B kategorijos projektą pagal EGA kompetenciją (Aprašo metmenys Nr. buvo PRJ.CAP.1268/2023), ir Valdančioji taryba nuo tokios informacijos gavimo nepateikė jokių prieštaravimų.</w:t>
              </w:r>
            </w:p>
            <w:p>
              <w:pPr>
                <w:spacing w:line="360" w:lineRule="auto"/>
                <w:ind w:left="720" w:hanging="360"/>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 xml:space="preserve">kad pagal Tarybos sprendimo IV skyrių EGA valdančioji taryba patvirtino Aprašo Nr. B PRJ.CAP.1268 metmenis ir Valdančiosios tarybos sprendimą SB 2023/002, kuriuo šis CPoCHBRB projektas buvo patvirtintas kaip EGA </w:t>
              </w:r>
              <w:r>
                <w:rPr>
                  <w:rFonts w:eastAsia="Arial Unicode MS"/>
                  <w:i/>
                  <w:szCs w:val="24"/>
                  <w:lang w:eastAsia="en-GB"/>
                </w:rPr>
                <w:t xml:space="preserve">ad hoc </w:t>
              </w:r>
              <w:r>
                <w:rPr>
                  <w:rFonts w:eastAsia="Arial Unicode MS"/>
                  <w:szCs w:val="24"/>
                  <w:lang w:eastAsia="en-GB"/>
                </w:rPr>
                <w:t>B kategorijos projektas.</w:t>
              </w:r>
            </w:p>
            <w:p>
              <w:pPr>
                <w:spacing w:line="360" w:lineRule="auto"/>
                <w:ind w:left="720" w:hanging="360"/>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nedarant poveikio bet kurios suinteresuotos EDA pMS ketinimui prašyti prisijungti prie šios mokėjimo agentūros vėlesniame etape laikantis Tarybos sprendimo 20.4 punkte nustatytų sąlygų ir tvarkos.</w:t>
              </w:r>
            </w:p>
            <w:p>
              <w:pPr>
                <w:spacing w:line="360" w:lineRule="auto"/>
                <w:ind w:left="520"/>
                <w:jc w:val="both"/>
                <w:rPr>
                  <w:rFonts w:eastAsia="Arial Unicode MS"/>
                  <w:sz w:val="22"/>
                  <w:szCs w:val="22"/>
                  <w:lang w:val="en-US" w:eastAsia="en-GB"/>
                </w:rPr>
              </w:pPr>
              <w:r>
                <w:rPr>
                  <w:rFonts w:eastAsia="Arial Unicode MS"/>
                  <w:sz w:val="22"/>
                  <w:szCs w:val="22"/>
                  <w:lang w:eastAsia="en-GB"/>
                </w:rPr>
                <w:t>Susitarė dėl šio B kategorijos projekto, kurio pavadinimas:</w:t>
              </w:r>
            </w:p>
            <w:p>
              <w:pPr>
                <w:spacing w:line="360" w:lineRule="auto"/>
                <w:ind w:left="520"/>
                <w:jc w:val="both"/>
                <w:rPr>
                  <w:rFonts w:eastAsia="Arial Unicode MS"/>
                  <w:sz w:val="22"/>
                  <w:szCs w:val="22"/>
                  <w:lang w:val="en-US" w:eastAsia="en-GB"/>
                </w:rPr>
              </w:pPr>
            </w:p>
            <w:p>
              <w:pPr>
                <w:spacing w:line="360" w:lineRule="auto"/>
                <w:ind w:left="520"/>
                <w:jc w:val="center"/>
                <w:rPr>
                  <w:rFonts w:eastAsia="Arial Unicode MS"/>
                  <w:sz w:val="22"/>
                  <w:szCs w:val="22"/>
                  <w:lang w:val="en-US" w:eastAsia="en-GB"/>
                </w:rPr>
              </w:pPr>
              <w:r>
                <w:rPr>
                  <w:rFonts w:eastAsia="Arial Unicode MS"/>
                  <w:sz w:val="22"/>
                  <w:szCs w:val="22"/>
                  <w:lang w:eastAsia="en-GB"/>
                </w:rPr>
                <w:t>Bendradarbiavimas įsigyjant ChBRB įrangą</w:t>
              </w:r>
            </w:p>
            <w:p>
              <w:pPr>
                <w:spacing w:line="360" w:lineRule="auto"/>
                <w:ind w:left="520"/>
                <w:jc w:val="center"/>
                <w:rPr>
                  <w:rFonts w:eastAsia="Arial Unicode MS"/>
                  <w:sz w:val="22"/>
                  <w:szCs w:val="22"/>
                  <w:lang w:val="en-US" w:eastAsia="en-GB"/>
                </w:rPr>
              </w:pPr>
              <w:r>
                <w:rPr>
                  <w:rFonts w:eastAsia="Arial Unicode MS"/>
                  <w:sz w:val="22"/>
                  <w:szCs w:val="22"/>
                  <w:lang w:eastAsia="en-GB"/>
                </w:rPr>
                <w:t>Toliau vadinama CPoCHBRB</w:t>
              </w:r>
            </w:p>
            <w:p>
              <w:pPr>
                <w:spacing w:line="360" w:lineRule="auto"/>
                <w:ind w:left="520"/>
                <w:jc w:val="center"/>
                <w:rPr>
                  <w:rFonts w:eastAsia="Arial Unicode MS"/>
                  <w:sz w:val="22"/>
                  <w:szCs w:val="22"/>
                  <w:lang w:val="en-US" w:eastAsia="en-GB"/>
                </w:rPr>
              </w:pPr>
            </w:p>
            <w:p>
              <w:pPr>
                <w:rPr>
                  <w:sz w:val="20"/>
                </w:rPr>
              </w:pPr>
            </w:p>
          </w:sdtContent>
        </w:sdt>
        <w:sdt>
          <w:sdtPr>
            <w:alias w:val="2 p."/>
            <w:tag w:val="part_9ed6d8cc51ef4e62aebfb161303b6d30"/>
            <w:lock w:val="sdtLocked"/>
            <w:richText/>
          </w:sdtPr>
          <w:sdtContent>
            <w:p>
              <w:pPr>
                <w:keepNext/>
                <w:keepLines/>
                <w:ind w:left="360" w:hanging="360"/>
                <w:rPr>
                  <w:rFonts w:eastAsia="Arial Unicode MS"/>
                  <w:b/>
                  <w:sz w:val="22"/>
                  <w:szCs w:val="22"/>
                  <w:lang w:val="en-US" w:eastAsia="en-GB"/>
                </w:rPr>
              </w:pPr>
              <w:sdt>
                <w:sdtPr>
                  <w:alias w:val="Numeris"/>
                  <w:tag w:val="nr_9ed6d8cc51ef4e62aebfb161303b6d30"/>
                  <w:lock w:val="sdtLocked"/>
                  <w:richText/>
                </w:sdtPr>
                <w:sdtContent>
                  <w:r>
                    <w:rPr>
                      <w:rFonts w:eastAsia="Arial Unicode MS"/>
                      <w:b/>
                      <w:sz w:val="22"/>
                      <w:szCs w:val="22"/>
                      <w:lang w:val="en-US" w:eastAsia="en-GB"/>
                    </w:rPr>
                    <w:t>2</w:t>
                  </w:r>
                </w:sdtContent>
              </w:sdt>
              <w:r>
                <w:rPr>
                  <w:rFonts w:eastAsia="Arial Unicode MS"/>
                  <w:b/>
                  <w:sz w:val="22"/>
                  <w:szCs w:val="22"/>
                  <w:lang w:val="en-US" w:eastAsia="en-GB"/>
                </w:rPr>
                <w:t>.</w:t>
                <w:tab/>
              </w:r>
              <w:r>
                <w:rPr>
                  <w:rFonts w:eastAsia="Arial Unicode MS"/>
                  <w:b/>
                  <w:sz w:val="22"/>
                  <w:szCs w:val="22"/>
                  <w:lang w:eastAsia="en-GB"/>
                </w:rPr>
                <w:t>Tikslas</w:t>
              </w:r>
            </w:p>
            <w:p>
              <w:pPr>
                <w:rPr>
                  <w:sz w:val="20"/>
                </w:rPr>
              </w:pPr>
            </w:p>
            <w:sdt>
              <w:sdtPr>
                <w:alias w:val="2.1 pp."/>
                <w:tag w:val="part_9a723d1761794b6086c18c681d68d7a2"/>
                <w:lock w:val="sdtLocked"/>
                <w:richText/>
              </w:sdtPr>
              <w:sdtContent>
                <w:p>
                  <w:pPr>
                    <w:spacing w:line="360" w:lineRule="auto"/>
                    <w:ind w:left="567"/>
                    <w:jc w:val="both"/>
                    <w:rPr>
                      <w:rFonts w:eastAsia="Arial Unicode MS"/>
                      <w:sz w:val="22"/>
                      <w:szCs w:val="22"/>
                      <w:lang w:val="en-US" w:eastAsia="en-GB"/>
                    </w:rPr>
                  </w:pPr>
                  <w:sdt>
                    <w:sdtPr>
                      <w:alias w:val="Numeris"/>
                      <w:tag w:val="nr_9a723d1761794b6086c18c681d68d7a2"/>
                      <w:lock w:val="sdtLocked"/>
                      <w:richText/>
                    </w:sdtPr>
                    <w:sdtContent>
                      <w:r>
                        <w:rPr>
                          <w:rFonts w:eastAsia="Arial Unicode MS"/>
                          <w:sz w:val="22"/>
                          <w:szCs w:val="22"/>
                          <w:lang w:val="en-US" w:eastAsia="en-GB"/>
                        </w:rPr>
                        <w:t>2.1</w:t>
                      </w:r>
                    </w:sdtContent>
                  </w:sdt>
                  <w:r>
                    <w:rPr>
                      <w:rFonts w:eastAsia="Arial Unicode MS"/>
                      <w:sz w:val="22"/>
                      <w:szCs w:val="22"/>
                      <w:lang w:val="en-US" w:eastAsia="en-GB"/>
                    </w:rPr>
                    <w:t>.</w:t>
                    <w:tab/>
                  </w:r>
                  <w:r>
                    <w:rPr>
                      <w:rFonts w:eastAsia="Arial Unicode MS"/>
                      <w:sz w:val="22"/>
                      <w:szCs w:val="22"/>
                      <w:lang w:eastAsia="en-GB"/>
                    </w:rPr>
                    <w:t>ES valstybės narės pripažįsta, kad CHBRB ĮRANGOS ir su ja susijusių atsargų prieinamumas yra esminis operatyvinis trūkumas.</w:t>
                  </w:r>
                  <w:r>
                    <w:rPr>
                      <w:rFonts w:eastAsia="Arial Unicode MS"/>
                      <w:sz w:val="22"/>
                      <w:szCs w:val="22"/>
                      <w:lang w:val="en-US" w:eastAsia="en-GB"/>
                    </w:rPr>
                    <w:t xml:space="preserve"> </w:t>
                  </w:r>
                  <w:r>
                    <w:rPr>
                      <w:rFonts w:eastAsia="Arial Unicode MS"/>
                      <w:sz w:val="22"/>
                      <w:szCs w:val="22"/>
                      <w:lang w:eastAsia="en-GB"/>
                    </w:rPr>
                    <w:t>Tai turi įtakos valstybių narių ginkluotųjų pajėgų pasirengimui, jų gebėjimui apsaugoti karius ir vykdyti misijas.</w:t>
                  </w:r>
                </w:p>
                <w:p>
                  <w:pPr>
                    <w:spacing w:line="360" w:lineRule="auto"/>
                    <w:ind w:left="567"/>
                    <w:jc w:val="both"/>
                    <w:rPr>
                      <w:rFonts w:eastAsia="Arial Unicode MS"/>
                      <w:sz w:val="22"/>
                      <w:szCs w:val="22"/>
                      <w:lang w:val="en-US" w:eastAsia="en-GB"/>
                    </w:rPr>
                  </w:pPr>
                  <w:r>
                    <w:rPr>
                      <w:rFonts w:eastAsia="Arial Unicode MS"/>
                      <w:sz w:val="22"/>
                      <w:szCs w:val="22"/>
                      <w:lang w:eastAsia="en-GB"/>
                    </w:rPr>
                    <w:t>Bendras projekto tikslas – padėti prisidedančioms narėms (toliau – cM) papildyti savo ChBRB įrangos atsargas.</w:t>
                  </w:r>
                </w:p>
              </w:sdtContent>
            </w:sdt>
            <w:sdt>
              <w:sdtPr>
                <w:alias w:val="2.2 pp."/>
                <w:tag w:val="part_4edbd7ebdb594839b92f111c255e7d2b"/>
                <w:lock w:val="sdtLocked"/>
                <w:richText/>
              </w:sdtPr>
              <w:sdtContent>
                <w:p>
                  <w:pPr>
                    <w:spacing w:line="360" w:lineRule="auto"/>
                    <w:ind w:left="567"/>
                    <w:jc w:val="both"/>
                    <w:rPr>
                      <w:rFonts w:eastAsia="Arial Unicode MS"/>
                      <w:sz w:val="22"/>
                      <w:szCs w:val="22"/>
                      <w:lang w:val="en-US" w:eastAsia="en-GB"/>
                    </w:rPr>
                  </w:pPr>
                  <w:sdt>
                    <w:sdtPr>
                      <w:alias w:val="Numeris"/>
                      <w:tag w:val="nr_4edbd7ebdb594839b92f111c255e7d2b"/>
                      <w:lock w:val="sdtLocked"/>
                      <w:richText/>
                    </w:sdtPr>
                    <w:sdtContent>
                      <w:r>
                        <w:rPr>
                          <w:rFonts w:eastAsia="Arial Unicode MS"/>
                          <w:sz w:val="22"/>
                          <w:szCs w:val="22"/>
                          <w:lang w:val="en-US" w:eastAsia="en-GB"/>
                        </w:rPr>
                        <w:t>2.2</w:t>
                      </w:r>
                    </w:sdtContent>
                  </w:sdt>
                  <w:r>
                    <w:rPr>
                      <w:rFonts w:eastAsia="Arial Unicode MS"/>
                      <w:sz w:val="22"/>
                      <w:szCs w:val="22"/>
                      <w:lang w:val="en-US" w:eastAsia="en-GB"/>
                    </w:rPr>
                    <w:t>.</w:t>
                    <w:tab/>
                  </w:r>
                  <w:r>
                    <w:rPr>
                      <w:rFonts w:eastAsia="Arial Unicode MS"/>
                      <w:sz w:val="22"/>
                      <w:szCs w:val="22"/>
                      <w:lang w:eastAsia="en-GB"/>
                    </w:rPr>
                    <w:t>Konkretus projekto tikslas – vykdyti bendrus įvairių ChBRB įrangos, daugiausia dėmesio skiriant ChBRB dujokaukėms, ChBRB filtrams ir ChBRB individualios apsaugos įrangai, pirkimus cM vardu, o EGA veikia kaip perkančioji organizacija ir valdymo institucija.</w:t>
                  </w:r>
                </w:p>
                <w:p>
                  <w:pPr>
                    <w:spacing w:line="360" w:lineRule="auto"/>
                    <w:ind w:left="567"/>
                    <w:jc w:val="both"/>
                    <w:rPr>
                      <w:rFonts w:eastAsia="Arial Unicode MS"/>
                      <w:sz w:val="22"/>
                      <w:szCs w:val="22"/>
                      <w:lang w:val="en-US" w:eastAsia="en-GB"/>
                    </w:rPr>
                  </w:pPr>
                  <w:r>
                    <w:rPr>
                      <w:rFonts w:eastAsia="Arial Unicode MS"/>
                      <w:sz w:val="22"/>
                      <w:szCs w:val="22"/>
                      <w:lang w:eastAsia="en-GB"/>
                    </w:rPr>
                    <w:t>Bendradarbiaujant vykdant ChBRB įrangos pirkimus galima sutaupyti nemažai lėšų.</w:t>
                  </w:r>
                  <w:r>
                    <w:rPr>
                      <w:rFonts w:eastAsia="Arial Unicode MS"/>
                      <w:sz w:val="22"/>
                      <w:szCs w:val="22"/>
                      <w:lang w:val="en-US" w:eastAsia="en-GB"/>
                    </w:rPr>
                    <w:t xml:space="preserve"> </w:t>
                  </w:r>
                  <w:r>
                    <w:rPr>
                      <w:rFonts w:eastAsia="Arial Unicode MS"/>
                      <w:sz w:val="22"/>
                      <w:szCs w:val="22"/>
                      <w:lang w:eastAsia="en-GB"/>
                    </w:rPr>
                    <w:t>Be to, bendradarbiavimu grindžiami poreikiai ir viešieji pirkimai gali padidinti tiekimo grandinių saugumą, optimizuoti pristatymo laiką ir palengvinti veiksmingesnį atsargų valdymą.</w:t>
                  </w:r>
                </w:p>
                <w:p>
                  <w:pPr>
                    <w:rPr>
                      <w:sz w:val="20"/>
                    </w:rPr>
                  </w:pPr>
                </w:p>
              </w:sdtContent>
            </w:sdt>
          </w:sdtContent>
        </w:sdt>
        <w:sdt>
          <w:sdtPr>
            <w:alias w:val="3 p."/>
            <w:tag w:val="part_1967a2f103784e50accfdd813e2bb7eb"/>
            <w:lock w:val="sdtLocked"/>
            <w:richText/>
          </w:sdtPr>
          <w:sdtContent>
            <w:p>
              <w:pPr>
                <w:keepNext/>
                <w:keepLines/>
                <w:ind w:left="360" w:hanging="360"/>
                <w:rPr>
                  <w:rFonts w:eastAsia="Arial Unicode MS"/>
                  <w:b/>
                  <w:sz w:val="22"/>
                  <w:szCs w:val="22"/>
                  <w:lang w:val="en-US" w:eastAsia="en-GB"/>
                </w:rPr>
              </w:pPr>
              <w:sdt>
                <w:sdtPr>
                  <w:alias w:val="Numeris"/>
                  <w:tag w:val="nr_1967a2f103784e50accfdd813e2bb7eb"/>
                  <w:lock w:val="sdtLocked"/>
                  <w:richText/>
                </w:sdtPr>
                <w:sdtContent>
                  <w:r>
                    <w:rPr>
                      <w:rFonts w:eastAsia="Arial Unicode MS"/>
                      <w:b/>
                      <w:sz w:val="22"/>
                      <w:szCs w:val="22"/>
                      <w:lang w:val="en-US" w:eastAsia="en-GB"/>
                    </w:rPr>
                    <w:t>3</w:t>
                  </w:r>
                </w:sdtContent>
              </w:sdt>
              <w:r>
                <w:rPr>
                  <w:rFonts w:eastAsia="Arial Unicode MS"/>
                  <w:b/>
                  <w:sz w:val="22"/>
                  <w:szCs w:val="22"/>
                  <w:lang w:val="en-US" w:eastAsia="en-GB"/>
                </w:rPr>
                <w:t>.</w:t>
                <w:tab/>
              </w:r>
              <w:r>
                <w:rPr>
                  <w:rFonts w:eastAsia="Arial Unicode MS"/>
                  <w:b/>
                  <w:sz w:val="22"/>
                  <w:szCs w:val="22"/>
                  <w:lang w:eastAsia="en-GB"/>
                </w:rPr>
                <w:t>Dalyvavimas</w:t>
              </w:r>
            </w:p>
            <w:p>
              <w:pPr>
                <w:rPr>
                  <w:sz w:val="20"/>
                </w:rPr>
              </w:pPr>
            </w:p>
            <w:p>
              <w:pPr>
                <w:spacing w:line="360" w:lineRule="auto"/>
                <w:ind w:left="567"/>
                <w:jc w:val="both"/>
                <w:rPr>
                  <w:rFonts w:eastAsia="Arial Unicode MS"/>
                  <w:sz w:val="22"/>
                  <w:szCs w:val="22"/>
                  <w:lang w:val="en-US" w:eastAsia="en-GB"/>
                </w:rPr>
              </w:pPr>
              <w:r>
                <w:rPr>
                  <w:rFonts w:eastAsia="Arial Unicode MS"/>
                  <w:sz w:val="22"/>
                  <w:szCs w:val="22"/>
                  <w:lang w:eastAsia="en-GB"/>
                </w:rPr>
                <w:t xml:space="preserve">Šis Projekto susitarimas (PA) yra atviras EGA pMS, taip pat visiems subjektams, turintiems teisę dalyvauti EGA </w:t>
              </w:r>
              <w:r>
                <w:rPr>
                  <w:rFonts w:eastAsia="Arial Unicode MS"/>
                  <w:i/>
                  <w:sz w:val="22"/>
                  <w:szCs w:val="22"/>
                  <w:lang w:eastAsia="en-GB"/>
                </w:rPr>
                <w:t xml:space="preserve">ad hoc </w:t>
              </w:r>
              <w:r>
                <w:rPr>
                  <w:rFonts w:eastAsia="Arial Unicode MS"/>
                  <w:sz w:val="22"/>
                  <w:szCs w:val="22"/>
                  <w:lang w:eastAsia="en-GB"/>
                </w:rPr>
                <w:t>veikloje pagal Tarybos sprendimo 20, 23, 24 ir 25 straipsnius.</w:t>
              </w:r>
            </w:p>
            <w:p>
              <w:pPr>
                <w:rPr>
                  <w:sz w:val="20"/>
                </w:rPr>
              </w:pPr>
            </w:p>
          </w:sdtContent>
        </w:sdt>
        <w:sdt>
          <w:sdtPr>
            <w:alias w:val="4 p."/>
            <w:tag w:val="part_94abff6391d44cecb92b7e916d47fe21"/>
            <w:lock w:val="sdtLocked"/>
            <w:richText/>
          </w:sdtPr>
          <w:sdtContent>
            <w:p>
              <w:pPr>
                <w:keepNext/>
                <w:keepLines/>
                <w:ind w:left="360" w:hanging="360"/>
                <w:rPr>
                  <w:rFonts w:eastAsia="Arial Unicode MS"/>
                  <w:b/>
                  <w:sz w:val="22"/>
                  <w:szCs w:val="22"/>
                  <w:lang w:val="en-US" w:eastAsia="en-GB"/>
                </w:rPr>
              </w:pPr>
              <w:sdt>
                <w:sdtPr>
                  <w:alias w:val="Numeris"/>
                  <w:tag w:val="nr_94abff6391d44cecb92b7e916d47fe21"/>
                  <w:lock w:val="sdtLocked"/>
                  <w:richText/>
                </w:sdtPr>
                <w:sdtContent>
                  <w:r>
                    <w:rPr>
                      <w:rFonts w:eastAsia="Arial Unicode MS"/>
                      <w:b/>
                      <w:sz w:val="22"/>
                      <w:szCs w:val="22"/>
                      <w:lang w:val="en-US" w:eastAsia="en-GB"/>
                    </w:rPr>
                    <w:t>4</w:t>
                  </w:r>
                </w:sdtContent>
              </w:sdt>
              <w:r>
                <w:rPr>
                  <w:rFonts w:eastAsia="Arial Unicode MS"/>
                  <w:b/>
                  <w:sz w:val="22"/>
                  <w:szCs w:val="22"/>
                  <w:lang w:val="en-US" w:eastAsia="en-GB"/>
                </w:rPr>
                <w:t>.</w:t>
                <w:tab/>
              </w:r>
              <w:r>
                <w:rPr>
                  <w:rFonts w:eastAsia="Arial Unicode MS"/>
                  <w:b/>
                  <w:sz w:val="22"/>
                  <w:szCs w:val="22"/>
                  <w:lang w:eastAsia="en-GB"/>
                </w:rPr>
                <w:t>PA valdymas ir administravimas</w:t>
              </w:r>
            </w:p>
            <w:p>
              <w:pPr>
                <w:rPr>
                  <w:sz w:val="20"/>
                </w:rPr>
              </w:pPr>
            </w:p>
            <w:p>
              <w:pPr>
                <w:spacing w:line="360" w:lineRule="auto"/>
                <w:ind w:left="567"/>
                <w:jc w:val="both"/>
                <w:rPr>
                  <w:rFonts w:eastAsia="Arial Unicode MS"/>
                  <w:sz w:val="22"/>
                  <w:szCs w:val="22"/>
                  <w:lang w:val="en-US" w:eastAsia="en-GB"/>
                </w:rPr>
              </w:pPr>
              <w:r>
                <w:rPr>
                  <w:rFonts w:eastAsia="Arial Unicode MS"/>
                  <w:sz w:val="22"/>
                  <w:szCs w:val="22"/>
                  <w:lang w:eastAsia="en-GB"/>
                </w:rPr>
                <w:t>Projekto valdymas ir įgyvendinimas bus vykdomas pagal šią valdymo struktūrą:</w:t>
              </w:r>
            </w:p>
            <w:p>
              <w:pPr>
                <w:rPr>
                  <w:sz w:val="20"/>
                </w:rPr>
              </w:pPr>
            </w:p>
            <w:p>
              <w:pPr>
                <w:spacing w:line="360" w:lineRule="auto"/>
                <w:ind w:left="1240" w:hanging="673"/>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Sprendimus priimanti institucija yra Projekto susitarimų valdymo grupė (PAMG).</w:t>
              </w:r>
              <w:r>
                <w:rPr>
                  <w:rFonts w:eastAsia="Arial Unicode MS"/>
                  <w:szCs w:val="24"/>
                  <w:lang w:val="en-GB" w:eastAsia="en-GB"/>
                </w:rPr>
                <w:t xml:space="preserve"> </w:t>
              </w:r>
            </w:p>
            <w:p>
              <w:pPr>
                <w:spacing w:line="360" w:lineRule="auto"/>
                <w:ind w:left="1240" w:hanging="360"/>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Projekto darbo grupė (PWG) yra ekspertų grupė, rengianti konkrečias darbo kryptis, susijusias su ChBRB tipo dujokaukėmis, ChBRB tipo filtrais ir ChBRB tipo individualios apsaugos priemonėmis.</w:t>
              </w:r>
              <w:r>
                <w:rPr>
                  <w:rFonts w:eastAsia="Arial Unicode MS"/>
                  <w:szCs w:val="24"/>
                  <w:lang w:val="en-GB" w:eastAsia="en-GB"/>
                </w:rPr>
                <w:t xml:space="preserve"> </w:t>
              </w:r>
              <w:r>
                <w:rPr>
                  <w:rFonts w:eastAsia="Arial Unicode MS"/>
                  <w:szCs w:val="24"/>
                  <w:lang w:eastAsia="en-GB"/>
                </w:rPr>
                <w:t>PWG yra pavaldi PAMG.</w:t>
              </w:r>
            </w:p>
            <w:p>
              <w:pPr>
                <w:spacing w:line="360" w:lineRule="auto"/>
                <w:ind w:left="1240" w:hanging="360"/>
                <w:jc w:val="both"/>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EGA veiks kaip perkančioji organizacija ir valdymo institucija.</w:t>
              </w:r>
            </w:p>
            <w:sdt>
              <w:sdtPr>
                <w:alias w:val="4.1 pp."/>
                <w:tag w:val="part_2e5e0f9110c6425481aeabdde4d38d6e"/>
                <w:lock w:val="sdtLocked"/>
                <w:richText/>
              </w:sdtPr>
              <w:sdtContent>
                <w:p>
                  <w:pPr>
                    <w:spacing w:line="360" w:lineRule="auto"/>
                    <w:ind w:left="1080" w:hanging="360"/>
                    <w:jc w:val="both"/>
                    <w:rPr>
                      <w:rFonts w:eastAsia="Arial Unicode MS"/>
                      <w:b/>
                      <w:szCs w:val="24"/>
                      <w:lang w:val="en-US" w:eastAsia="en-GB"/>
                    </w:rPr>
                  </w:pPr>
                  <w:sdt>
                    <w:sdtPr>
                      <w:alias w:val="Numeris"/>
                      <w:tag w:val="nr_2e5e0f9110c6425481aeabdde4d38d6e"/>
                      <w:lock w:val="sdtLocked"/>
                      <w:richText/>
                    </w:sdtPr>
                    <w:sdtContent>
                      <w:r>
                        <w:rPr>
                          <w:rFonts w:eastAsia="Arial Unicode MS"/>
                          <w:b/>
                          <w:sz w:val="22"/>
                          <w:szCs w:val="22"/>
                          <w:lang w:val="fr-FR" w:eastAsia="en-GB"/>
                        </w:rPr>
                        <w:t>4.1</w:t>
                      </w:r>
                    </w:sdtContent>
                  </w:sdt>
                  <w:r>
                    <w:rPr>
                      <w:rFonts w:eastAsia="Arial Unicode MS"/>
                      <w:b/>
                      <w:sz w:val="22"/>
                      <w:szCs w:val="22"/>
                      <w:lang w:val="fr-FR" w:eastAsia="en-GB"/>
                    </w:rPr>
                    <w:tab/>
                  </w:r>
                  <w:r>
                    <w:rPr>
                      <w:rFonts w:eastAsia="Arial Unicode MS"/>
                      <w:b/>
                      <w:szCs w:val="24"/>
                      <w:lang w:eastAsia="en-GB"/>
                    </w:rPr>
                    <w:t>Projekto susitarimų valdymo grupė (PAMG)</w:t>
                  </w:r>
                </w:p>
                <w:p>
                  <w:pPr>
                    <w:spacing w:line="360" w:lineRule="auto"/>
                    <w:ind w:left="567"/>
                    <w:jc w:val="both"/>
                    <w:rPr>
                      <w:rFonts w:eastAsia="Arial Unicode MS"/>
                      <w:sz w:val="22"/>
                      <w:szCs w:val="22"/>
                      <w:lang w:val="en-US" w:eastAsia="en-GB"/>
                    </w:rPr>
                  </w:pPr>
                  <w:r>
                    <w:rPr>
                      <w:rFonts w:eastAsia="Arial Unicode MS"/>
                      <w:sz w:val="22"/>
                      <w:szCs w:val="22"/>
                      <w:lang w:eastAsia="en-GB"/>
                    </w:rPr>
                    <w:t>cMs atstovai, kurie sudarys PAMG, išvardyti 2 priede.</w:t>
                  </w:r>
                  <w:r>
                    <w:rPr>
                      <w:rFonts w:eastAsia="Arial Unicode MS"/>
                      <w:sz w:val="22"/>
                      <w:szCs w:val="22"/>
                      <w:lang w:val="en-US" w:eastAsia="en-GB"/>
                    </w:rPr>
                    <w:t xml:space="preserve"> </w:t>
                  </w:r>
                  <w:r>
                    <w:rPr>
                      <w:rFonts w:eastAsia="Arial Unicode MS"/>
                      <w:sz w:val="22"/>
                      <w:szCs w:val="22"/>
                      <w:lang w:eastAsia="en-GB"/>
                    </w:rPr>
                    <w:t>Kiekviena cM turės vieną balsą ir vieną PAMG atstovą.</w:t>
                  </w:r>
                  <w:r>
                    <w:rPr>
                      <w:rFonts w:eastAsia="Arial Unicode MS"/>
                      <w:sz w:val="22"/>
                      <w:szCs w:val="22"/>
                      <w:lang w:val="en-US" w:eastAsia="en-GB"/>
                    </w:rPr>
                    <w:t xml:space="preserve"> </w:t>
                  </w:r>
                  <w:r>
                    <w:rPr>
                      <w:rFonts w:eastAsia="Arial Unicode MS"/>
                      <w:sz w:val="22"/>
                      <w:szCs w:val="22"/>
                      <w:lang w:eastAsia="en-GB"/>
                    </w:rPr>
                    <w:t>EGA dalyvaus PAMG veikloje be jokių balsavimo teisių.</w:t>
                  </w:r>
                  <w:r>
                    <w:rPr>
                      <w:rFonts w:eastAsia="Arial Unicode MS"/>
                      <w:sz w:val="22"/>
                      <w:szCs w:val="22"/>
                      <w:lang w:val="en-US" w:eastAsia="en-GB"/>
                    </w:rPr>
                    <w:t xml:space="preserve"> </w:t>
                  </w:r>
                  <w:r>
                    <w:rPr>
                      <w:rFonts w:eastAsia="Arial Unicode MS"/>
                      <w:sz w:val="22"/>
                      <w:szCs w:val="22"/>
                      <w:lang w:eastAsia="en-GB"/>
                    </w:rPr>
                    <w:t>Visi PAMG sprendimai priimami bendru sutarimu.</w:t>
                  </w:r>
                  <w:r>
                    <w:rPr>
                      <w:rFonts w:eastAsia="Arial Unicode MS"/>
                      <w:sz w:val="22"/>
                      <w:szCs w:val="22"/>
                      <w:lang w:val="en-US" w:eastAsia="en-GB"/>
                    </w:rPr>
                    <w:t xml:space="preserve"> </w:t>
                  </w:r>
                  <w:r>
                    <w:rPr>
                      <w:rFonts w:eastAsia="Arial Unicode MS"/>
                      <w:sz w:val="22"/>
                      <w:szCs w:val="22"/>
                      <w:lang w:eastAsia="en-GB"/>
                    </w:rPr>
                    <w:t>Bet koks ginčytinas sprendimas, dėl kurio PAMG negali susitarti bendru sutarimu, sprendžiamas pagal 8 skirsnio nuostatas.</w:t>
                  </w:r>
                </w:p>
                <w:p>
                  <w:pPr>
                    <w:spacing w:line="360" w:lineRule="auto"/>
                    <w:ind w:left="567"/>
                    <w:jc w:val="both"/>
                    <w:rPr>
                      <w:rFonts w:eastAsia="Arial Unicode MS"/>
                      <w:sz w:val="22"/>
                      <w:szCs w:val="22"/>
                      <w:lang w:val="en-US" w:eastAsia="en-GB"/>
                    </w:rPr>
                  </w:pPr>
                  <w:r>
                    <w:rPr>
                      <w:rFonts w:eastAsia="Arial Unicode MS"/>
                      <w:sz w:val="22"/>
                      <w:szCs w:val="22"/>
                      <w:lang w:eastAsia="en-GB"/>
                    </w:rPr>
                    <w:t>PAMG atsakomybės sritys: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a.</w:t>
                    <w:tab/>
                  </w:r>
                  <w:r>
                    <w:rPr>
                      <w:rFonts w:eastAsia="Arial Unicode MS"/>
                      <w:szCs w:val="24"/>
                      <w:lang w:eastAsia="en-GB"/>
                    </w:rPr>
                    <w:t>teikti EGA gaires, paramą ir informaciją, susijusią su viešųjų pirkimų veikla, įskaitant terminus ir tiekimo strategiją, kurios EGA imasi pagal šią PA;</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b.</w:t>
                    <w:tab/>
                  </w:r>
                  <w:r>
                    <w:rPr>
                      <w:rFonts w:eastAsia="Arial Unicode MS"/>
                      <w:szCs w:val="24"/>
                      <w:lang w:eastAsia="en-GB"/>
                    </w:rPr>
                    <w:t>tvirtinti pirkimo dokumentų projektus, įskaitant Pagrindų susitarimo projektą, prieš pradedant bet kokią viešųjų pirkimų procedūrą;</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c.</w:t>
                    <w:tab/>
                  </w:r>
                  <w:r>
                    <w:rPr>
                      <w:rFonts w:eastAsia="Arial Unicode MS"/>
                      <w:szCs w:val="24"/>
                      <w:lang w:eastAsia="en-GB"/>
                    </w:rPr>
                    <w:t>remti EGA vykdant šį projektą, įskaitant visus bendro intereso administravimo ir valdymo klausimus, įskaitant klausimus, susijusius su bendraisiais pirkimais pagal šią PA;</w:t>
                  </w:r>
                  <w:r>
                    <w:rPr>
                      <w:rFonts w:eastAsia="Arial Unicode MS"/>
                      <w:szCs w:val="24"/>
                      <w:lang w:val="en-GB" w:eastAsia="en-GB"/>
                    </w:rPr>
                    <w:t xml:space="preserve"> </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d.</w:t>
                    <w:tab/>
                  </w:r>
                  <w:r>
                    <w:rPr>
                      <w:rFonts w:eastAsia="Arial Unicode MS"/>
                      <w:szCs w:val="24"/>
                      <w:lang w:eastAsia="en-GB"/>
                    </w:rPr>
                    <w:t>esant reikalui, dekonfliktuoti ir (arba) nustatyti pirmenybę rašytiniams užsakymams (WO), viršijantiems gamybos pajėgumus;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e.</w:t>
                    <w:tab/>
                  </w:r>
                  <w:r>
                    <w:rPr>
                      <w:rFonts w:eastAsia="Arial Unicode MS"/>
                      <w:szCs w:val="24"/>
                      <w:lang w:eastAsia="en-GB"/>
                    </w:rPr>
                    <w:t>tvirtinti užsakymo formą (OF);</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f.</w:t>
                    <w:tab/>
                  </w:r>
                  <w:r>
                    <w:rPr>
                      <w:rFonts w:eastAsia="Arial Unicode MS"/>
                      <w:szCs w:val="24"/>
                      <w:lang w:eastAsia="en-GB"/>
                    </w:rPr>
                    <w:t>priimti bet kokį sprendimą siekiant laikytis bet kurios taikytinos šios PA nuostatos;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g.</w:t>
                    <w:tab/>
                  </w:r>
                  <w:r>
                    <w:rPr>
                      <w:rFonts w:eastAsia="Arial Unicode MS"/>
                      <w:szCs w:val="24"/>
                      <w:lang w:eastAsia="en-GB"/>
                    </w:rPr>
                    <w:t>teikti paramą ir pagalbą EGA rengiant galimus šios PA pakeitimus;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h.</w:t>
                    <w:tab/>
                  </w:r>
                  <w:r>
                    <w:rPr>
                      <w:rFonts w:eastAsia="Arial Unicode MS"/>
                      <w:szCs w:val="24"/>
                      <w:lang w:eastAsia="en-GB"/>
                    </w:rPr>
                    <w:t>skirti pirmininką;</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i.</w:t>
                    <w:tab/>
                  </w:r>
                  <w:r>
                    <w:rPr>
                      <w:rFonts w:eastAsia="Arial Unicode MS"/>
                      <w:szCs w:val="24"/>
                      <w:lang w:eastAsia="en-GB"/>
                    </w:rPr>
                    <w:t>teikti rekomendacijas PWG, pavesti jai užduotis ir tvirtinti jos rekomendacijas;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j.</w:t>
                    <w:tab/>
                  </w:r>
                  <w:r>
                    <w:rPr>
                      <w:rFonts w:eastAsia="Arial Unicode MS"/>
                      <w:szCs w:val="24"/>
                      <w:lang w:eastAsia="en-GB"/>
                    </w:rPr>
                    <w:t>kiekvienu konkrečiu atveju spręsti dėl trečiųjų šalių dalyvavimo PAMG ir PWG posėdžiuose, laikantis penkiolikos darbo dienų tylos procedūros, pagal atitinkamas EGA taisykles ir procedūras;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k.</w:t>
                    <w:tab/>
                  </w:r>
                  <w:r>
                    <w:rPr>
                      <w:rFonts w:eastAsia="Arial Unicode MS"/>
                      <w:szCs w:val="24"/>
                      <w:lang w:eastAsia="en-GB"/>
                    </w:rPr>
                    <w:t>Europos gynybos agentūrai teikia rekomendacijas, kaip gauti lėšų PA veiklai remti pagal bet kokias atitinkamas finansines priemones, finansuojamas iš ES bendrojo biudžeto (pvz., Europos gynybos pramonės stiprinimas pagal bendrą viešųjų pirkimų aktą (EDIRPA), Europos gynybos investicijų programą (EDIP)) arba už jos ribų, taip pat apie tai, ar dalis tokio finansavimo galėtų padengti EGA administracines išlaidas, susijusias su sutartinės veiklos valdymu;</w:t>
                  </w:r>
                  <w:r>
                    <w:rPr>
                      <w:rFonts w:eastAsia="Arial Unicode MS"/>
                      <w:szCs w:val="24"/>
                      <w:lang w:val="en-GB" w:eastAsia="en-GB"/>
                    </w:rPr>
                    <w:t xml:space="preserve"> </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l.</w:t>
                    <w:tab/>
                  </w:r>
                  <w:r>
                    <w:rPr>
                      <w:rFonts w:eastAsia="Arial Unicode MS"/>
                      <w:szCs w:val="24"/>
                      <w:lang w:eastAsia="en-GB"/>
                    </w:rPr>
                    <w:t>tvirtinti EGA parengtas ataskaitas apie šio projekto įgyvendinimo eigą, jei to prašo EGA Valdančioji taryba;</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m.</w:t>
                    <w:tab/>
                  </w:r>
                  <w:r>
                    <w:rPr>
                      <w:rFonts w:eastAsia="Arial Unicode MS"/>
                      <w:szCs w:val="24"/>
                      <w:lang w:eastAsia="en-GB"/>
                    </w:rPr>
                    <w:t>tvirtinti EGA parengtą galutinę ataskaitą, kuri baigus šį projektą turi būti raštu pateikta EGA Valdančiajai tarybai.</w:t>
                  </w:r>
                </w:p>
                <w:p>
                  <w:pPr>
                    <w:spacing w:line="360" w:lineRule="auto"/>
                    <w:ind w:left="567"/>
                    <w:jc w:val="both"/>
                    <w:rPr>
                      <w:rFonts w:eastAsia="Arial Unicode MS"/>
                      <w:sz w:val="22"/>
                      <w:szCs w:val="22"/>
                      <w:lang w:val="en-US" w:eastAsia="en-GB"/>
                    </w:rPr>
                  </w:pPr>
                  <w:r>
                    <w:rPr>
                      <w:rFonts w:eastAsia="Arial Unicode MS"/>
                      <w:sz w:val="22"/>
                      <w:szCs w:val="22"/>
                      <w:lang w:eastAsia="en-GB"/>
                    </w:rPr>
                    <w:t>PAMG veiks pagal patvirtintus įgaliojimus, kuriuos patvirtins pati PAMG.</w:t>
                  </w:r>
                </w:p>
              </w:sdtContent>
            </w:sdt>
            <w:sdt>
              <w:sdtPr>
                <w:alias w:val="4.2 pp."/>
                <w:tag w:val="part_d32e921b93fe4351b08e0d5670182e38"/>
                <w:lock w:val="sdtLocked"/>
                <w:richText/>
              </w:sdtPr>
              <w:sdtContent>
                <w:p>
                  <w:pPr>
                    <w:spacing w:line="360" w:lineRule="auto"/>
                    <w:ind w:left="792" w:hanging="432"/>
                    <w:jc w:val="both"/>
                    <w:rPr>
                      <w:rFonts w:eastAsia="Arial Unicode MS"/>
                      <w:b/>
                      <w:szCs w:val="24"/>
                      <w:lang w:val="en-GB" w:eastAsia="en-GB"/>
                    </w:rPr>
                  </w:pPr>
                  <w:sdt>
                    <w:sdtPr>
                      <w:alias w:val="Numeris"/>
                      <w:tag w:val="nr_d32e921b93fe4351b08e0d5670182e38"/>
                      <w:lock w:val="sdtLocked"/>
                      <w:richText/>
                    </w:sdtPr>
                    <w:sdtContent>
                      <w:r>
                        <w:rPr>
                          <w:rFonts w:eastAsia="Arial Unicode MS"/>
                          <w:b/>
                          <w:szCs w:val="24"/>
                          <w:lang w:val="en-GB" w:eastAsia="en-GB"/>
                        </w:rPr>
                        <w:t>4.2</w:t>
                      </w:r>
                    </w:sdtContent>
                  </w:sdt>
                  <w:r>
                    <w:rPr>
                      <w:rFonts w:eastAsia="Arial Unicode MS"/>
                      <w:b/>
                      <w:szCs w:val="24"/>
                      <w:lang w:val="en-GB" w:eastAsia="en-GB"/>
                    </w:rPr>
                    <w:t>.</w:t>
                    <w:tab/>
                  </w:r>
                  <w:r>
                    <w:rPr>
                      <w:rFonts w:eastAsia="Arial Unicode MS"/>
                      <w:b/>
                      <w:szCs w:val="24"/>
                      <w:lang w:eastAsia="en-GB"/>
                    </w:rPr>
                    <w:t>Projekto darbo grupė (PWG)</w:t>
                  </w:r>
                </w:p>
                <w:p>
                  <w:pPr>
                    <w:spacing w:line="360" w:lineRule="auto"/>
                    <w:ind w:left="567"/>
                    <w:jc w:val="both"/>
                    <w:rPr>
                      <w:rFonts w:eastAsia="Arial Unicode MS"/>
                      <w:sz w:val="22"/>
                      <w:szCs w:val="22"/>
                      <w:lang w:val="en-US" w:eastAsia="en-GB"/>
                    </w:rPr>
                  </w:pPr>
                  <w:r>
                    <w:rPr>
                      <w:rFonts w:eastAsia="Arial Unicode MS"/>
                      <w:sz w:val="22"/>
                      <w:szCs w:val="22"/>
                      <w:lang w:eastAsia="en-GB"/>
                    </w:rPr>
                    <w:t>PWG sudarys cMs techninio eksperto lygio atstovai, kurie neprisiims sprendimų priėmimo atsakomybės.</w:t>
                  </w:r>
                  <w:r>
                    <w:rPr>
                      <w:rFonts w:eastAsia="Arial Unicode MS"/>
                      <w:sz w:val="22"/>
                      <w:szCs w:val="22"/>
                      <w:lang w:val="en-US" w:eastAsia="en-GB"/>
                    </w:rPr>
                    <w:t xml:space="preserve"> </w:t>
                  </w:r>
                  <w:r>
                    <w:rPr>
                      <w:rFonts w:eastAsia="Arial Unicode MS"/>
                      <w:sz w:val="22"/>
                      <w:szCs w:val="22"/>
                      <w:lang w:eastAsia="en-GB"/>
                    </w:rPr>
                    <w:t>Jai pirmininkaus EGA, o posėdžius ji rengs prireikus, bet kurio cM arba EGA prašymu.</w:t>
                  </w:r>
                  <w:r>
                    <w:rPr>
                      <w:rFonts w:eastAsia="Arial Unicode MS"/>
                      <w:sz w:val="22"/>
                      <w:szCs w:val="22"/>
                      <w:lang w:val="en-US" w:eastAsia="en-GB"/>
                    </w:rPr>
                    <w:t xml:space="preserve"> </w:t>
                  </w:r>
                  <w:r>
                    <w:rPr>
                      <w:rFonts w:eastAsia="Arial Unicode MS"/>
                      <w:sz w:val="22"/>
                      <w:szCs w:val="22"/>
                      <w:lang w:eastAsia="en-GB"/>
                    </w:rPr>
                    <w:t>PWG bus atsakinga už visų svarbių ir būtinų techninių duomenų ir dokumentų, susijusių su bendru pirkimu, kuris turi būti vykdomas pagal šį PA, paruošimą.</w:t>
                  </w:r>
                </w:p>
                <w:p>
                  <w:pPr>
                    <w:spacing w:line="360" w:lineRule="auto"/>
                    <w:ind w:left="567"/>
                    <w:jc w:val="both"/>
                    <w:rPr>
                      <w:rFonts w:eastAsia="Arial Unicode MS"/>
                      <w:sz w:val="22"/>
                      <w:szCs w:val="22"/>
                      <w:lang w:val="en-US" w:eastAsia="en-GB"/>
                    </w:rPr>
                  </w:pPr>
                </w:p>
                <w:p>
                  <w:pPr>
                    <w:spacing w:line="360" w:lineRule="auto"/>
                    <w:ind w:left="567"/>
                    <w:jc w:val="both"/>
                    <w:rPr>
                      <w:rFonts w:eastAsia="Arial Unicode MS"/>
                      <w:sz w:val="22"/>
                      <w:szCs w:val="22"/>
                      <w:lang w:val="en-US" w:eastAsia="en-GB"/>
                    </w:rPr>
                  </w:pPr>
                  <w:r>
                    <w:rPr>
                      <w:rFonts w:eastAsia="Arial Unicode MS"/>
                      <w:sz w:val="22"/>
                      <w:szCs w:val="22"/>
                      <w:lang w:eastAsia="en-GB"/>
                    </w:rPr>
                    <w:t>PWG bus tiesiogiai pavaldi PAMG.</w:t>
                  </w:r>
                  <w:r>
                    <w:rPr>
                      <w:rFonts w:eastAsia="Arial Unicode MS"/>
                      <w:sz w:val="22"/>
                      <w:szCs w:val="22"/>
                      <w:lang w:val="en-US" w:eastAsia="en-GB"/>
                    </w:rPr>
                    <w:t xml:space="preserve"> </w:t>
                  </w:r>
                  <w:r>
                    <w:rPr>
                      <w:rFonts w:eastAsia="Arial Unicode MS"/>
                      <w:sz w:val="22"/>
                      <w:szCs w:val="22"/>
                      <w:lang w:eastAsia="en-GB"/>
                    </w:rPr>
                    <w:t>Paprašius, EGA parengs kiekvieno posėdžio protokolą.</w:t>
                  </w:r>
                  <w:r>
                    <w:rPr>
                      <w:rFonts w:eastAsia="Arial Unicode MS"/>
                      <w:sz w:val="22"/>
                      <w:szCs w:val="22"/>
                      <w:lang w:val="en-US" w:eastAsia="en-GB"/>
                    </w:rPr>
                    <w:t xml:space="preserve"> </w:t>
                  </w:r>
                  <w:r>
                    <w:rPr>
                      <w:rFonts w:eastAsia="Arial Unicode MS"/>
                      <w:sz w:val="22"/>
                      <w:szCs w:val="22"/>
                      <w:lang w:eastAsia="en-GB"/>
                    </w:rPr>
                    <w:t>Šis protokolas, įskaitant galimas rekomendacijas, turi būti pateiktas PAMG.</w:t>
                  </w:r>
                </w:p>
                <w:p>
                  <w:pPr>
                    <w:rPr>
                      <w:sz w:val="20"/>
                    </w:rPr>
                  </w:pPr>
                </w:p>
              </w:sdtContent>
            </w:sdt>
          </w:sdtContent>
        </w:sdt>
        <w:sdt>
          <w:sdtPr>
            <w:alias w:val="5 p."/>
            <w:tag w:val="part_11be0e33e7aa474cb23fae91d0cce27e"/>
            <w:lock w:val="sdtLocked"/>
            <w:richText/>
          </w:sdtPr>
          <w:sdtContent>
            <w:p>
              <w:pPr>
                <w:keepNext/>
                <w:keepLines/>
                <w:ind w:left="360" w:hanging="360"/>
                <w:jc w:val="both"/>
                <w:rPr>
                  <w:rFonts w:eastAsia="Arial Unicode MS"/>
                  <w:b/>
                  <w:sz w:val="22"/>
                  <w:szCs w:val="22"/>
                  <w:lang w:eastAsia="en-GB"/>
                </w:rPr>
              </w:pPr>
              <w:sdt>
                <w:sdtPr>
                  <w:alias w:val="Numeris"/>
                  <w:tag w:val="nr_11be0e33e7aa474cb23fae91d0cce27e"/>
                  <w:lock w:val="sdtLocked"/>
                  <w:richText/>
                </w:sdtPr>
                <w:sdtContent>
                  <w:r>
                    <w:rPr>
                      <w:rFonts w:eastAsia="Arial Unicode MS"/>
                      <w:b/>
                      <w:sz w:val="22"/>
                      <w:szCs w:val="22"/>
                      <w:lang w:eastAsia="en-GB"/>
                    </w:rPr>
                    <w:t>5</w:t>
                  </w:r>
                </w:sdtContent>
              </w:sdt>
              <w:r>
                <w:rPr>
                  <w:rFonts w:eastAsia="Arial Unicode MS"/>
                  <w:b/>
                  <w:sz w:val="22"/>
                  <w:szCs w:val="22"/>
                  <w:lang w:eastAsia="en-GB"/>
                </w:rPr>
                <w:t>.</w:t>
                <w:tab/>
                <w:t>EGA vaidmuo</w:t>
              </w:r>
            </w:p>
            <w:p>
              <w:pPr>
                <w:rPr>
                  <w:sz w:val="20"/>
                </w:rPr>
              </w:pPr>
            </w:p>
            <w:p>
              <w:pPr>
                <w:spacing w:line="360" w:lineRule="auto"/>
                <w:ind w:left="567"/>
                <w:jc w:val="both"/>
                <w:rPr>
                  <w:rFonts w:eastAsia="Arial Unicode MS"/>
                  <w:sz w:val="22"/>
                  <w:szCs w:val="22"/>
                  <w:lang w:val="en-US" w:eastAsia="en-GB"/>
                </w:rPr>
              </w:pPr>
              <w:r>
                <w:rPr>
                  <w:rFonts w:eastAsia="Arial Unicode MS"/>
                  <w:sz w:val="22"/>
                  <w:szCs w:val="22"/>
                  <w:lang w:eastAsia="en-GB"/>
                </w:rPr>
                <w:t>Vykdydama šią PA, EGA turi:</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a.</w:t>
                <w:tab/>
              </w:r>
              <w:r>
                <w:rPr>
                  <w:rFonts w:eastAsia="Arial Unicode MS"/>
                  <w:szCs w:val="24"/>
                  <w:lang w:eastAsia="en-GB"/>
                </w:rPr>
                <w:t>vykdyti bendrą Projekto koordinavimą, administravimą ir valdymą;</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b.</w:t>
                <w:tab/>
              </w:r>
              <w:r>
                <w:rPr>
                  <w:rFonts w:eastAsia="Arial Unicode MS"/>
                  <w:szCs w:val="24"/>
                  <w:lang w:eastAsia="en-GB"/>
                </w:rPr>
                <w:t>koordinuoti veiklą su cMs, siekiant ištirti jų poreikius ir apibendrinti jų reikalavimus, kad būtų galima pateikti bendrą veiksmingą sprendimą, kuris leistų standartizuoti cMs;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c.</w:t>
                <w:tab/>
              </w:r>
              <w:r>
                <w:rPr>
                  <w:rFonts w:eastAsia="Arial Unicode MS"/>
                  <w:szCs w:val="24"/>
                  <w:lang w:eastAsia="en-GB"/>
                </w:rPr>
                <w:t>teikti cMs informaciją apie rinką, siekiant palengvinti ir optimizuoti jų galimybes naudotis gamybos pajėgumais;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d.</w:t>
                <w:tab/>
              </w:r>
              <w:r>
                <w:rPr>
                  <w:rFonts w:eastAsia="Arial Unicode MS"/>
                  <w:szCs w:val="24"/>
                  <w:lang w:eastAsia="en-GB"/>
                </w:rPr>
                <w:t>atlikti perkančiosios organizacijos funkcijas vykdant bendradarbiavimo viešųjų pirkimų procedūrą (-as);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e.</w:t>
                <w:tab/>
              </w:r>
              <w:r>
                <w:rPr>
                  <w:rFonts w:eastAsia="Arial Unicode MS"/>
                  <w:szCs w:val="24"/>
                  <w:lang w:eastAsia="en-GB"/>
                </w:rPr>
                <w:t>rengti viešųjų pirkimų dokumentų projektus, įskaitant FWA projektą;</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f.</w:t>
                <w:tab/>
              </w:r>
              <w:r>
                <w:rPr>
                  <w:rFonts w:eastAsia="Arial Unicode MS"/>
                  <w:szCs w:val="24"/>
                  <w:lang w:eastAsia="en-GB"/>
                </w:rPr>
                <w:t>prieš pradedant viešųjų pirkimų procedūrą, pateikti PAMG viešųjų pirkimų dokumentų projektus, įskaitant FWA projektą, kad PAMG juos patvirtintų;</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g.</w:t>
                <w:tab/>
              </w:r>
              <w:r>
                <w:rPr>
                  <w:rFonts w:eastAsia="Arial Unicode MS"/>
                  <w:szCs w:val="24"/>
                  <w:lang w:eastAsia="en-GB"/>
                </w:rPr>
                <w:t xml:space="preserve">pasirašo, dalijasi ir valdo bendrąjį (-uosius) susitarimą (-us) ir iš jo (jų) kylantį (-čius) OF pagal atitinkamas EGA taikomas taisykles ir procedūras, papildytas ES direktyva </w:t>
              </w:r>
              <w:fldSimple w:instr="HYPERLINK http://eur-lex.europa.eu/legal-content/LIT/TXT/?uri=CELEX:32009L0081&amp;locale=lt \t _blank">
                <w:r>
                  <w:rPr>
                    <w:rFonts w:eastAsia="Arial Unicode MS"/>
                    <w:szCs w:val="24"/>
                    <w:lang w:eastAsia="en-GB"/>
                    <w:u w:val="single"/>
                    <w:color w:val="0000FF" w:themeColor="hyperlink"/>
                  </w:rPr>
                  <w:t>2009/81/EB</w:t>
                </w:r>
              </w:fldSimple>
              <w:r>
                <w:rPr>
                  <w:rFonts w:eastAsia="Arial Unicode MS"/>
                  <w:szCs w:val="24"/>
                  <w:lang w:eastAsia="en-GB"/>
                </w:rPr>
                <w:t>;</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h.</w:t>
                <w:tab/>
              </w:r>
              <w:r>
                <w:rPr>
                  <w:rFonts w:eastAsia="Arial Unicode MS"/>
                  <w:szCs w:val="24"/>
                  <w:lang w:eastAsia="en-GB"/>
                </w:rPr>
                <w:t>koordinuoti visus susijusius finansinius, administracinius ir mokestinius formalumus, neprieštaraujančius cMs nacionaliniams įstatymams ir kitiems teisės aktams;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i.</w:t>
                <w:tab/>
              </w:r>
              <w:r>
                <w:rPr>
                  <w:rFonts w:eastAsia="Arial Unicode MS"/>
                  <w:szCs w:val="24"/>
                  <w:lang w:eastAsia="en-GB"/>
                </w:rPr>
                <w:t>tvarkyti pagal šią PA EGA skirtas lėšas pagal Tarybos sprendimo 17 straipsnį;</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j.</w:t>
                <w:tab/>
              </w:r>
              <w:r>
                <w:rPr>
                  <w:rFonts w:eastAsia="Arial Unicode MS"/>
                  <w:szCs w:val="24"/>
                  <w:lang w:eastAsia="en-GB"/>
                </w:rPr>
                <w:t>kiek įmanoma prisidėti prie „tiekimo saugumo“ koncepcijos ir užtikrinti pristatymo laiko nuspėjamumą. cMs gali pasikliauti OF pagal FWA, susijusius su šiuo PA, remdamos savo nacionalinės gynybos ginkluotės veiklą;</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k.</w:t>
                <w:tab/>
              </w:r>
              <w:r>
                <w:rPr>
                  <w:rFonts w:eastAsia="Arial Unicode MS"/>
                  <w:szCs w:val="24"/>
                  <w:lang w:eastAsia="en-GB"/>
                </w:rPr>
                <w:t>paskirti specialų projekto pareigūną, kuris bus atsakingas už veiksmingą projekto koordinavimą.</w:t>
              </w:r>
              <w:r>
                <w:rPr>
                  <w:rFonts w:eastAsia="Arial Unicode MS"/>
                  <w:szCs w:val="24"/>
                  <w:lang w:val="en-GB" w:eastAsia="en-GB"/>
                </w:rPr>
                <w:t xml:space="preserve"> </w:t>
              </w:r>
              <w:r>
                <w:rPr>
                  <w:rFonts w:eastAsia="Arial Unicode MS"/>
                  <w:szCs w:val="24"/>
                  <w:lang w:eastAsia="en-GB"/>
                </w:rPr>
                <w:t>PO dalyvaus PAMG ir PWG posėdžiuose be balsavimo teisės;</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l.</w:t>
                <w:tab/>
              </w:r>
              <w:r>
                <w:rPr>
                  <w:rFonts w:eastAsia="Arial Unicode MS"/>
                  <w:szCs w:val="24"/>
                  <w:lang w:eastAsia="en-GB"/>
                </w:rPr>
                <w:t>organizuoti ir rengti PAMG ir PWG posėdžius, jei to prašoma, įskaitant protokolų rengimą;</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m.</w:t>
                <w:tab/>
              </w:r>
              <w:r>
                <w:rPr>
                  <w:rFonts w:eastAsia="Arial Unicode MS"/>
                  <w:szCs w:val="24"/>
                  <w:lang w:eastAsia="en-GB"/>
                </w:rPr>
                <w:t>remti Projektą, kai to prašo PAMG ir PWG, neviršijant lėšų ir galimybių;</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n.</w:t>
                <w:tab/>
              </w:r>
              <w:r>
                <w:rPr>
                  <w:rFonts w:eastAsia="Arial Unicode MS"/>
                  <w:szCs w:val="24"/>
                  <w:lang w:eastAsia="en-GB"/>
                </w:rPr>
                <w:t>gauti galimas lėšas, patvirtintas cMs, pagal visas atitinkamas ES finansines priemones, finansuojamas iš ES bendrojo biudžeto (pvz., EDIRPA) arba už jo ribų (pvz., EPF);</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o.</w:t>
                <w:tab/>
              </w:r>
              <w:r>
                <w:rPr>
                  <w:rFonts w:eastAsia="Arial Unicode MS"/>
                  <w:szCs w:val="24"/>
                  <w:lang w:eastAsia="en-GB"/>
                </w:rPr>
                <w:t>sukurti ir valdyti šio projekto bendradarbiavimo darbo vietas (CWS), prie kurių turės prieigą PAMG ir PWG nariai;</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p.</w:t>
                <w:tab/>
              </w:r>
              <w:r>
                <w:rPr>
                  <w:rFonts w:eastAsia="Arial Unicode MS"/>
                  <w:szCs w:val="24"/>
                  <w:lang w:eastAsia="en-GB"/>
                </w:rPr>
                <w:t>EGA Valdančiosios tarybos prašymu rengti ataskaitas apie šio projekto įgyvendinimo eigą, kurias tvirtina PAMG;</w:t>
              </w:r>
            </w:p>
            <w:p>
              <w:pPr>
                <w:spacing w:line="360" w:lineRule="auto"/>
                <w:ind w:left="1240" w:hanging="360"/>
                <w:jc w:val="both"/>
                <w:rPr>
                  <w:rFonts w:eastAsia="Arial Unicode MS"/>
                  <w:szCs w:val="24"/>
                  <w:lang w:val="en-GB" w:eastAsia="en-GB"/>
                </w:rPr>
              </w:pPr>
              <w:r>
                <w:rPr>
                  <w:rFonts w:eastAsia="Arial Unicode MS"/>
                  <w:sz w:val="22"/>
                  <w:szCs w:val="22"/>
                  <w:lang w:val="en-GB" w:eastAsia="en-GB"/>
                </w:rPr>
                <w:t>q.</w:t>
                <w:tab/>
              </w:r>
              <w:r>
                <w:rPr>
                  <w:rFonts w:eastAsia="Arial Unicode MS"/>
                  <w:szCs w:val="24"/>
                  <w:lang w:eastAsia="en-GB"/>
                </w:rPr>
                <w:t>pasibaigus šiam projektui parengti galutinę ataskaitą, kurią turi patvirtinti PAMG ir kuri raštu turi būti perduota EGA Valdančiajai tarybai.</w:t>
              </w:r>
              <w:r>
                <w:rPr>
                  <w:rFonts w:eastAsia="Arial Unicode MS"/>
                  <w:szCs w:val="24"/>
                  <w:lang w:val="en-GB" w:eastAsia="en-GB"/>
                </w:rPr>
                <w:t xml:space="preserve"> </w:t>
              </w:r>
            </w:p>
            <w:sdt>
              <w:sdtPr>
                <w:alias w:val="5.1 pp."/>
                <w:tag w:val="part_94fbcaaaccb34f9bb569d9a0b08bc16a"/>
                <w:lock w:val="sdtLocked"/>
                <w:richText/>
              </w:sdtPr>
              <w:sdtContent>
                <w:p>
                  <w:pPr>
                    <w:widowControl w:val="0"/>
                    <w:spacing w:line="360" w:lineRule="auto"/>
                    <w:ind w:left="792" w:right="-3" w:hanging="432"/>
                    <w:jc w:val="both"/>
                    <w:rPr>
                      <w:rFonts w:eastAsia="Arial Unicode MS"/>
                      <w:b/>
                      <w:szCs w:val="24"/>
                      <w:lang w:val="en-GB" w:eastAsia="en-GB"/>
                    </w:rPr>
                  </w:pPr>
                  <w:sdt>
                    <w:sdtPr>
                      <w:alias w:val="Numeris"/>
                      <w:tag w:val="nr_94fbcaaaccb34f9bb569d9a0b08bc16a"/>
                      <w:lock w:val="sdtLocked"/>
                      <w:richText/>
                    </w:sdtPr>
                    <w:sdtContent>
                      <w:r>
                        <w:rPr>
                          <w:rFonts w:eastAsia="Arial Unicode MS"/>
                          <w:b/>
                          <w:szCs w:val="24"/>
                          <w:lang w:val="en-GB" w:eastAsia="en-GB"/>
                        </w:rPr>
                        <w:t>5.1</w:t>
                      </w:r>
                    </w:sdtContent>
                  </w:sdt>
                  <w:r>
                    <w:rPr>
                      <w:rFonts w:eastAsia="Arial Unicode MS"/>
                      <w:b/>
                      <w:szCs w:val="24"/>
                      <w:lang w:val="en-GB" w:eastAsia="en-GB"/>
                    </w:rPr>
                    <w:t>.</w:t>
                    <w:tab/>
                  </w:r>
                  <w:r>
                    <w:rPr>
                      <w:rFonts w:eastAsia="Arial Unicode MS"/>
                      <w:b/>
                      <w:szCs w:val="24"/>
                      <w:lang w:eastAsia="en-GB"/>
                    </w:rPr>
                    <w:t>Pirkimai</w:t>
                  </w:r>
                  <w:r>
                    <w:rPr>
                      <w:rFonts w:eastAsia="Arial Unicode MS"/>
                      <w:b/>
                      <w:szCs w:val="24"/>
                      <w:lang w:val="en-GB" w:eastAsia="en-GB"/>
                    </w:rPr>
                    <w:t xml:space="preserve"> </w:t>
                  </w:r>
                </w:p>
                <w:sdt>
                  <w:sdtPr>
                    <w:alias w:val="5.1.1 pp."/>
                    <w:tag w:val="part_12ed9fe8edd74c0ca7b71d9eae8304d4"/>
                    <w:lock w:val="sdtLocked"/>
                    <w:richText/>
                  </w:sdtPr>
                  <w:sdtContent>
                    <w:p>
                      <w:pPr>
                        <w:widowControl w:val="0"/>
                        <w:spacing w:line="360" w:lineRule="auto"/>
                        <w:ind w:left="1224" w:right="-3" w:hanging="504"/>
                        <w:jc w:val="both"/>
                        <w:rPr>
                          <w:rFonts w:eastAsia="Arial Unicode MS"/>
                          <w:szCs w:val="24"/>
                          <w:lang w:val="en-US" w:eastAsia="en-GB"/>
                        </w:rPr>
                      </w:pPr>
                      <w:sdt>
                        <w:sdtPr>
                          <w:alias w:val="Numeris"/>
                          <w:tag w:val="nr_12ed9fe8edd74c0ca7b71d9eae8304d4"/>
                          <w:lock w:val="sdtLocked"/>
                          <w:richText/>
                        </w:sdtPr>
                        <w:sdtContent>
                          <w:r>
                            <w:rPr>
                              <w:rFonts w:eastAsia="Arial Unicode MS"/>
                              <w:szCs w:val="24"/>
                              <w:lang w:val="en-US" w:eastAsia="en-GB"/>
                            </w:rPr>
                            <w:t>5.1.1</w:t>
                          </w:r>
                        </w:sdtContent>
                      </w:sdt>
                      <w:r>
                        <w:rPr>
                          <w:rFonts w:eastAsia="Arial Unicode MS"/>
                          <w:szCs w:val="24"/>
                          <w:lang w:val="en-US" w:eastAsia="en-GB"/>
                        </w:rPr>
                        <w:t>.</w:t>
                        <w:tab/>
                      </w:r>
                      <w:r>
                        <w:rPr>
                          <w:rFonts w:eastAsia="Arial Unicode MS"/>
                          <w:szCs w:val="24"/>
                          <w:lang w:eastAsia="en-GB"/>
                        </w:rPr>
                        <w:t xml:space="preserve">EGA veiks kaip perkančioji organizacija, skelbdama konkursus, skirdama, pasirašydama ir valdydama tolesnes sutartines priemones dėl ChBRB dujokaukių, ChBRB filtrų ir ChBRB individualios apsaugos priemonių tiekimo, vadovaudamasi EGA finansinėmis ir viešųjų pirkimų taisyklėmis pagal 2016 m. rugpjūčio 4 d. Tarybos sprendimą (ES) 2016/1353, šios PA nuostatas ir Direktyvą </w:t>
                      </w:r>
                      <w:fldSimple w:instr="HYPERLINK http://eur-lex.europa.eu/legal-content/LIT/TXT/?uri=CELEX:32009L0081&amp;locale=lt \t _blank">
                        <w:r>
                          <w:rPr>
                            <w:rFonts w:eastAsia="Arial Unicode MS"/>
                            <w:szCs w:val="24"/>
                            <w:lang w:eastAsia="en-GB"/>
                            <w:u w:val="single"/>
                            <w:color w:val="0000FF" w:themeColor="hyperlink"/>
                          </w:rPr>
                          <w:t>2009/81/EB</w:t>
                        </w:r>
                      </w:fldSimple>
                      <w:r>
                        <w:rPr>
                          <w:rFonts w:eastAsia="Arial Unicode MS"/>
                          <w:szCs w:val="24"/>
                          <w:lang w:eastAsia="en-GB"/>
                        </w:rPr>
                        <w:t>.</w:t>
                      </w:r>
                      <w:r>
                        <w:rPr>
                          <w:rFonts w:eastAsia="Arial Unicode MS"/>
                          <w:szCs w:val="24"/>
                          <w:lang w:val="en-US" w:eastAsia="en-GB"/>
                        </w:rPr>
                        <w:t xml:space="preserve"> </w:t>
                      </w:r>
                    </w:p>
                  </w:sdtContent>
                </w:sdt>
                <w:sdt>
                  <w:sdtPr>
                    <w:alias w:val="5.1.2 pp."/>
                    <w:tag w:val="part_f9f15170ea21431bafc80a55a04e6440"/>
                    <w:lock w:val="sdtLocked"/>
                    <w:richText/>
                  </w:sdtPr>
                  <w:sdtContent>
                    <w:p>
                      <w:pPr>
                        <w:widowControl w:val="0"/>
                        <w:spacing w:line="360" w:lineRule="auto"/>
                        <w:ind w:left="1224" w:right="-3" w:hanging="504"/>
                        <w:jc w:val="both"/>
                        <w:rPr>
                          <w:rFonts w:eastAsia="Arial Unicode MS"/>
                          <w:szCs w:val="24"/>
                          <w:lang w:val="en-US" w:eastAsia="en-GB"/>
                        </w:rPr>
                      </w:pPr>
                      <w:sdt>
                        <w:sdtPr>
                          <w:alias w:val="Numeris"/>
                          <w:tag w:val="nr_f9f15170ea21431bafc80a55a04e6440"/>
                          <w:lock w:val="sdtLocked"/>
                          <w:richText/>
                        </w:sdtPr>
                        <w:sdtContent>
                          <w:r>
                            <w:rPr>
                              <w:rFonts w:eastAsia="Arial Unicode MS"/>
                              <w:szCs w:val="24"/>
                              <w:lang w:val="en-US" w:eastAsia="en-GB"/>
                            </w:rPr>
                            <w:t>5.1.2</w:t>
                          </w:r>
                        </w:sdtContent>
                      </w:sdt>
                      <w:r>
                        <w:rPr>
                          <w:rFonts w:eastAsia="Arial Unicode MS"/>
                          <w:szCs w:val="24"/>
                          <w:lang w:val="en-US" w:eastAsia="en-GB"/>
                        </w:rPr>
                        <w:t>.</w:t>
                        <w:tab/>
                      </w:r>
                      <w:r>
                        <w:rPr>
                          <w:rFonts w:eastAsia="Arial Unicode MS"/>
                          <w:szCs w:val="24"/>
                          <w:lang w:eastAsia="en-GB"/>
                        </w:rPr>
                        <w:t>EGA administruos cMs suteiktą finansavimą pagal šios PA 6 skirsnį.</w:t>
                      </w:r>
                    </w:p>
                  </w:sdtContent>
                </w:sdt>
                <w:sdt>
                  <w:sdtPr>
                    <w:alias w:val="5.1.3 pp."/>
                    <w:tag w:val="part_ab6bfa73181742dbaddcdbe467529b91"/>
                    <w:lock w:val="sdtLocked"/>
                    <w:richText/>
                  </w:sdtPr>
                  <w:sdtContent>
                    <w:p>
                      <w:pPr>
                        <w:widowControl w:val="0"/>
                        <w:spacing w:line="360" w:lineRule="auto"/>
                        <w:ind w:left="1224" w:right="-3" w:hanging="504"/>
                        <w:jc w:val="both"/>
                        <w:rPr>
                          <w:rFonts w:eastAsia="Arial Unicode MS"/>
                          <w:szCs w:val="24"/>
                          <w:lang w:val="en-US" w:eastAsia="en-GB"/>
                        </w:rPr>
                      </w:pPr>
                      <w:sdt>
                        <w:sdtPr>
                          <w:alias w:val="Numeris"/>
                          <w:tag w:val="nr_ab6bfa73181742dbaddcdbe467529b91"/>
                          <w:lock w:val="sdtLocked"/>
                          <w:richText/>
                        </w:sdtPr>
                        <w:sdtContent>
                          <w:r>
                            <w:rPr>
                              <w:rFonts w:eastAsia="Arial Unicode MS"/>
                              <w:szCs w:val="24"/>
                              <w:lang w:val="en-US" w:eastAsia="en-GB"/>
                            </w:rPr>
                            <w:t>5.1.3</w:t>
                          </w:r>
                        </w:sdtContent>
                      </w:sdt>
                      <w:r>
                        <w:rPr>
                          <w:rFonts w:eastAsia="Arial Unicode MS"/>
                          <w:szCs w:val="24"/>
                          <w:lang w:val="en-US" w:eastAsia="en-GB"/>
                        </w:rPr>
                        <w:t>.</w:t>
                        <w:tab/>
                      </w:r>
                      <w:r>
                        <w:rPr>
                          <w:rFonts w:eastAsia="Arial Unicode MS"/>
                          <w:szCs w:val="24"/>
                          <w:lang w:eastAsia="en-GB"/>
                        </w:rPr>
                        <w:t>Pradėjus tinkamiausias viešųjų pirkimų procedūras, grindžiamas jos finansinėmis taisyklėmis, EGA sieks sudaryti FWA.</w:t>
                      </w:r>
                      <w:r>
                        <w:rPr>
                          <w:rFonts w:eastAsia="Arial Unicode MS"/>
                          <w:szCs w:val="24"/>
                          <w:lang w:val="en-US" w:eastAsia="en-GB"/>
                        </w:rPr>
                        <w:t xml:space="preserve"> </w:t>
                      </w:r>
                      <w:r>
                        <w:rPr>
                          <w:rFonts w:eastAsia="Arial Unicode MS"/>
                          <w:szCs w:val="24"/>
                          <w:lang w:eastAsia="en-GB"/>
                        </w:rPr>
                        <w:t>Pagal kiekvieną FWA EGA gali nustatyti OF, gavusi ir apdorojusi WO.</w:t>
                      </w:r>
                      <w:r>
                        <w:rPr>
                          <w:rFonts w:eastAsia="Arial Unicode MS"/>
                          <w:szCs w:val="24"/>
                          <w:lang w:val="en-US" w:eastAsia="en-GB"/>
                        </w:rPr>
                        <w:t xml:space="preserve"> </w:t>
                      </w:r>
                    </w:p>
                  </w:sdtContent>
                </w:sdt>
                <w:sdt>
                  <w:sdtPr>
                    <w:alias w:val="5.1.4 pp."/>
                    <w:tag w:val="part_c51ef0d7b0614740bcce5e5cdc1d85e2"/>
                    <w:lock w:val="sdtLocked"/>
                    <w:richText/>
                  </w:sdtPr>
                  <w:sdtContent>
                    <w:p>
                      <w:pPr>
                        <w:widowControl w:val="0"/>
                        <w:spacing w:line="360" w:lineRule="auto"/>
                        <w:ind w:left="1224" w:right="-3" w:hanging="504"/>
                        <w:jc w:val="both"/>
                        <w:rPr>
                          <w:rFonts w:eastAsia="Arial Unicode MS"/>
                          <w:szCs w:val="24"/>
                          <w:lang w:val="en-US" w:eastAsia="en-GB"/>
                        </w:rPr>
                      </w:pPr>
                      <w:sdt>
                        <w:sdtPr>
                          <w:alias w:val="Numeris"/>
                          <w:tag w:val="nr_c51ef0d7b0614740bcce5e5cdc1d85e2"/>
                          <w:lock w:val="sdtLocked"/>
                          <w:richText/>
                        </w:sdtPr>
                        <w:sdtContent>
                          <w:r>
                            <w:rPr>
                              <w:rFonts w:eastAsia="Arial Unicode MS"/>
                              <w:szCs w:val="24"/>
                              <w:lang w:val="en-US" w:eastAsia="en-GB"/>
                            </w:rPr>
                            <w:t>5.1.4</w:t>
                          </w:r>
                        </w:sdtContent>
                      </w:sdt>
                      <w:r>
                        <w:rPr>
                          <w:rFonts w:eastAsia="Arial Unicode MS"/>
                          <w:szCs w:val="24"/>
                          <w:lang w:val="en-US" w:eastAsia="en-GB"/>
                        </w:rPr>
                        <w:t>.</w:t>
                        <w:tab/>
                      </w:r>
                      <w:r>
                        <w:rPr>
                          <w:rFonts w:eastAsia="Arial Unicode MS"/>
                          <w:szCs w:val="24"/>
                          <w:lang w:eastAsia="en-GB"/>
                        </w:rPr>
                        <w:t>Pagal šią PA ir vėlesnius FWA nebus prisiimami jokie finansiniai įsipareigojimai iš cM(-ų).</w:t>
                      </w:r>
                      <w:r>
                        <w:rPr>
                          <w:rFonts w:eastAsia="Arial Unicode MS"/>
                          <w:szCs w:val="24"/>
                          <w:lang w:val="en-US" w:eastAsia="en-GB"/>
                        </w:rPr>
                        <w:t xml:space="preserve"> </w:t>
                      </w:r>
                      <w:r>
                        <w:rPr>
                          <w:rFonts w:eastAsia="Arial Unicode MS"/>
                          <w:szCs w:val="24"/>
                          <w:lang w:eastAsia="en-GB"/>
                        </w:rPr>
                        <w:t>Finansinis įsipareigojimas prisiimamas tik per konkretų OF, kad ChBRB dujokaukės, ChBRB filtrai ir ChBRB individualios apsaugos priemonės būtų įsigytos cM vardu, remiantis WO.</w:t>
                      </w:r>
                      <w:r>
                        <w:rPr>
                          <w:rFonts w:eastAsia="Arial Unicode MS"/>
                          <w:szCs w:val="24"/>
                          <w:lang w:val="en-US" w:eastAsia="en-GB"/>
                        </w:rPr>
                        <w:t xml:space="preserve"> </w:t>
                      </w:r>
                    </w:p>
                  </w:sdtContent>
                </w:sdt>
              </w:sdtContent>
            </w:sdt>
            <w:sdt>
              <w:sdtPr>
                <w:alias w:val="5.2 pp."/>
                <w:tag w:val="part_1be4f73d55bc4e469a53e6fdba01bcfe"/>
                <w:lock w:val="sdtLocked"/>
                <w:richText/>
              </w:sdtPr>
              <w:sdtContent>
                <w:p>
                  <w:pPr>
                    <w:widowControl w:val="0"/>
                    <w:spacing w:line="360" w:lineRule="auto"/>
                    <w:ind w:left="851" w:right="-3" w:hanging="284"/>
                    <w:jc w:val="both"/>
                    <w:rPr>
                      <w:rFonts w:eastAsia="Arial Unicode MS"/>
                      <w:b/>
                      <w:szCs w:val="24"/>
                      <w:lang w:val="en-GB" w:eastAsia="en-GB"/>
                    </w:rPr>
                  </w:pPr>
                  <w:sdt>
                    <w:sdtPr>
                      <w:alias w:val="Numeris"/>
                      <w:tag w:val="nr_1be4f73d55bc4e469a53e6fdba01bcfe"/>
                      <w:lock w:val="sdtLocked"/>
                      <w:richText/>
                    </w:sdtPr>
                    <w:sdtContent>
                      <w:r>
                        <w:rPr>
                          <w:rFonts w:eastAsia="Arial Unicode MS"/>
                          <w:b/>
                          <w:szCs w:val="24"/>
                          <w:lang w:val="en-GB" w:eastAsia="en-GB"/>
                        </w:rPr>
                        <w:t>5.2</w:t>
                      </w:r>
                    </w:sdtContent>
                  </w:sdt>
                  <w:r>
                    <w:rPr>
                      <w:rFonts w:eastAsia="Arial Unicode MS"/>
                      <w:b/>
                      <w:szCs w:val="24"/>
                      <w:lang w:val="en-GB" w:eastAsia="en-GB"/>
                    </w:rPr>
                    <w:t>.</w:t>
                    <w:tab/>
                  </w:r>
                  <w:r>
                    <w:rPr>
                      <w:rFonts w:eastAsia="Arial Unicode MS"/>
                      <w:b/>
                      <w:szCs w:val="24"/>
                      <w:lang w:eastAsia="en-GB"/>
                    </w:rPr>
                    <w:t>Sutarčių valdymas</w:t>
                  </w:r>
                </w:p>
                <w:p>
                  <w:pPr>
                    <w:spacing w:line="360" w:lineRule="auto"/>
                    <w:ind w:left="520" w:firstLine="47"/>
                    <w:jc w:val="both"/>
                    <w:rPr>
                      <w:rFonts w:eastAsia="Arial Unicode MS"/>
                      <w:color w:val="FF0000"/>
                      <w:sz w:val="22"/>
                      <w:szCs w:val="22"/>
                      <w:lang w:val="en-GB" w:eastAsia="en-GB"/>
                    </w:rPr>
                  </w:pPr>
                  <w:r>
                    <w:rPr>
                      <w:rFonts w:eastAsia="Arial Unicode MS"/>
                      <w:sz w:val="22"/>
                      <w:szCs w:val="22"/>
                      <w:lang w:eastAsia="en-GB"/>
                    </w:rPr>
                    <w:t>Kiekviena cM turi teisę pavesti EGA įsigyti tam tikrą ChBRB dujokaukės, ChBRB filtrų ir ChBRB individualios apsaugos įrangos kiekį, neviršijantį jo atitinkamo prognozuojamo bendro kiekio pagal FWA, pateikdama WO (3 priedas).</w:t>
                  </w:r>
                </w:p>
                <w:p>
                  <w:pPr>
                    <w:rPr>
                      <w:sz w:val="20"/>
                    </w:rPr>
                  </w:pPr>
                </w:p>
                <w:sdt>
                  <w:sdtPr>
                    <w:alias w:val="5.2.1 pp."/>
                    <w:tag w:val="part_f4fc60100f334da18de33074f2e302ec"/>
                    <w:lock w:val="sdtLocked"/>
                    <w:richText/>
                  </w:sdtPr>
                  <w:sdtContent>
                    <w:p>
                      <w:pPr>
                        <w:spacing w:line="360" w:lineRule="auto"/>
                        <w:ind w:left="1224" w:hanging="504"/>
                        <w:jc w:val="both"/>
                        <w:rPr>
                          <w:rFonts w:eastAsia="Arial Unicode MS"/>
                          <w:szCs w:val="24"/>
                          <w:lang w:val="en-GB" w:eastAsia="en-GB"/>
                        </w:rPr>
                      </w:pPr>
                      <w:sdt>
                        <w:sdtPr>
                          <w:alias w:val="Numeris"/>
                          <w:tag w:val="nr_f4fc60100f334da18de33074f2e302ec"/>
                          <w:lock w:val="sdtLocked"/>
                          <w:richText/>
                        </w:sdtPr>
                        <w:sdtContent>
                          <w:r>
                            <w:rPr>
                              <w:rFonts w:eastAsia="Arial Unicode MS"/>
                              <w:szCs w:val="24"/>
                              <w:lang w:val="en-GB" w:eastAsia="en-GB"/>
                            </w:rPr>
                            <w:t>5.2.1</w:t>
                          </w:r>
                        </w:sdtContent>
                      </w:sdt>
                      <w:r>
                        <w:rPr>
                          <w:rFonts w:eastAsia="Arial Unicode MS"/>
                          <w:szCs w:val="24"/>
                          <w:lang w:val="en-GB" w:eastAsia="en-GB"/>
                        </w:rPr>
                        <w:t>.</w:t>
                        <w:tab/>
                      </w:r>
                      <w:r>
                        <w:rPr>
                          <w:rFonts w:eastAsia="Arial Unicode MS"/>
                          <w:szCs w:val="24"/>
                          <w:lang w:eastAsia="en-GB"/>
                        </w:rPr>
                        <w:t>Kiekviename FWA turi būti pateikti atitinkami duomenys ir specifikacijos apie konkretaus tipo ChBRB dujokaukes, ChBRB filtrus ir ChBRB individualios apsaugos priemones, kurias reikia užsakyti ir tiekti (pvz., partijos numeracija, kokybės užtikrinimas, garantija, pakavimo reikalavimai, OF šablonas).</w:t>
                      </w:r>
                    </w:p>
                  </w:sdtContent>
                </w:sdt>
                <w:sdt>
                  <w:sdtPr>
                    <w:alias w:val="5.2.2 pp."/>
                    <w:tag w:val="part_fd3510f0fd4744f0b89240091f76a45d"/>
                    <w:lock w:val="sdtLocked"/>
                    <w:richText/>
                  </w:sdtPr>
                  <w:sdtContent>
                    <w:p>
                      <w:pPr>
                        <w:spacing w:line="360" w:lineRule="auto"/>
                        <w:ind w:left="1224" w:hanging="504"/>
                        <w:jc w:val="both"/>
                        <w:rPr>
                          <w:rFonts w:eastAsia="Arial Unicode MS"/>
                          <w:szCs w:val="24"/>
                          <w:lang w:val="en-GB" w:eastAsia="en-GB"/>
                        </w:rPr>
                      </w:pPr>
                      <w:sdt>
                        <w:sdtPr>
                          <w:alias w:val="Numeris"/>
                          <w:tag w:val="nr_fd3510f0fd4744f0b89240091f76a45d"/>
                          <w:lock w:val="sdtLocked"/>
                          <w:richText/>
                        </w:sdtPr>
                        <w:sdtContent>
                          <w:r>
                            <w:rPr>
                              <w:rFonts w:eastAsia="Arial Unicode MS"/>
                              <w:szCs w:val="24"/>
                              <w:lang w:val="en-GB" w:eastAsia="en-GB"/>
                            </w:rPr>
                            <w:t>5.2.2</w:t>
                          </w:r>
                        </w:sdtContent>
                      </w:sdt>
                      <w:r>
                        <w:rPr>
                          <w:rFonts w:eastAsia="Arial Unicode MS"/>
                          <w:szCs w:val="24"/>
                          <w:lang w:val="en-GB" w:eastAsia="en-GB"/>
                        </w:rPr>
                        <w:t>.</w:t>
                        <w:tab/>
                      </w:r>
                      <w:r>
                        <w:rPr>
                          <w:rFonts w:eastAsia="Arial Unicode MS"/>
                          <w:szCs w:val="24"/>
                          <w:lang w:eastAsia="en-GB"/>
                        </w:rPr>
                        <w:t>Kai EGA iš vienos cM gauna WO, kuriame prašoma įsigyti tam tikrą ChBRB dujokaukės, ChBRB filtrų ir ChBRB individualios apsaugos įrangos kiekį, EGA šią informaciją išplatina kitoms cM, kad būtų galima apjungti poreikį.</w:t>
                      </w:r>
                      <w:r>
                        <w:rPr>
                          <w:rFonts w:eastAsia="Arial Unicode MS"/>
                          <w:szCs w:val="24"/>
                          <w:lang w:val="en-GB" w:eastAsia="en-GB"/>
                        </w:rPr>
                        <w:t xml:space="preserve"> </w:t>
                      </w:r>
                      <w:r>
                        <w:rPr>
                          <w:rFonts w:eastAsia="Arial Unicode MS"/>
                          <w:szCs w:val="24"/>
                          <w:lang w:eastAsia="en-GB"/>
                        </w:rPr>
                        <w:t>Tie kiti cM gali pateikti savo WO per penkiolika (15) darbo dienų.</w:t>
                      </w:r>
                      <w:r>
                        <w:rPr>
                          <w:rFonts w:eastAsia="Arial Unicode MS"/>
                          <w:szCs w:val="24"/>
                          <w:lang w:val="en-GB" w:eastAsia="en-GB"/>
                        </w:rPr>
                        <w:t xml:space="preserve"> </w:t>
                      </w:r>
                      <w:r>
                        <w:rPr>
                          <w:rFonts w:eastAsia="Arial Unicode MS"/>
                          <w:szCs w:val="24"/>
                          <w:lang w:eastAsia="en-GB"/>
                        </w:rPr>
                        <w:t>EGA per penkias (5) darbo dienas konsoliduos visus PV į OF projektą.</w:t>
                      </w:r>
                      <w:r>
                        <w:rPr>
                          <w:rFonts w:eastAsia="Arial Unicode MS"/>
                          <w:szCs w:val="24"/>
                          <w:lang w:val="en-GB" w:eastAsia="en-GB"/>
                        </w:rPr>
                        <w:t xml:space="preserve"> </w:t>
                      </w:r>
                      <w:r>
                        <w:rPr>
                          <w:rFonts w:eastAsia="Arial Unicode MS"/>
                          <w:szCs w:val="24"/>
                          <w:lang w:eastAsia="en-GB"/>
                        </w:rPr>
                        <w:t>Šis OF projektas per dešimt (10) darbo dienų rašytine tvarka bus pateiktas PAMG patvirtinti.</w:t>
                      </w:r>
                      <w:r>
                        <w:rPr>
                          <w:rFonts w:eastAsia="Arial Unicode MS"/>
                          <w:szCs w:val="24"/>
                          <w:lang w:val="en-GB" w:eastAsia="en-GB"/>
                        </w:rPr>
                        <w:t xml:space="preserve"> </w:t>
                      </w:r>
                      <w:r>
                        <w:rPr>
                          <w:rFonts w:eastAsia="Arial Unicode MS"/>
                          <w:szCs w:val="24"/>
                          <w:lang w:eastAsia="en-GB"/>
                        </w:rPr>
                        <w:t>Tuomet EGA, cMs vardu, ir rangovas sudarys OF pagal atitinkamame FWA nustatytą tvarką.</w:t>
                      </w:r>
                    </w:p>
                  </w:sdtContent>
                </w:sdt>
                <w:sdt>
                  <w:sdtPr>
                    <w:alias w:val="5.2.3 pp."/>
                    <w:tag w:val="part_f9b048781b3d4e71a723154c35738bc1"/>
                    <w:lock w:val="sdtLocked"/>
                    <w:richText/>
                  </w:sdtPr>
                  <w:sdtContent>
                    <w:p>
                      <w:pPr>
                        <w:widowControl w:val="0"/>
                        <w:spacing w:line="360" w:lineRule="auto"/>
                        <w:ind w:left="1224" w:right="-3" w:hanging="504"/>
                        <w:jc w:val="both"/>
                        <w:rPr>
                          <w:rFonts w:eastAsia="Arial Unicode MS"/>
                          <w:szCs w:val="24"/>
                          <w:lang w:val="en-US" w:eastAsia="en-GB"/>
                        </w:rPr>
                      </w:pPr>
                      <w:sdt>
                        <w:sdtPr>
                          <w:alias w:val="Numeris"/>
                          <w:tag w:val="nr_f9b048781b3d4e71a723154c35738bc1"/>
                          <w:lock w:val="sdtLocked"/>
                          <w:richText/>
                        </w:sdtPr>
                        <w:sdtContent>
                          <w:r>
                            <w:rPr>
                              <w:rFonts w:eastAsia="Arial Unicode MS"/>
                              <w:szCs w:val="24"/>
                              <w:lang w:val="en-US" w:eastAsia="en-GB"/>
                            </w:rPr>
                            <w:t>5.2.3</w:t>
                          </w:r>
                        </w:sdtContent>
                      </w:sdt>
                      <w:r>
                        <w:rPr>
                          <w:rFonts w:eastAsia="Arial Unicode MS"/>
                          <w:szCs w:val="24"/>
                          <w:lang w:val="en-US" w:eastAsia="en-GB"/>
                        </w:rPr>
                        <w:t>.</w:t>
                        <w:tab/>
                      </w:r>
                      <w:r>
                        <w:rPr>
                          <w:rFonts w:eastAsia="Arial Unicode MS"/>
                          <w:szCs w:val="24"/>
                          <w:lang w:eastAsia="en-GB"/>
                        </w:rPr>
                        <w:t>Sąlyga dėl rangovo atliekamų ir FWA užsakymo formai (OF) įvykdytų cMs dalyvavimo rangovo atliekamuose priėmimo bandymuose bus apibrėžta FWA.</w:t>
                      </w:r>
                      <w:r>
                        <w:rPr>
                          <w:rFonts w:eastAsia="Arial Unicode MS"/>
                          <w:szCs w:val="24"/>
                          <w:lang w:val="en-US" w:eastAsia="en-GB"/>
                        </w:rPr>
                        <w:t xml:space="preserve"> </w:t>
                      </w:r>
                      <w:r>
                        <w:rPr>
                          <w:rFonts w:eastAsia="Arial Unicode MS"/>
                          <w:szCs w:val="24"/>
                          <w:lang w:eastAsia="en-GB"/>
                        </w:rPr>
                        <w:t>cMs dalyvavimo išlaidos bus padengtos jų pačių sąskaita.</w:t>
                      </w:r>
                      <w:r>
                        <w:rPr>
                          <w:rFonts w:eastAsia="Arial Unicode MS"/>
                          <w:szCs w:val="24"/>
                          <w:lang w:val="en-US" w:eastAsia="en-GB"/>
                        </w:rPr>
                        <w:t xml:space="preserve"> </w:t>
                      </w:r>
                      <w:r>
                        <w:rPr>
                          <w:rFonts w:eastAsia="Arial Unicode MS"/>
                          <w:szCs w:val="24"/>
                          <w:lang w:eastAsia="en-GB"/>
                        </w:rPr>
                        <w:t>Pristatytų gaminių priėmimo bandymus gali atlikti kiekviena cM savo lėšomis ir savo nuožiūra.</w:t>
                      </w:r>
                      <w:r>
                        <w:rPr>
                          <w:rFonts w:eastAsia="Arial Unicode MS"/>
                          <w:szCs w:val="24"/>
                          <w:lang w:val="en-US" w:eastAsia="en-GB"/>
                        </w:rPr>
                        <w:t xml:space="preserve"> </w:t>
                      </w:r>
                      <w:r>
                        <w:rPr>
                          <w:rFonts w:eastAsia="Arial Unicode MS"/>
                          <w:szCs w:val="24"/>
                          <w:lang w:eastAsia="en-GB"/>
                        </w:rPr>
                        <w:t>Jei taip, tai gali būti nurodyta FWA ir turi būti galutinai patvirtinta OF.</w:t>
                      </w:r>
                      <w:r>
                        <w:rPr>
                          <w:rFonts w:eastAsia="Arial Unicode MS"/>
                          <w:szCs w:val="24"/>
                          <w:lang w:val="en-US" w:eastAsia="en-GB"/>
                        </w:rPr>
                        <w:t xml:space="preserve"> </w:t>
                      </w:r>
                    </w:p>
                  </w:sdtContent>
                </w:sdt>
                <w:sdt>
                  <w:sdtPr>
                    <w:alias w:val="5.2.4 pp."/>
                    <w:tag w:val="part_9c02741d66c24506920dca462a24c4d2"/>
                    <w:lock w:val="sdtLocked"/>
                    <w:richText/>
                  </w:sdtPr>
                  <w:sdtContent>
                    <w:p>
                      <w:pPr>
                        <w:spacing w:line="360" w:lineRule="auto"/>
                        <w:ind w:left="1224" w:right="-3" w:hanging="504"/>
                        <w:jc w:val="both"/>
                        <w:rPr>
                          <w:rFonts w:eastAsia="Arial Unicode MS"/>
                          <w:szCs w:val="24"/>
                          <w:lang w:val="en-GB" w:eastAsia="en-GB"/>
                        </w:rPr>
                      </w:pPr>
                      <w:sdt>
                        <w:sdtPr>
                          <w:alias w:val="Numeris"/>
                          <w:tag w:val="nr_9c02741d66c24506920dca462a24c4d2"/>
                          <w:lock w:val="sdtLocked"/>
                          <w:richText/>
                        </w:sdtPr>
                        <w:sdtContent>
                          <w:r>
                            <w:rPr>
                              <w:rFonts w:eastAsia="Arial Unicode MS"/>
                              <w:szCs w:val="24"/>
                              <w:lang w:val="en-GB" w:eastAsia="en-GB"/>
                            </w:rPr>
                            <w:t>5.2.4</w:t>
                          </w:r>
                        </w:sdtContent>
                      </w:sdt>
                      <w:r>
                        <w:rPr>
                          <w:rFonts w:eastAsia="Arial Unicode MS"/>
                          <w:szCs w:val="24"/>
                          <w:lang w:val="en-GB" w:eastAsia="en-GB"/>
                        </w:rPr>
                        <w:t>.</w:t>
                        <w:tab/>
                      </w:r>
                      <w:r>
                        <w:rPr>
                          <w:rFonts w:eastAsia="Arial Unicode MS"/>
                          <w:szCs w:val="24"/>
                          <w:lang w:eastAsia="en-GB"/>
                        </w:rPr>
                        <w:t>Rangovas pristato su OF susijusias prekes užsakančiosioms cM, kaip nurodyta FWA.</w:t>
                      </w:r>
                    </w:p>
                  </w:sdtContent>
                </w:sdt>
                <w:sdt>
                  <w:sdtPr>
                    <w:alias w:val="5.2.5 pp."/>
                    <w:tag w:val="part_38bf8016f7144ba99f822fdd66b3b306"/>
                    <w:lock w:val="sdtLocked"/>
                    <w:richText/>
                  </w:sdtPr>
                  <w:sdtContent>
                    <w:p>
                      <w:pPr>
                        <w:widowControl w:val="0"/>
                        <w:spacing w:line="360" w:lineRule="auto"/>
                        <w:ind w:left="1224" w:right="-3" w:hanging="504"/>
                        <w:jc w:val="both"/>
                        <w:rPr>
                          <w:rFonts w:eastAsia="Arial Unicode MS"/>
                          <w:szCs w:val="24"/>
                          <w:lang w:val="en-US" w:eastAsia="en-GB"/>
                        </w:rPr>
                      </w:pPr>
                      <w:sdt>
                        <w:sdtPr>
                          <w:alias w:val="Numeris"/>
                          <w:tag w:val="nr_38bf8016f7144ba99f822fdd66b3b306"/>
                          <w:lock w:val="sdtLocked"/>
                          <w:richText/>
                        </w:sdtPr>
                        <w:sdtContent>
                          <w:r>
                            <w:rPr>
                              <w:rFonts w:eastAsia="Arial Unicode MS"/>
                              <w:szCs w:val="24"/>
                              <w:lang w:val="en-US" w:eastAsia="en-GB"/>
                            </w:rPr>
                            <w:t>5.2.5</w:t>
                          </w:r>
                        </w:sdtContent>
                      </w:sdt>
                      <w:r>
                        <w:rPr>
                          <w:rFonts w:eastAsia="Arial Unicode MS"/>
                          <w:szCs w:val="24"/>
                          <w:lang w:val="en-US" w:eastAsia="en-GB"/>
                        </w:rPr>
                        <w:t>.</w:t>
                        <w:tab/>
                      </w:r>
                      <w:r>
                        <w:rPr>
                          <w:rFonts w:eastAsia="Arial Unicode MS"/>
                          <w:szCs w:val="24"/>
                          <w:lang w:eastAsia="en-GB"/>
                        </w:rPr>
                        <w:t>cMs informuos EGA apie gerą pristatytų prekių vykdymą ir bet kokį galimą vėlavimą pristatyti, gamybos defektą ar neatitiktį suteiktai prekių kokybei.</w:t>
                      </w:r>
                      <w:r>
                        <w:rPr>
                          <w:rFonts w:eastAsia="Arial Unicode MS"/>
                          <w:szCs w:val="24"/>
                          <w:lang w:val="en-US" w:eastAsia="en-GB"/>
                        </w:rPr>
                        <w:t xml:space="preserve"> </w:t>
                      </w:r>
                      <w:r>
                        <w:rPr>
                          <w:rFonts w:eastAsia="Arial Unicode MS"/>
                          <w:szCs w:val="24"/>
                          <w:lang w:eastAsia="en-GB"/>
                        </w:rPr>
                        <w:t>Pastaraisiais atvejais EGA, pasikonsultavusi su kiekviena susijusia cM, taikys atitinkamas nuostatas, kaip nustatyta FVA, ir atitinkamų cM vardu nagrinės galimas žalos atlyginimo procedūras.</w:t>
                      </w:r>
                    </w:p>
                    <w:p>
                      <w:pPr>
                        <w:rPr>
                          <w:sz w:val="20"/>
                        </w:rPr>
                      </w:pPr>
                    </w:p>
                  </w:sdtContent>
                </w:sdt>
              </w:sdtContent>
            </w:sdt>
          </w:sdtContent>
        </w:sdt>
        <w:sdt>
          <w:sdtPr>
            <w:alias w:val="6 p."/>
            <w:tag w:val="part_07747c248aa144a290ef7677eabb1889"/>
            <w:lock w:val="sdtLocked"/>
            <w:richText/>
          </w:sdtPr>
          <w:sdtContent>
            <w:p>
              <w:pPr>
                <w:keepNext/>
                <w:keepLines/>
                <w:ind w:left="360" w:hanging="360"/>
                <w:jc w:val="both"/>
                <w:rPr>
                  <w:rFonts w:eastAsia="Arial Unicode MS"/>
                  <w:b/>
                  <w:sz w:val="22"/>
                  <w:szCs w:val="22"/>
                  <w:lang w:val="en-US" w:eastAsia="en-GB"/>
                </w:rPr>
              </w:pPr>
              <w:sdt>
                <w:sdtPr>
                  <w:alias w:val="Numeris"/>
                  <w:tag w:val="nr_07747c248aa144a290ef7677eabb1889"/>
                  <w:lock w:val="sdtLocked"/>
                  <w:richText/>
                </w:sdtPr>
                <w:sdtContent>
                  <w:r>
                    <w:rPr>
                      <w:rFonts w:eastAsia="Arial Unicode MS"/>
                      <w:b/>
                      <w:sz w:val="22"/>
                      <w:szCs w:val="22"/>
                      <w:lang w:val="en-US" w:eastAsia="en-GB"/>
                    </w:rPr>
                    <w:t>6</w:t>
                  </w:r>
                </w:sdtContent>
              </w:sdt>
              <w:r>
                <w:rPr>
                  <w:rFonts w:eastAsia="Arial Unicode MS"/>
                  <w:b/>
                  <w:sz w:val="22"/>
                  <w:szCs w:val="22"/>
                  <w:lang w:val="en-US" w:eastAsia="en-GB"/>
                </w:rPr>
                <w:t>.</w:t>
                <w:tab/>
              </w:r>
              <w:r>
                <w:rPr>
                  <w:rFonts w:eastAsia="Arial Unicode MS"/>
                  <w:b/>
                  <w:sz w:val="22"/>
                  <w:szCs w:val="22"/>
                  <w:lang w:eastAsia="en-GB"/>
                </w:rPr>
                <w:t>Finansinės nuostatos</w:t>
              </w:r>
            </w:p>
            <w:p>
              <w:pPr>
                <w:rPr>
                  <w:sz w:val="20"/>
                </w:rPr>
              </w:pPr>
            </w:p>
            <w:sdt>
              <w:sdtPr>
                <w:alias w:val="6.1 pp."/>
                <w:tag w:val="part_2116d9a3f595487f8605c82beb7d84da"/>
                <w:lock w:val="sdtLocked"/>
                <w:richText/>
              </w:sdtPr>
              <w:sdtContent>
                <w:p>
                  <w:pPr>
                    <w:widowControl w:val="0"/>
                    <w:spacing w:line="360" w:lineRule="auto"/>
                    <w:ind w:left="851" w:right="522" w:hanging="284"/>
                    <w:jc w:val="both"/>
                    <w:rPr>
                      <w:rFonts w:eastAsia="Arial Unicode MS"/>
                      <w:szCs w:val="24"/>
                      <w:lang w:val="en-GB" w:eastAsia="en-GB"/>
                    </w:rPr>
                  </w:pPr>
                  <w:sdt>
                    <w:sdtPr>
                      <w:alias w:val="Numeris"/>
                      <w:tag w:val="nr_2116d9a3f595487f8605c82beb7d84da"/>
                      <w:lock w:val="sdtLocked"/>
                      <w:richText/>
                    </w:sdtPr>
                    <w:sdtContent>
                      <w:r>
                        <w:rPr>
                          <w:rFonts w:eastAsia="Arial Unicode MS"/>
                          <w:szCs w:val="24"/>
                          <w:lang w:val="en-GB" w:eastAsia="en-GB"/>
                        </w:rPr>
                        <w:t>6.1</w:t>
                      </w:r>
                    </w:sdtContent>
                  </w:sdt>
                  <w:r>
                    <w:rPr>
                      <w:rFonts w:eastAsia="Arial Unicode MS"/>
                      <w:szCs w:val="24"/>
                      <w:lang w:val="en-GB" w:eastAsia="en-GB"/>
                    </w:rPr>
                    <w:t>.</w:t>
                    <w:tab/>
                  </w:r>
                  <w:r>
                    <w:rPr>
                      <w:rFonts w:eastAsia="Arial Unicode MS"/>
                      <w:szCs w:val="24"/>
                      <w:lang w:eastAsia="en-GB"/>
                    </w:rPr>
                    <w:t>cMs patvirtina, kad:</w:t>
                  </w:r>
                </w:p>
                <w:p>
                  <w:pPr>
                    <w:spacing w:line="360" w:lineRule="auto"/>
                    <w:ind w:left="1240" w:hanging="360"/>
                    <w:jc w:val="both"/>
                    <w:rPr>
                      <w:rFonts w:eastAsia="Arial Unicode MS"/>
                      <w:szCs w:val="24"/>
                      <w:lang w:val="en-US" w:eastAsia="en-GB"/>
                    </w:rPr>
                  </w:pPr>
                  <w:r>
                    <w:rPr>
                      <w:rFonts w:ascii="Franklin Gothic Book" w:hAnsi="Franklin Gothic Book"/>
                      <w:sz w:val="22"/>
                      <w:szCs w:val="22"/>
                      <w:lang w:val="en-US" w:eastAsia="en-GB"/>
                    </w:rPr>
                    <w:t>-</w:t>
                    <w:tab/>
                  </w:r>
                  <w:r>
                    <w:rPr>
                      <w:rFonts w:eastAsia="Arial Unicode MS"/>
                      <w:szCs w:val="24"/>
                      <w:lang w:val="en-US" w:eastAsia="en-GB"/>
                    </w:rPr>
                    <w:t xml:space="preserve"> </w:t>
                  </w:r>
                  <w:r>
                    <w:rPr>
                      <w:rFonts w:eastAsia="Arial Unicode MS"/>
                      <w:szCs w:val="24"/>
                      <w:lang w:eastAsia="en-GB"/>
                    </w:rPr>
                    <w:t xml:space="preserve">Visiems EGA pirkimams pagal šią PA turi būti taikomas PVM režimas pagal 2006 m. lapkričio 28 d. Tarybos direktyvą </w:t>
                  </w:r>
                  <w:fldSimple w:instr="HYPERLINK http://eur-lex.europa.eu/legal-content/LIT/TXT/?uri=CELEX:32006L0112&amp;locale=lt \t _blank">
                    <w:r>
                      <w:rPr>
                        <w:rFonts w:eastAsia="Arial Unicode MS"/>
                        <w:szCs w:val="24"/>
                        <w:lang w:eastAsia="en-GB"/>
                        <w:u w:val="single"/>
                        <w:color w:val="0000FF" w:themeColor="hyperlink"/>
                      </w:rPr>
                      <w:t>2006/112/EB</w:t>
                    </w:r>
                  </w:fldSimple>
                  <w:r>
                    <w:rPr>
                      <w:rFonts w:eastAsia="Arial Unicode MS"/>
                      <w:szCs w:val="24"/>
                      <w:lang w:eastAsia="en-GB"/>
                    </w:rPr>
                    <w:t xml:space="preserve"> dėl pridėtinės vertės mokesčio bendros sistemos (PVM) ir Tarybos sprendimo 27 straipsnio 3 dalį.</w:t>
                  </w:r>
                  <w:r>
                    <w:rPr>
                      <w:rFonts w:eastAsia="Arial Unicode MS"/>
                      <w:szCs w:val="24"/>
                      <w:lang w:val="en-US" w:eastAsia="en-GB"/>
                    </w:rPr>
                    <w:t xml:space="preserve"> </w:t>
                  </w:r>
                  <w:r>
                    <w:rPr>
                      <w:rFonts w:eastAsia="Arial Unicode MS"/>
                      <w:szCs w:val="24"/>
                      <w:lang w:eastAsia="en-GB"/>
                    </w:rPr>
                    <w:t>EGA reguliariai informuos PAMG apie PVM.</w:t>
                  </w:r>
                </w:p>
                <w:p>
                  <w:pPr>
                    <w:spacing w:line="360" w:lineRule="auto"/>
                    <w:ind w:left="1240" w:hanging="360"/>
                    <w:jc w:val="both"/>
                    <w:rPr>
                      <w:rFonts w:eastAsia="Arial Unicode MS"/>
                      <w:szCs w:val="24"/>
                      <w:lang w:val="en-US" w:eastAsia="en-GB"/>
                    </w:rPr>
                  </w:pPr>
                  <w:r>
                    <w:rPr>
                      <w:rFonts w:ascii="Franklin Gothic Book" w:hAnsi="Franklin Gothic Book"/>
                      <w:sz w:val="22"/>
                      <w:szCs w:val="22"/>
                      <w:lang w:val="en-US" w:eastAsia="en-GB"/>
                    </w:rPr>
                    <w:t>-</w:t>
                    <w:tab/>
                  </w:r>
                  <w:r>
                    <w:rPr>
                      <w:rFonts w:eastAsia="Arial Unicode MS"/>
                      <w:szCs w:val="24"/>
                      <w:lang w:eastAsia="en-GB"/>
                    </w:rPr>
                    <w:t>Įnašai iš ES bendrojo biudžeto gali būti mokami šiai PA pagal 2015 m. spalio 12 d. Tarybos 2015/1835/CFSP sprendimo 22 straipsnį;</w:t>
                  </w:r>
                  <w:r>
                    <w:rPr>
                      <w:rFonts w:eastAsia="Arial Unicode MS"/>
                      <w:szCs w:val="24"/>
                      <w:lang w:val="en-US" w:eastAsia="en-GB"/>
                    </w:rPr>
                    <w:t xml:space="preserve"> </w:t>
                  </w:r>
                </w:p>
                <w:p>
                  <w:pPr>
                    <w:spacing w:line="360" w:lineRule="auto"/>
                    <w:ind w:left="1240" w:hanging="360"/>
                    <w:jc w:val="both"/>
                    <w:rPr>
                      <w:rFonts w:eastAsia="Arial Unicode MS"/>
                      <w:szCs w:val="24"/>
                      <w:lang w:val="en-US" w:eastAsia="en-GB"/>
                    </w:rPr>
                  </w:pPr>
                  <w:r>
                    <w:rPr>
                      <w:rFonts w:ascii="Franklin Gothic Book" w:hAnsi="Franklin Gothic Book"/>
                      <w:sz w:val="22"/>
                      <w:szCs w:val="22"/>
                      <w:lang w:val="en-US" w:eastAsia="en-GB"/>
                    </w:rPr>
                    <w:t>-</w:t>
                    <w:tab/>
                  </w:r>
                  <w:r>
                    <w:rPr>
                      <w:rFonts w:eastAsia="Arial Unicode MS"/>
                      <w:szCs w:val="24"/>
                      <w:lang w:eastAsia="en-GB"/>
                    </w:rPr>
                    <w:t>EGA nereikalaus iš cMs jokių administracinių išlaidų (mokesčio) nei už šio susitarimo įgyvendinimą, nei už pagal jį sudarytų FWA valdymą.</w:t>
                  </w:r>
                  <w:r>
                    <w:rPr>
                      <w:rFonts w:eastAsia="Arial Unicode MS"/>
                      <w:szCs w:val="24"/>
                      <w:lang w:val="en-US" w:eastAsia="en-GB"/>
                    </w:rPr>
                    <w:t xml:space="preserve"> </w:t>
                  </w:r>
                  <w:r>
                    <w:rPr>
                      <w:rFonts w:eastAsia="Arial Unicode MS"/>
                      <w:szCs w:val="24"/>
                      <w:lang w:eastAsia="en-GB"/>
                    </w:rPr>
                    <w:t>Tačiau EGA gali gauti subsidiją pagal finansines priemones, pavyzdžiui, EDIRPA arba EDIP, finansuojamas iš ES bendrojo biudžeto arba už jo ribų.</w:t>
                  </w:r>
                  <w:r>
                    <w:rPr>
                      <w:rFonts w:eastAsia="Arial Unicode MS"/>
                      <w:szCs w:val="24"/>
                      <w:lang w:val="en-US" w:eastAsia="en-GB"/>
                    </w:rPr>
                    <w:t xml:space="preserve"> </w:t>
                  </w:r>
                </w:p>
              </w:sdtContent>
            </w:sdt>
            <w:sdt>
              <w:sdtPr>
                <w:alias w:val="6.2 pp."/>
                <w:tag w:val="part_677ce62fb54a440b8e7bdeedd105250e"/>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677ce62fb54a440b8e7bdeedd105250e"/>
                      <w:lock w:val="sdtLocked"/>
                      <w:richText/>
                    </w:sdtPr>
                    <w:sdtContent>
                      <w:r>
                        <w:rPr>
                          <w:rFonts w:eastAsia="Arial Unicode MS"/>
                          <w:szCs w:val="24"/>
                          <w:lang w:val="en-GB" w:eastAsia="en-GB"/>
                        </w:rPr>
                        <w:t>6.2</w:t>
                      </w:r>
                    </w:sdtContent>
                  </w:sdt>
                  <w:r>
                    <w:rPr>
                      <w:rFonts w:eastAsia="Arial Unicode MS"/>
                      <w:szCs w:val="24"/>
                      <w:lang w:val="en-GB" w:eastAsia="en-GB"/>
                    </w:rPr>
                    <w:t>.</w:t>
                    <w:tab/>
                  </w:r>
                  <w:r>
                    <w:rPr>
                      <w:rFonts w:eastAsia="Arial Unicode MS"/>
                      <w:szCs w:val="24"/>
                      <w:lang w:eastAsia="en-GB"/>
                    </w:rPr>
                    <w:t>Darbo ir visas kelionės išlaidas, inter alia, taip pat kitas administracines išlaidas, kurias cMs patiria pagal šį projektą, padengia cMs.</w:t>
                  </w:r>
                </w:p>
              </w:sdtContent>
            </w:sdt>
            <w:sdt>
              <w:sdtPr>
                <w:alias w:val="6.3 pp."/>
                <w:tag w:val="part_48c9edf89a7e4d1bafc30d0a1b159613"/>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48c9edf89a7e4d1bafc30d0a1b159613"/>
                      <w:lock w:val="sdtLocked"/>
                      <w:richText/>
                    </w:sdtPr>
                    <w:sdtContent>
                      <w:r>
                        <w:rPr>
                          <w:rFonts w:eastAsia="Arial Unicode MS"/>
                          <w:szCs w:val="24"/>
                          <w:lang w:val="en-GB" w:eastAsia="en-GB"/>
                        </w:rPr>
                        <w:t>6.3</w:t>
                      </w:r>
                    </w:sdtContent>
                  </w:sdt>
                  <w:r>
                    <w:rPr>
                      <w:rFonts w:eastAsia="Arial Unicode MS"/>
                      <w:szCs w:val="24"/>
                      <w:lang w:val="en-GB" w:eastAsia="en-GB"/>
                    </w:rPr>
                    <w:t>.</w:t>
                    <w:tab/>
                  </w:r>
                  <w:r>
                    <w:rPr>
                      <w:rFonts w:eastAsia="Arial Unicode MS"/>
                      <w:szCs w:val="24"/>
                      <w:lang w:eastAsia="en-GB"/>
                    </w:rPr>
                    <w:t xml:space="preserve">EGA atidaro ir tvarko </w:t>
                  </w:r>
                  <w:r>
                    <w:rPr>
                      <w:rFonts w:eastAsia="Arial Unicode MS"/>
                      <w:i/>
                      <w:szCs w:val="24"/>
                      <w:lang w:eastAsia="en-GB"/>
                    </w:rPr>
                    <w:t xml:space="preserve">ad hoc </w:t>
                  </w:r>
                  <w:r>
                    <w:rPr>
                      <w:rFonts w:eastAsia="Arial Unicode MS"/>
                      <w:szCs w:val="24"/>
                      <w:lang w:eastAsia="en-GB"/>
                    </w:rPr>
                    <w:t>banko sąskaitą specialiai šiai PA įgyvendinti.</w:t>
                  </w:r>
                  <w:r>
                    <w:rPr>
                      <w:rFonts w:eastAsia="Arial Unicode MS"/>
                      <w:szCs w:val="24"/>
                      <w:lang w:val="en-GB" w:eastAsia="en-GB"/>
                    </w:rPr>
                    <w:t xml:space="preserve"> </w:t>
                  </w:r>
                </w:p>
              </w:sdtContent>
            </w:sdt>
            <w:sdt>
              <w:sdtPr>
                <w:alias w:val="6.4 pp."/>
                <w:tag w:val="part_888f43135a014caba46440cf5391bd16"/>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888f43135a014caba46440cf5391bd16"/>
                      <w:lock w:val="sdtLocked"/>
                      <w:richText/>
                    </w:sdtPr>
                    <w:sdtContent>
                      <w:r>
                        <w:rPr>
                          <w:rFonts w:eastAsia="Arial Unicode MS"/>
                          <w:szCs w:val="24"/>
                          <w:lang w:val="en-GB" w:eastAsia="en-GB"/>
                        </w:rPr>
                        <w:t>6.4</w:t>
                      </w:r>
                    </w:sdtContent>
                  </w:sdt>
                  <w:r>
                    <w:rPr>
                      <w:rFonts w:eastAsia="Arial Unicode MS"/>
                      <w:szCs w:val="24"/>
                      <w:lang w:val="en-GB" w:eastAsia="en-GB"/>
                    </w:rPr>
                    <w:t>.</w:t>
                    <w:tab/>
                  </w:r>
                  <w:r>
                    <w:rPr>
                      <w:rFonts w:eastAsia="Arial Unicode MS"/>
                      <w:szCs w:val="24"/>
                      <w:lang w:eastAsia="en-GB"/>
                    </w:rPr>
                    <w:t>Su šios PA įgyvendinimu susiję mokėjimai atliekami eurais, o juos tvarkys EGA pagal EGA finansines taisykles.</w:t>
                  </w:r>
                  <w:r>
                    <w:rPr>
                      <w:rFonts w:eastAsia="Arial Unicode MS"/>
                      <w:szCs w:val="24"/>
                      <w:lang w:val="en-GB" w:eastAsia="en-GB"/>
                    </w:rPr>
                    <w:t xml:space="preserve"> </w:t>
                  </w:r>
                </w:p>
              </w:sdtContent>
            </w:sdt>
            <w:sdt>
              <w:sdtPr>
                <w:alias w:val="6.5 pp."/>
                <w:tag w:val="part_02831f8752824404bc25a8358c801535"/>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02831f8752824404bc25a8358c801535"/>
                      <w:lock w:val="sdtLocked"/>
                      <w:richText/>
                    </w:sdtPr>
                    <w:sdtContent>
                      <w:r>
                        <w:rPr>
                          <w:rFonts w:eastAsia="Arial Unicode MS"/>
                          <w:szCs w:val="24"/>
                          <w:lang w:val="en-GB" w:eastAsia="en-GB"/>
                        </w:rPr>
                        <w:t>6.5</w:t>
                      </w:r>
                    </w:sdtContent>
                  </w:sdt>
                  <w:r>
                    <w:rPr>
                      <w:rFonts w:eastAsia="Arial Unicode MS"/>
                      <w:szCs w:val="24"/>
                      <w:lang w:val="en-GB" w:eastAsia="en-GB"/>
                    </w:rPr>
                    <w:t>.</w:t>
                    <w:tab/>
                  </w:r>
                  <w:r>
                    <w:rPr>
                      <w:rFonts w:eastAsia="Arial Unicode MS"/>
                      <w:szCs w:val="24"/>
                      <w:lang w:eastAsia="en-GB"/>
                    </w:rPr>
                    <w:t>Finansavimo mechanizmą sudarys du etapai:</w:t>
                  </w:r>
                  <w:r>
                    <w:rPr>
                      <w:rFonts w:eastAsia="Arial Unicode MS"/>
                      <w:szCs w:val="24"/>
                      <w:lang w:val="en-GB" w:eastAsia="en-GB"/>
                    </w:rPr>
                    <w:t xml:space="preserve"> </w:t>
                  </w:r>
                  <w:r>
                    <w:rPr>
                      <w:rFonts w:eastAsia="Arial Unicode MS"/>
                      <w:szCs w:val="24"/>
                      <w:lang w:eastAsia="en-GB"/>
                    </w:rPr>
                    <w:t>išankstinis finansavimas ir likučio mokėjimai.</w:t>
                  </w:r>
                </w:p>
              </w:sdtContent>
            </w:sdt>
            <w:sdt>
              <w:sdtPr>
                <w:alias w:val="6.6 pp."/>
                <w:tag w:val="part_8e9ddc95d7cb44b4a1996f4eb77a62f1"/>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8e9ddc95d7cb44b4a1996f4eb77a62f1"/>
                      <w:lock w:val="sdtLocked"/>
                      <w:richText/>
                    </w:sdtPr>
                    <w:sdtContent>
                      <w:r>
                        <w:rPr>
                          <w:rFonts w:eastAsia="Arial Unicode MS"/>
                          <w:szCs w:val="24"/>
                          <w:lang w:val="en-GB" w:eastAsia="en-GB"/>
                        </w:rPr>
                        <w:t>6.6</w:t>
                      </w:r>
                    </w:sdtContent>
                  </w:sdt>
                  <w:r>
                    <w:rPr>
                      <w:rFonts w:eastAsia="Arial Unicode MS"/>
                      <w:szCs w:val="24"/>
                      <w:lang w:val="en-GB" w:eastAsia="en-GB"/>
                    </w:rPr>
                    <w:t>.</w:t>
                    <w:tab/>
                  </w:r>
                  <w:r>
                    <w:rPr>
                      <w:rFonts w:eastAsia="Arial Unicode MS"/>
                      <w:szCs w:val="24"/>
                      <w:lang w:eastAsia="en-GB"/>
                    </w:rPr>
                    <w:t>EGA pateiks cM raginimą sumokėti įnašus, atitinkančius išankstinio finansavimo ir (arba) likučio mokėjimus. cM atliks mokėjimus per 60 (šešiasdešimt) kalendorinių dienų nuo raginimo sumokėti įnašus gavimo dienos.</w:t>
                  </w:r>
                  <w:r>
                    <w:rPr>
                      <w:rFonts w:eastAsia="Arial Unicode MS"/>
                      <w:szCs w:val="24"/>
                      <w:lang w:val="en-GB" w:eastAsia="en-GB"/>
                    </w:rPr>
                    <w:t xml:space="preserve"> </w:t>
                  </w:r>
                  <w:r>
                    <w:rPr>
                      <w:rFonts w:eastAsia="Arial Unicode MS"/>
                      <w:szCs w:val="24"/>
                      <w:lang w:eastAsia="en-GB"/>
                    </w:rPr>
                    <w:t>Ši procedūra taikoma išankstiniam kiekvieno cM OF finansavimui, taip pat likučio mokėjimui po to, kai užsakytos prekės pristatomos ir priimamos.</w:t>
                  </w:r>
                  <w:r>
                    <w:rPr>
                      <w:rFonts w:eastAsia="Arial Unicode MS"/>
                      <w:szCs w:val="24"/>
                      <w:lang w:val="en-GB" w:eastAsia="en-GB"/>
                    </w:rPr>
                    <w:t xml:space="preserve"> </w:t>
                  </w:r>
                  <w:r>
                    <w:rPr>
                      <w:rFonts w:eastAsia="Arial Unicode MS"/>
                      <w:szCs w:val="24"/>
                      <w:lang w:eastAsia="en-GB"/>
                    </w:rPr>
                    <w:t>Kvietime teikti įnašus išankstiniam finansavimui turi būti numatyta išankstinio finansavimo grąžinimo garantija, kurią sumokėjo cMs pagal išankstinio finansavimo banko garantijos, kurios EGA pareikalaus iš rangovo, sąlygas.</w:t>
                  </w:r>
                </w:p>
              </w:sdtContent>
            </w:sdt>
            <w:sdt>
              <w:sdtPr>
                <w:alias w:val="6.7 pp."/>
                <w:tag w:val="part_91a274f9beb04b18901fa03a55fbe3df"/>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91a274f9beb04b18901fa03a55fbe3df"/>
                      <w:lock w:val="sdtLocked"/>
                      <w:richText/>
                    </w:sdtPr>
                    <w:sdtContent>
                      <w:r>
                        <w:rPr>
                          <w:rFonts w:eastAsia="Arial Unicode MS"/>
                          <w:szCs w:val="24"/>
                          <w:lang w:val="en-GB" w:eastAsia="en-GB"/>
                        </w:rPr>
                        <w:t>6.7</w:t>
                      </w:r>
                    </w:sdtContent>
                  </w:sdt>
                  <w:r>
                    <w:rPr>
                      <w:rFonts w:eastAsia="Arial Unicode MS"/>
                      <w:szCs w:val="24"/>
                      <w:lang w:val="en-GB" w:eastAsia="en-GB"/>
                    </w:rPr>
                    <w:t>.</w:t>
                    <w:tab/>
                  </w:r>
                  <w:r>
                    <w:rPr>
                      <w:rFonts w:eastAsia="Arial Unicode MS"/>
                      <w:szCs w:val="24"/>
                      <w:lang w:eastAsia="en-GB"/>
                    </w:rPr>
                    <w:t>cMs gali skirti lėšas, viršijančias išankstinio finansavimo sumą, bet ne daugiau nei visa jų užsakymo suma, ir per 60 (šešiasdešimt) dienų praneša EGA apie savo ketinimą, kaip nurodyta 6.6 dalyje.</w:t>
                  </w:r>
                </w:p>
              </w:sdtContent>
            </w:sdt>
            <w:sdt>
              <w:sdtPr>
                <w:alias w:val="6.8 pp."/>
                <w:tag w:val="part_d50ab30b21254e86a98352001f8bf706"/>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d50ab30b21254e86a98352001f8bf706"/>
                      <w:lock w:val="sdtLocked"/>
                      <w:richText/>
                    </w:sdtPr>
                    <w:sdtContent>
                      <w:r>
                        <w:rPr>
                          <w:rFonts w:eastAsia="Arial Unicode MS"/>
                          <w:szCs w:val="24"/>
                          <w:lang w:val="en-GB" w:eastAsia="en-GB"/>
                        </w:rPr>
                        <w:t>6.8</w:t>
                      </w:r>
                    </w:sdtContent>
                  </w:sdt>
                  <w:r>
                    <w:rPr>
                      <w:rFonts w:eastAsia="Arial Unicode MS"/>
                      <w:szCs w:val="24"/>
                      <w:lang w:val="en-GB" w:eastAsia="en-GB"/>
                    </w:rPr>
                    <w:t>.</w:t>
                    <w:tab/>
                  </w:r>
                  <w:r>
                    <w:rPr>
                      <w:rFonts w:eastAsia="Arial Unicode MS"/>
                      <w:szCs w:val="24"/>
                      <w:lang w:eastAsia="en-GB"/>
                    </w:rPr>
                    <w:t xml:space="preserve">cMs gali turėti galimybę pervesti lėšas, kurios iš karto nesusijusios su WO, į </w:t>
                  </w:r>
                  <w:r>
                    <w:rPr>
                      <w:rFonts w:eastAsia="Arial Unicode MS"/>
                      <w:i/>
                      <w:szCs w:val="24"/>
                      <w:lang w:eastAsia="en-GB"/>
                    </w:rPr>
                    <w:t xml:space="preserve">ad hoc </w:t>
                  </w:r>
                  <w:r>
                    <w:rPr>
                      <w:rFonts w:eastAsia="Arial Unicode MS"/>
                      <w:szCs w:val="24"/>
                      <w:lang w:eastAsia="en-GB"/>
                    </w:rPr>
                    <w:t>banko sąskaitą su sąlyga, kad per 60 (šešiasdešimt) dienų apie savo ketinimą praneš EGA.</w:t>
                  </w:r>
                </w:p>
              </w:sdtContent>
            </w:sdt>
            <w:sdt>
              <w:sdtPr>
                <w:alias w:val="6.9 pp."/>
                <w:tag w:val="part_6f5dbee943da41588b3effafbb340741"/>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6f5dbee943da41588b3effafbb340741"/>
                      <w:lock w:val="sdtLocked"/>
                      <w:richText/>
                    </w:sdtPr>
                    <w:sdtContent>
                      <w:r>
                        <w:rPr>
                          <w:rFonts w:eastAsia="Arial Unicode MS"/>
                          <w:szCs w:val="24"/>
                          <w:lang w:val="en-GB" w:eastAsia="en-GB"/>
                        </w:rPr>
                        <w:t>6.9</w:t>
                      </w:r>
                    </w:sdtContent>
                  </w:sdt>
                  <w:r>
                    <w:rPr>
                      <w:rFonts w:eastAsia="Arial Unicode MS"/>
                      <w:szCs w:val="24"/>
                      <w:lang w:val="en-GB" w:eastAsia="en-GB"/>
                    </w:rPr>
                    <w:t>.</w:t>
                    <w:tab/>
                  </w:r>
                  <w:r>
                    <w:rPr>
                      <w:rFonts w:eastAsia="Arial Unicode MS"/>
                      <w:szCs w:val="24"/>
                      <w:lang w:eastAsia="en-GB"/>
                    </w:rPr>
                    <w:t xml:space="preserve">Per visą PA laikotarpį cMs užtikrins, kad į </w:t>
                  </w:r>
                  <w:r>
                    <w:rPr>
                      <w:rFonts w:eastAsia="Arial Unicode MS"/>
                      <w:i/>
                      <w:szCs w:val="24"/>
                      <w:lang w:eastAsia="en-GB"/>
                    </w:rPr>
                    <w:t xml:space="preserve">ad hoc </w:t>
                  </w:r>
                  <w:r>
                    <w:rPr>
                      <w:rFonts w:eastAsia="Arial Unicode MS"/>
                      <w:szCs w:val="24"/>
                      <w:lang w:eastAsia="en-GB"/>
                    </w:rPr>
                    <w:t>banko sąskaitą būtų pervesta pakankamai lėšų, jog EGA galėtų laiku įvykdyti savo sutartinius mokėjimo įsipareigojimus rangovui (-ams), arba oficialiai įsipareigos, kad jas perves EGA prieš sueinant bet kokio susijusio mokėjimo terminui.</w:t>
                  </w:r>
                  <w:r>
                    <w:rPr>
                      <w:rFonts w:eastAsia="Arial Unicode MS"/>
                      <w:szCs w:val="24"/>
                      <w:lang w:val="en-GB" w:eastAsia="en-GB"/>
                    </w:rPr>
                    <w:t xml:space="preserve"> </w:t>
                  </w:r>
                  <w:r>
                    <w:rPr>
                      <w:rFonts w:eastAsia="Arial Unicode MS"/>
                      <w:szCs w:val="24"/>
                      <w:lang w:eastAsia="en-GB"/>
                    </w:rPr>
                    <w:t>Jei EGA neturi pakankamai lėšų Ad-Hoc banko sąskaitoje, sutartinę atsakomybę dėl pavėluotų mokėjimų rangovui (-ams) prisiima už pavėluotus mokėjimus atsakingas (-i) cM (-ai).</w:t>
                  </w:r>
                  <w:r>
                    <w:rPr>
                      <w:rFonts w:eastAsia="Arial Unicode MS"/>
                      <w:szCs w:val="24"/>
                      <w:lang w:val="en-GB" w:eastAsia="en-GB"/>
                    </w:rPr>
                    <w:t xml:space="preserve"> </w:t>
                  </w:r>
                </w:p>
              </w:sdtContent>
            </w:sdt>
            <w:sdt>
              <w:sdtPr>
                <w:alias w:val="6.10 pp."/>
                <w:tag w:val="part_362a95f0189b4c9b930f101eea888c8f"/>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362a95f0189b4c9b930f101eea888c8f"/>
                      <w:lock w:val="sdtLocked"/>
                      <w:richText/>
                    </w:sdtPr>
                    <w:sdtContent>
                      <w:r>
                        <w:rPr>
                          <w:rFonts w:eastAsia="Arial Unicode MS"/>
                          <w:szCs w:val="24"/>
                          <w:lang w:val="en-GB" w:eastAsia="en-GB"/>
                        </w:rPr>
                        <w:t>6.10</w:t>
                      </w:r>
                    </w:sdtContent>
                  </w:sdt>
                  <w:r>
                    <w:rPr>
                      <w:rFonts w:eastAsia="Arial Unicode MS"/>
                      <w:szCs w:val="24"/>
                      <w:lang w:val="en-GB" w:eastAsia="en-GB"/>
                    </w:rPr>
                    <w:t>.</w:t>
                    <w:tab/>
                  </w:r>
                  <w:r>
                    <w:rPr>
                      <w:rFonts w:eastAsia="Arial Unicode MS"/>
                      <w:szCs w:val="24"/>
                      <w:lang w:eastAsia="en-GB"/>
                    </w:rPr>
                    <w:t xml:space="preserve">EGA per 6 (šešis) mėnesius po PA pabaigos parengs bendrą finansinę ataskaitą, kurioje turi būti išsamiai nurodytos visos gautos lėšos ir sąskaitos faktūros, atlikti mokėjimai ir galutinis </w:t>
                  </w:r>
                  <w:r>
                    <w:rPr>
                      <w:rFonts w:eastAsia="Arial Unicode MS"/>
                      <w:i/>
                      <w:szCs w:val="24"/>
                      <w:lang w:eastAsia="en-GB"/>
                    </w:rPr>
                    <w:t xml:space="preserve">ad hoc </w:t>
                  </w:r>
                  <w:r>
                    <w:rPr>
                      <w:rFonts w:eastAsia="Arial Unicode MS"/>
                      <w:szCs w:val="24"/>
                      <w:lang w:eastAsia="en-GB"/>
                    </w:rPr>
                    <w:t>banko sąskaitos likutis.</w:t>
                  </w:r>
                  <w:r>
                    <w:rPr>
                      <w:rFonts w:eastAsia="Arial Unicode MS"/>
                      <w:szCs w:val="24"/>
                      <w:lang w:val="en-GB" w:eastAsia="en-GB"/>
                    </w:rPr>
                    <w:t xml:space="preserve"> </w:t>
                  </w:r>
                  <w:r>
                    <w:rPr>
                      <w:rFonts w:eastAsia="Arial Unicode MS"/>
                      <w:szCs w:val="24"/>
                      <w:lang w:eastAsia="en-GB"/>
                    </w:rPr>
                    <w:t>Ši ataskaita turi būti pateikta cMs ir ją audituos EGA auditorių kolegija.</w:t>
                  </w:r>
                  <w:r>
                    <w:rPr>
                      <w:rFonts w:eastAsia="Arial Unicode MS"/>
                      <w:szCs w:val="24"/>
                      <w:lang w:val="en-GB" w:eastAsia="en-GB"/>
                    </w:rPr>
                    <w:t xml:space="preserve"> </w:t>
                  </w:r>
                </w:p>
              </w:sdtContent>
            </w:sdt>
            <w:sdt>
              <w:sdtPr>
                <w:alias w:val="6.11 pp."/>
                <w:tag w:val="part_a07f2ee3cd964b6580a72b66415627c2"/>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a07f2ee3cd964b6580a72b66415627c2"/>
                      <w:lock w:val="sdtLocked"/>
                      <w:richText/>
                    </w:sdtPr>
                    <w:sdtContent>
                      <w:r>
                        <w:rPr>
                          <w:rFonts w:eastAsia="Arial Unicode MS"/>
                          <w:szCs w:val="24"/>
                          <w:lang w:val="en-GB" w:eastAsia="en-GB"/>
                        </w:rPr>
                        <w:t>6.11</w:t>
                      </w:r>
                    </w:sdtContent>
                  </w:sdt>
                  <w:r>
                    <w:rPr>
                      <w:rFonts w:eastAsia="Arial Unicode MS"/>
                      <w:szCs w:val="24"/>
                      <w:lang w:val="en-GB" w:eastAsia="en-GB"/>
                    </w:rPr>
                    <w:t>.</w:t>
                    <w:tab/>
                  </w:r>
                  <w:r>
                    <w:rPr>
                      <w:rFonts w:eastAsia="Arial Unicode MS"/>
                      <w:szCs w:val="24"/>
                      <w:lang w:eastAsia="en-GB"/>
                    </w:rPr>
                    <w:t>Visos nepanaudotos lėšos turi būti grąžintos cMs pagal jų nurodymus.</w:t>
                  </w:r>
                  <w:r>
                    <w:rPr>
                      <w:rFonts w:eastAsia="Arial Unicode MS"/>
                      <w:szCs w:val="24"/>
                      <w:lang w:val="en-GB" w:eastAsia="en-GB"/>
                    </w:rPr>
                    <w:t xml:space="preserve"> </w:t>
                  </w:r>
                  <w:r>
                    <w:rPr>
                      <w:rFonts w:eastAsia="Arial Unicode MS"/>
                      <w:szCs w:val="24"/>
                      <w:lang w:eastAsia="en-GB"/>
                    </w:rPr>
                    <w:t xml:space="preserve">Palūkanos, gautos iš lėšų, pervestų į </w:t>
                  </w:r>
                  <w:r>
                    <w:rPr>
                      <w:rFonts w:eastAsia="Arial Unicode MS"/>
                      <w:i/>
                      <w:szCs w:val="24"/>
                      <w:lang w:eastAsia="en-GB"/>
                    </w:rPr>
                    <w:t xml:space="preserve">ad hoc </w:t>
                  </w:r>
                  <w:r>
                    <w:rPr>
                      <w:rFonts w:eastAsia="Arial Unicode MS"/>
                      <w:szCs w:val="24"/>
                      <w:lang w:eastAsia="en-GB"/>
                    </w:rPr>
                    <w:t>banko sąskaitą, bus padalytos tarp cMs proporcingai jų atitinkamiems finansiniams įnašams, nebent cMs nuspręstų kitaip.</w:t>
                  </w:r>
                </w:p>
              </w:sdtContent>
            </w:sdt>
            <w:sdt>
              <w:sdtPr>
                <w:alias w:val="6.12 pp."/>
                <w:tag w:val="part_6d3f16f65c81439681431375544586dd"/>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6d3f16f65c81439681431375544586dd"/>
                      <w:lock w:val="sdtLocked"/>
                      <w:richText/>
                    </w:sdtPr>
                    <w:sdtContent>
                      <w:r>
                        <w:rPr>
                          <w:rFonts w:eastAsia="Arial Unicode MS"/>
                          <w:szCs w:val="24"/>
                          <w:lang w:val="en-GB" w:eastAsia="en-GB"/>
                        </w:rPr>
                        <w:t>6.12</w:t>
                      </w:r>
                    </w:sdtContent>
                  </w:sdt>
                  <w:r>
                    <w:rPr>
                      <w:rFonts w:eastAsia="Arial Unicode MS"/>
                      <w:szCs w:val="24"/>
                      <w:lang w:val="en-GB" w:eastAsia="en-GB"/>
                    </w:rPr>
                    <w:t>.</w:t>
                    <w:tab/>
                  </w:r>
                  <w:r>
                    <w:rPr>
                      <w:rFonts w:eastAsia="Arial Unicode MS"/>
                      <w:szCs w:val="24"/>
                      <w:lang w:eastAsia="en-GB"/>
                    </w:rPr>
                    <w:t xml:space="preserve">Siekiant sudaryti palankesnes sąlygas laiku uždaryti </w:t>
                  </w:r>
                  <w:r>
                    <w:rPr>
                      <w:rFonts w:eastAsia="Arial Unicode MS"/>
                      <w:i/>
                      <w:szCs w:val="24"/>
                      <w:lang w:eastAsia="en-GB"/>
                    </w:rPr>
                    <w:t xml:space="preserve">ad hoc </w:t>
                  </w:r>
                  <w:r>
                    <w:rPr>
                      <w:rFonts w:eastAsia="Arial Unicode MS"/>
                      <w:szCs w:val="24"/>
                      <w:lang w:eastAsia="en-GB"/>
                    </w:rPr>
                    <w:t>banko sąskaitą, nesant aiškių cMs nurodymų dėl jų nepanaudotų lėšų ir susijusių banko palūkanų grąžinimo per vieną mėnesį nuo bendros finansinės ataskaitos gavimo, EGA kompensuos iš šios PA susidariusį perviršį iš metinio cMs įnašo į EGA bendrąjį biudžetą.</w:t>
                  </w:r>
                </w:p>
              </w:sdtContent>
            </w:sdt>
            <w:sdt>
              <w:sdtPr>
                <w:alias w:val="6.13 pp."/>
                <w:tag w:val="part_9e8315e4b546462bb01d1dc042b931fc"/>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9e8315e4b546462bb01d1dc042b931fc"/>
                      <w:lock w:val="sdtLocked"/>
                      <w:richText/>
                    </w:sdtPr>
                    <w:sdtContent>
                      <w:r>
                        <w:rPr>
                          <w:rFonts w:eastAsia="Arial Unicode MS"/>
                          <w:szCs w:val="24"/>
                          <w:lang w:val="en-GB" w:eastAsia="en-GB"/>
                        </w:rPr>
                        <w:t>6.13</w:t>
                      </w:r>
                    </w:sdtContent>
                  </w:sdt>
                  <w:r>
                    <w:rPr>
                      <w:rFonts w:eastAsia="Arial Unicode MS"/>
                      <w:szCs w:val="24"/>
                      <w:lang w:val="en-GB" w:eastAsia="en-GB"/>
                    </w:rPr>
                    <w:t>.</w:t>
                    <w:tab/>
                  </w:r>
                  <w:r>
                    <w:rPr>
                      <w:rFonts w:eastAsia="Arial Unicode MS"/>
                      <w:szCs w:val="24"/>
                      <w:lang w:eastAsia="en-GB"/>
                    </w:rPr>
                    <w:t xml:space="preserve">EGA uždaro </w:t>
                  </w:r>
                  <w:r>
                    <w:rPr>
                      <w:rFonts w:eastAsia="Arial Unicode MS"/>
                      <w:i/>
                      <w:szCs w:val="24"/>
                      <w:lang w:eastAsia="en-GB"/>
                    </w:rPr>
                    <w:t xml:space="preserve">ad hoc </w:t>
                  </w:r>
                  <w:r>
                    <w:rPr>
                      <w:rFonts w:eastAsia="Arial Unicode MS"/>
                      <w:szCs w:val="24"/>
                      <w:lang w:eastAsia="en-GB"/>
                    </w:rPr>
                    <w:t>banko sąskaitą, kai visos nepanaudotos lėšos turi būti grąžintos arba perskirstytos, kaip to prašo atitinkama cMS.</w:t>
                  </w:r>
                  <w:r>
                    <w:rPr>
                      <w:rFonts w:eastAsia="Arial Unicode MS"/>
                      <w:szCs w:val="24"/>
                      <w:lang w:val="en-GB" w:eastAsia="en-GB"/>
                    </w:rPr>
                    <w:t xml:space="preserve"> </w:t>
                  </w:r>
                </w:p>
              </w:sdtContent>
            </w:sdt>
            <w:sdt>
              <w:sdtPr>
                <w:alias w:val="6.14 pp."/>
                <w:tag w:val="part_1023c32ab64645a9a9fd87e0a021b855"/>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1023c32ab64645a9a9fd87e0a021b855"/>
                      <w:lock w:val="sdtLocked"/>
                      <w:richText/>
                    </w:sdtPr>
                    <w:sdtContent>
                      <w:r>
                        <w:rPr>
                          <w:rFonts w:eastAsia="Arial Unicode MS"/>
                          <w:szCs w:val="24"/>
                          <w:lang w:val="en-GB" w:eastAsia="en-GB"/>
                        </w:rPr>
                        <w:t>6.14</w:t>
                      </w:r>
                    </w:sdtContent>
                  </w:sdt>
                  <w:r>
                    <w:rPr>
                      <w:rFonts w:eastAsia="Arial Unicode MS"/>
                      <w:szCs w:val="24"/>
                      <w:lang w:val="en-GB" w:eastAsia="en-GB"/>
                    </w:rPr>
                    <w:t>.</w:t>
                    <w:tab/>
                  </w:r>
                  <w:r>
                    <w:rPr>
                      <w:rFonts w:eastAsia="Arial Unicode MS"/>
                      <w:szCs w:val="24"/>
                      <w:lang w:eastAsia="en-GB"/>
                    </w:rPr>
                    <w:t xml:space="preserve">EGA tvarkys kiekvieno cM įsipareigojimų ir mokėjimų pagal šią PA apskaitą eurais. EGA teiks cM </w:t>
                  </w:r>
                  <w:r>
                    <w:rPr>
                      <w:rFonts w:eastAsia="Arial Unicode MS"/>
                      <w:i/>
                      <w:szCs w:val="24"/>
                      <w:lang w:eastAsia="en-GB"/>
                    </w:rPr>
                    <w:t xml:space="preserve">ad hoc </w:t>
                  </w:r>
                  <w:r>
                    <w:rPr>
                      <w:rFonts w:eastAsia="Arial Unicode MS"/>
                      <w:szCs w:val="24"/>
                      <w:lang w:eastAsia="en-GB"/>
                    </w:rPr>
                    <w:t>banko sąskaitos būklės metines ataskaitas, kuriose bus nurodytos pajamos, išlaidos ir įsipareigojimai.</w:t>
                  </w:r>
                  <w:r>
                    <w:rPr>
                      <w:rFonts w:eastAsia="Arial Unicode MS"/>
                      <w:szCs w:val="24"/>
                      <w:lang w:val="en-GB" w:eastAsia="en-GB"/>
                    </w:rPr>
                    <w:t xml:space="preserve"> </w:t>
                  </w:r>
                  <w:r>
                    <w:rPr>
                      <w:rFonts w:eastAsia="Arial Unicode MS"/>
                      <w:szCs w:val="24"/>
                      <w:lang w:eastAsia="en-GB"/>
                    </w:rPr>
                    <w:t>Taip pat bus pateiktas metinis banko sutikrinimas.</w:t>
                  </w:r>
                  <w:r>
                    <w:rPr>
                      <w:rFonts w:eastAsia="Arial Unicode MS"/>
                      <w:szCs w:val="24"/>
                      <w:lang w:val="en-GB" w:eastAsia="en-GB"/>
                    </w:rPr>
                    <w:t xml:space="preserve"> </w:t>
                  </w:r>
                </w:p>
              </w:sdtContent>
            </w:sdt>
            <w:sdt>
              <w:sdtPr>
                <w:alias w:val="6.15 pp."/>
                <w:tag w:val="part_b8258aaaee254f9f8898cb609a9f9749"/>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b8258aaaee254f9f8898cb609a9f9749"/>
                      <w:lock w:val="sdtLocked"/>
                      <w:richText/>
                    </w:sdtPr>
                    <w:sdtContent>
                      <w:r>
                        <w:rPr>
                          <w:rFonts w:eastAsia="Arial Unicode MS"/>
                          <w:szCs w:val="24"/>
                          <w:lang w:val="en-GB" w:eastAsia="en-GB"/>
                        </w:rPr>
                        <w:t>6.15</w:t>
                      </w:r>
                    </w:sdtContent>
                  </w:sdt>
                  <w:r>
                    <w:rPr>
                      <w:rFonts w:eastAsia="Arial Unicode MS"/>
                      <w:szCs w:val="24"/>
                      <w:lang w:val="en-GB" w:eastAsia="en-GB"/>
                    </w:rPr>
                    <w:t>.</w:t>
                    <w:tab/>
                  </w:r>
                  <w:r>
                    <w:rPr>
                      <w:rFonts w:eastAsia="Arial Unicode MS"/>
                      <w:szCs w:val="24"/>
                      <w:lang w:eastAsia="en-GB"/>
                    </w:rPr>
                    <w:t>EGA parengs metines ataskaitas, kurias pasirašys EGA apskaitos pareigūnas ir kurių auditą atliks Auditorių kolegija pagal EGA finansines taisykles.</w:t>
                  </w:r>
                  <w:r>
                    <w:rPr>
                      <w:rFonts w:eastAsia="Arial Unicode MS"/>
                      <w:szCs w:val="24"/>
                      <w:lang w:val="en-GB" w:eastAsia="en-GB"/>
                    </w:rPr>
                    <w:t xml:space="preserve"> </w:t>
                  </w:r>
                  <w:r>
                    <w:rPr>
                      <w:rFonts w:eastAsia="Arial Unicode MS"/>
                      <w:szCs w:val="24"/>
                      <w:lang w:eastAsia="en-GB"/>
                    </w:rPr>
                    <w:t xml:space="preserve">Metinėse ataskaitose bus nurodyta </w:t>
                  </w:r>
                  <w:r>
                    <w:rPr>
                      <w:rFonts w:eastAsia="Arial Unicode MS"/>
                      <w:i/>
                      <w:szCs w:val="24"/>
                      <w:lang w:eastAsia="en-GB"/>
                    </w:rPr>
                    <w:t xml:space="preserve">ad hoc </w:t>
                  </w:r>
                  <w:r>
                    <w:rPr>
                      <w:rFonts w:eastAsia="Arial Unicode MS"/>
                      <w:szCs w:val="24"/>
                      <w:lang w:eastAsia="en-GB"/>
                    </w:rPr>
                    <w:t>banko sąskaitos būklė, pajamos, išlaidos ir įsipareigojimai, prisiimti pagal šią PA. Šias audito išlaidas apmokės EGA.</w:t>
                  </w:r>
                  <w:r>
                    <w:rPr>
                      <w:rFonts w:eastAsia="Arial Unicode MS"/>
                      <w:szCs w:val="24"/>
                      <w:lang w:val="en-GB" w:eastAsia="en-GB"/>
                    </w:rPr>
                    <w:t xml:space="preserve"> </w:t>
                  </w:r>
                  <w:r>
                    <w:rPr>
                      <w:rFonts w:eastAsia="Arial Unicode MS"/>
                      <w:szCs w:val="24"/>
                      <w:lang w:eastAsia="en-GB"/>
                    </w:rPr>
                    <w:t>EGA arba bet kurios kitos cMs, kuri šiuo atveju padengs išlaidas, prašymu Auditorių kolegija arba jos atstovai gali atlikti bet kokį papildomą auditą, kad būtų užtikrintas patikimas finansų valdymas ir šio projekto teisėtumas bei tvarkingumas.</w:t>
                  </w:r>
                </w:p>
              </w:sdtContent>
            </w:sdt>
            <w:sdt>
              <w:sdtPr>
                <w:alias w:val="6.16 pp."/>
                <w:tag w:val="part_1d15256afaf6461db496a21a23ee33d5"/>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1d15256afaf6461db496a21a23ee33d5"/>
                      <w:lock w:val="sdtLocked"/>
                      <w:richText/>
                    </w:sdtPr>
                    <w:sdtContent>
                      <w:r>
                        <w:rPr>
                          <w:rFonts w:eastAsia="Arial Unicode MS"/>
                          <w:szCs w:val="24"/>
                          <w:lang w:val="en-GB" w:eastAsia="en-GB"/>
                        </w:rPr>
                        <w:t>6.16</w:t>
                      </w:r>
                    </w:sdtContent>
                  </w:sdt>
                  <w:r>
                    <w:rPr>
                      <w:rFonts w:eastAsia="Arial Unicode MS"/>
                      <w:szCs w:val="24"/>
                      <w:lang w:val="en-GB" w:eastAsia="en-GB"/>
                    </w:rPr>
                    <w:t>.</w:t>
                    <w:tab/>
                  </w:r>
                  <w:r>
                    <w:rPr>
                      <w:rFonts w:eastAsia="Arial Unicode MS"/>
                      <w:szCs w:val="24"/>
                      <w:lang w:eastAsia="en-GB"/>
                    </w:rPr>
                    <w:t>Visais finansiniais klausimais kontaktiniai asmenys bus:</w:t>
                  </w:r>
                </w:p>
                <w:p>
                  <w:pPr>
                    <w:widowControl w:val="0"/>
                    <w:spacing w:line="360" w:lineRule="auto"/>
                    <w:ind w:left="567" w:right="522" w:firstLine="284"/>
                    <w:jc w:val="both"/>
                    <w:rPr>
                      <w:rFonts w:eastAsia="Arial Unicode MS"/>
                      <w:sz w:val="22"/>
                      <w:szCs w:val="22"/>
                      <w:lang w:val="en-GB" w:eastAsia="en-GB"/>
                    </w:rPr>
                  </w:pPr>
                  <w:r>
                    <w:rPr>
                      <w:rFonts w:eastAsia="Arial Unicode MS"/>
                      <w:sz w:val="22"/>
                      <w:szCs w:val="22"/>
                      <w:lang w:eastAsia="en-GB"/>
                    </w:rPr>
                    <w:t>Europos gynybos agentūros vardu:</w:t>
                  </w:r>
                  <w:r>
                    <w:rPr>
                      <w:rFonts w:eastAsia="Arial Unicode MS"/>
                      <w:sz w:val="22"/>
                      <w:szCs w:val="22"/>
                      <w:lang w:val="en-GB" w:eastAsia="en-GB"/>
                    </w:rPr>
                    <w:t xml:space="preserve"> </w:t>
                  </w:r>
                </w:p>
                <w:p>
                  <w:pPr>
                    <w:widowControl w:val="0"/>
                    <w:spacing w:line="360" w:lineRule="auto"/>
                    <w:ind w:left="567" w:right="522" w:firstLine="284"/>
                    <w:jc w:val="both"/>
                    <w:rPr>
                      <w:rFonts w:eastAsia="Arial Unicode MS"/>
                      <w:sz w:val="22"/>
                      <w:szCs w:val="22"/>
                      <w:lang w:val="fr-BE" w:eastAsia="en-GB"/>
                    </w:rPr>
                  </w:pPr>
                  <w:r>
                    <w:rPr>
                      <w:rFonts w:eastAsia="Arial Unicode MS"/>
                      <w:sz w:val="22"/>
                      <w:szCs w:val="22"/>
                      <w:lang w:eastAsia="en-GB"/>
                    </w:rPr>
                    <w:t>Europos gynybos agentūra</w:t>
                  </w:r>
                </w:p>
              </w:sdtContent>
            </w:sdt>
          </w:sdtContent>
        </w:sdt>
        <w:sdt>
          <w:sdtPr>
            <w:alias w:val="skyrius"/>
            <w:tag w:val="part_22d4d869a1854a7b9d262e4883e82a6e"/>
            <w:lock w:val="sdtLocked"/>
            <w:richText/>
          </w:sdtPr>
          <w:sdtContent>
            <w:p>
              <w:pPr>
                <w:widowControl w:val="0"/>
                <w:spacing w:line="360" w:lineRule="auto"/>
                <w:ind w:left="567" w:right="522" w:firstLine="284"/>
                <w:jc w:val="both"/>
                <w:rPr>
                  <w:rFonts w:eastAsia="Arial Unicode MS"/>
                  <w:sz w:val="22"/>
                  <w:szCs w:val="22"/>
                  <w:lang w:val="fr-BE" w:eastAsia="en-GB"/>
                </w:rPr>
              </w:pPr>
              <w:r>
                <w:rPr>
                  <w:rFonts w:eastAsia="Arial Unicode MS"/>
                  <w:sz w:val="22"/>
                  <w:szCs w:val="22"/>
                  <w:lang w:eastAsia="en-GB"/>
                </w:rPr>
                <w:t>Finansų skyrius</w:t>
              </w:r>
            </w:p>
            <w:p>
              <w:pPr>
                <w:widowControl w:val="0"/>
                <w:spacing w:line="360" w:lineRule="auto"/>
                <w:ind w:left="567" w:right="522" w:firstLine="284"/>
                <w:jc w:val="both"/>
                <w:rPr>
                  <w:rFonts w:eastAsia="Arial Unicode MS"/>
                  <w:sz w:val="22"/>
                  <w:szCs w:val="22"/>
                  <w:lang w:val="fr-BE" w:eastAsia="en-GB"/>
                </w:rPr>
              </w:pPr>
              <w:r>
                <w:rPr>
                  <w:rFonts w:eastAsia="Arial Unicode MS"/>
                  <w:sz w:val="22"/>
                  <w:szCs w:val="22"/>
                  <w:lang w:val="en-US" w:eastAsia="en-GB"/>
                </w:rPr>
                <w:t>Rue des Drapiers, 17-23</w:t>
              </w:r>
              <w:r>
                <w:rPr>
                  <w:rFonts w:eastAsia="Arial Unicode MS"/>
                  <w:sz w:val="22"/>
                  <w:szCs w:val="22"/>
                  <w:lang w:val="fr-BE" w:eastAsia="en-GB"/>
                </w:rPr>
                <w:t xml:space="preserve"> </w:t>
              </w:r>
            </w:p>
            <w:p>
              <w:pPr>
                <w:widowControl w:val="0"/>
                <w:spacing w:line="360" w:lineRule="auto"/>
                <w:ind w:left="567" w:right="522" w:firstLine="284"/>
                <w:jc w:val="both"/>
                <w:rPr>
                  <w:rFonts w:eastAsia="Arial Unicode MS"/>
                  <w:sz w:val="22"/>
                  <w:szCs w:val="22"/>
                  <w:lang w:val="fr-BE" w:eastAsia="en-GB"/>
                </w:rPr>
              </w:pPr>
              <w:r>
                <w:rPr>
                  <w:rFonts w:eastAsia="Arial Unicode MS"/>
                  <w:sz w:val="22"/>
                  <w:szCs w:val="22"/>
                  <w:lang w:val="en-US" w:eastAsia="en-GB"/>
                </w:rPr>
                <w:t>B-1050 BRUSSELS</w:t>
              </w:r>
            </w:p>
            <w:p>
              <w:pPr>
                <w:widowControl w:val="0"/>
                <w:spacing w:line="360" w:lineRule="auto"/>
                <w:ind w:left="567" w:right="522" w:firstLine="284"/>
                <w:jc w:val="both"/>
                <w:rPr>
                  <w:rFonts w:eastAsia="Arial Unicode MS"/>
                  <w:sz w:val="22"/>
                  <w:szCs w:val="22"/>
                  <w:lang w:val="en-GB" w:eastAsia="en-GB"/>
                </w:rPr>
              </w:pPr>
              <w:r>
                <w:rPr>
                  <w:rFonts w:eastAsia="Arial Unicode MS"/>
                  <w:sz w:val="22"/>
                  <w:szCs w:val="22"/>
                  <w:lang w:val="en-US" w:eastAsia="en-GB"/>
                </w:rPr>
                <w:t>finance@eda.europa.eu</w:t>
              </w:r>
              <w:r>
                <w:rPr>
                  <w:rFonts w:eastAsia="Arial Unicode MS"/>
                  <w:sz w:val="22"/>
                  <w:szCs w:val="22"/>
                  <w:lang w:val="en-GB" w:eastAsia="en-GB"/>
                </w:rPr>
                <w:t xml:space="preserve"> </w:t>
              </w:r>
            </w:p>
            <w:p>
              <w:pPr>
                <w:widowControl w:val="0"/>
                <w:tabs>
                  <w:tab w:val="left" w:pos="9923"/>
                  <w:tab w:val="left" w:pos="10206"/>
                </w:tabs>
                <w:spacing w:line="360" w:lineRule="auto"/>
                <w:ind w:left="567" w:right="522" w:firstLine="284"/>
                <w:jc w:val="both"/>
                <w:rPr>
                  <w:rFonts w:eastAsia="Arial Unicode MS"/>
                  <w:sz w:val="22"/>
                  <w:szCs w:val="22"/>
                  <w:lang w:val="en-GB" w:eastAsia="en-GB"/>
                </w:rPr>
              </w:pPr>
              <w:r>
                <w:rPr>
                  <w:rFonts w:eastAsia="Arial Unicode MS"/>
                  <w:sz w:val="22"/>
                  <w:szCs w:val="22"/>
                  <w:lang w:eastAsia="en-GB"/>
                </w:rPr>
                <w:t>Tel:</w:t>
              </w:r>
              <w:r>
                <w:rPr>
                  <w:rFonts w:eastAsia="Arial Unicode MS"/>
                  <w:sz w:val="22"/>
                  <w:szCs w:val="22"/>
                  <w:lang w:val="en-GB" w:eastAsia="en-GB"/>
                </w:rPr>
                <w:t xml:space="preserve"> +32 (0) 2 504 29 77. </w:t>
              </w:r>
            </w:p>
            <w:p>
              <w:pPr>
                <w:rPr>
                  <w:sz w:val="20"/>
                </w:rPr>
              </w:pPr>
            </w:p>
            <w:sdt>
              <w:sdtPr>
                <w:alias w:val="7 p."/>
                <w:tag w:val="part_773d6d2705104132b31b862e4e66c8e3"/>
                <w:lock w:val="sdtLocked"/>
                <w:richText/>
              </w:sdtPr>
              <w:sdtContent>
                <w:p>
                  <w:pPr>
                    <w:keepNext/>
                    <w:keepLines/>
                    <w:ind w:left="360" w:hanging="360"/>
                    <w:rPr>
                      <w:rFonts w:eastAsia="Arial Unicode MS"/>
                      <w:b/>
                      <w:sz w:val="22"/>
                      <w:szCs w:val="22"/>
                      <w:lang w:val="en-US" w:eastAsia="en-GB"/>
                    </w:rPr>
                  </w:pPr>
                  <w:sdt>
                    <w:sdtPr>
                      <w:alias w:val="Numeris"/>
                      <w:tag w:val="nr_773d6d2705104132b31b862e4e66c8e3"/>
                      <w:lock w:val="sdtLocked"/>
                      <w:richText/>
                    </w:sdtPr>
                    <w:sdtContent>
                      <w:r>
                        <w:rPr>
                          <w:rFonts w:eastAsia="Arial Unicode MS"/>
                          <w:b/>
                          <w:sz w:val="22"/>
                          <w:szCs w:val="22"/>
                          <w:lang w:val="en-US" w:eastAsia="en-GB"/>
                        </w:rPr>
                        <w:t>7</w:t>
                      </w:r>
                    </w:sdtContent>
                  </w:sdt>
                  <w:r>
                    <w:rPr>
                      <w:rFonts w:eastAsia="Arial Unicode MS"/>
                      <w:b/>
                      <w:sz w:val="22"/>
                      <w:szCs w:val="22"/>
                      <w:lang w:val="en-US" w:eastAsia="en-GB"/>
                    </w:rPr>
                    <w:t>.</w:t>
                    <w:tab/>
                  </w:r>
                  <w:r>
                    <w:rPr>
                      <w:rFonts w:eastAsia="Arial Unicode MS"/>
                      <w:b/>
                      <w:sz w:val="22"/>
                      <w:szCs w:val="22"/>
                      <w:lang w:eastAsia="en-GB"/>
                    </w:rPr>
                    <w:t>Pretenzijos ir įsipareigojimai</w:t>
                  </w:r>
                </w:p>
                <w:p>
                  <w:pPr>
                    <w:rPr>
                      <w:sz w:val="20"/>
                    </w:rPr>
                  </w:pPr>
                </w:p>
                <w:sdt>
                  <w:sdtPr>
                    <w:alias w:val="7.1 pp."/>
                    <w:tag w:val="part_7bcbab3298984ad99d6c236d24d32cc7"/>
                    <w:lock w:val="sdtLocked"/>
                    <w:richText/>
                  </w:sdtPr>
                  <w:sdtContent>
                    <w:p>
                      <w:pPr>
                        <w:spacing w:line="360" w:lineRule="auto"/>
                        <w:ind w:left="792" w:hanging="432"/>
                        <w:jc w:val="both"/>
                        <w:rPr>
                          <w:rFonts w:eastAsia="Arial Unicode MS"/>
                          <w:szCs w:val="24"/>
                          <w:lang w:val="en-GB" w:eastAsia="en-GB"/>
                        </w:rPr>
                      </w:pPr>
                      <w:sdt>
                        <w:sdtPr>
                          <w:alias w:val="Numeris"/>
                          <w:tag w:val="nr_7bcbab3298984ad99d6c236d24d32cc7"/>
                          <w:lock w:val="sdtLocked"/>
                          <w:richText/>
                        </w:sdtPr>
                        <w:sdtContent>
                          <w:r>
                            <w:rPr>
                              <w:rFonts w:eastAsia="Arial Unicode MS"/>
                              <w:szCs w:val="24"/>
                              <w:lang w:val="en-GB" w:eastAsia="en-GB"/>
                            </w:rPr>
                            <w:t>7.1</w:t>
                          </w:r>
                        </w:sdtContent>
                      </w:sdt>
                      <w:r>
                        <w:rPr>
                          <w:rFonts w:eastAsia="Arial Unicode MS"/>
                          <w:szCs w:val="24"/>
                          <w:lang w:val="en-GB" w:eastAsia="en-GB"/>
                        </w:rPr>
                        <w:t>.</w:t>
                        <w:tab/>
                      </w:r>
                      <w:r>
                        <w:rPr>
                          <w:rFonts w:eastAsia="Arial Unicode MS"/>
                          <w:szCs w:val="24"/>
                          <w:lang w:eastAsia="en-GB"/>
                        </w:rPr>
                        <w:t>Visos pretenzijos ir įsipareigojimai, kylantys iš šio PA vykdymo arba susiję su jo vykdymu, turi būti nagrinėjami pagal tarptautinius, Europos ir nacionalinius įstatymus ir kitus teisės aktus, taikomus atitinkamoms cMs.</w:t>
                      </w:r>
                      <w:r>
                        <w:rPr>
                          <w:rFonts w:eastAsia="Arial Unicode MS"/>
                          <w:szCs w:val="24"/>
                          <w:lang w:val="en-GB" w:eastAsia="en-GB"/>
                        </w:rPr>
                        <w:t xml:space="preserve"> </w:t>
                      </w:r>
                      <w:r>
                        <w:rPr>
                          <w:rFonts w:eastAsia="Arial Unicode MS"/>
                          <w:szCs w:val="24"/>
                          <w:lang w:eastAsia="en-GB"/>
                        </w:rPr>
                        <w:t>EGA atsakomybė turi būti taikoma tik 5 skirsnyje išvardytoms veiklos rūšims.</w:t>
                      </w:r>
                    </w:p>
                  </w:sdtContent>
                </w:sdt>
                <w:sdt>
                  <w:sdtPr>
                    <w:alias w:val="7.2 pp."/>
                    <w:tag w:val="part_775595b3734a430c990b7a9bed871190"/>
                    <w:lock w:val="sdtLocked"/>
                    <w:richText/>
                  </w:sdtPr>
                  <w:sdtContent>
                    <w:p>
                      <w:pPr>
                        <w:spacing w:line="360" w:lineRule="auto"/>
                        <w:ind w:left="792" w:hanging="432"/>
                        <w:jc w:val="both"/>
                        <w:rPr>
                          <w:rFonts w:eastAsia="Arial Unicode MS"/>
                          <w:szCs w:val="24"/>
                          <w:lang w:val="en-GB" w:eastAsia="en-GB"/>
                        </w:rPr>
                      </w:pPr>
                      <w:sdt>
                        <w:sdtPr>
                          <w:alias w:val="Numeris"/>
                          <w:tag w:val="nr_775595b3734a430c990b7a9bed871190"/>
                          <w:lock w:val="sdtLocked"/>
                          <w:richText/>
                        </w:sdtPr>
                        <w:sdtContent>
                          <w:r>
                            <w:rPr>
                              <w:rFonts w:eastAsia="Arial Unicode MS"/>
                              <w:szCs w:val="24"/>
                              <w:lang w:val="en-GB" w:eastAsia="en-GB"/>
                            </w:rPr>
                            <w:t>7.2</w:t>
                          </w:r>
                        </w:sdtContent>
                      </w:sdt>
                      <w:r>
                        <w:rPr>
                          <w:rFonts w:eastAsia="Arial Unicode MS"/>
                          <w:szCs w:val="24"/>
                          <w:lang w:val="en-GB" w:eastAsia="en-GB"/>
                        </w:rPr>
                        <w:t>.</w:t>
                        <w:tab/>
                      </w:r>
                      <w:r>
                        <w:rPr>
                          <w:rFonts w:eastAsia="Arial Unicode MS"/>
                          <w:szCs w:val="24"/>
                          <w:lang w:eastAsia="en-GB"/>
                        </w:rPr>
                        <w:t>Pagal šį projektą EGA administruojamų viešųjų pirkimų procedūrų atveju EGA konkurso dokumentuose nustatys atitinkamas teisių gynimo priemones.</w:t>
                      </w:r>
                      <w:r>
                        <w:rPr>
                          <w:rFonts w:eastAsia="Arial Unicode MS"/>
                          <w:szCs w:val="24"/>
                          <w:lang w:val="en-GB" w:eastAsia="en-GB"/>
                        </w:rPr>
                        <w:t xml:space="preserve"> </w:t>
                      </w:r>
                      <w:r>
                        <w:rPr>
                          <w:rFonts w:eastAsia="Arial Unicode MS"/>
                          <w:szCs w:val="24"/>
                          <w:lang w:eastAsia="en-GB"/>
                        </w:rPr>
                        <w:t>EGA sutartinei atsakomybei taikomos atitinkamai sutarčiai taikytinos taisyklės.</w:t>
                      </w:r>
                    </w:p>
                  </w:sdtContent>
                </w:sdt>
                <w:sdt>
                  <w:sdtPr>
                    <w:alias w:val="7.3 pp."/>
                    <w:tag w:val="part_cf83550378554c7b96aa702d2be5c4b4"/>
                    <w:lock w:val="sdtLocked"/>
                    <w:richText/>
                  </w:sdtPr>
                  <w:sdtContent>
                    <w:p>
                      <w:pPr>
                        <w:spacing w:line="360" w:lineRule="auto"/>
                        <w:ind w:left="792" w:hanging="432"/>
                        <w:jc w:val="both"/>
                        <w:rPr>
                          <w:rFonts w:eastAsia="Arial Unicode MS"/>
                          <w:szCs w:val="24"/>
                          <w:lang w:val="en-GB" w:eastAsia="en-GB"/>
                        </w:rPr>
                      </w:pPr>
                      <w:sdt>
                        <w:sdtPr>
                          <w:alias w:val="Numeris"/>
                          <w:tag w:val="nr_cf83550378554c7b96aa702d2be5c4b4"/>
                          <w:lock w:val="sdtLocked"/>
                          <w:richText/>
                        </w:sdtPr>
                        <w:sdtContent>
                          <w:r>
                            <w:rPr>
                              <w:rFonts w:eastAsia="Arial Unicode MS"/>
                              <w:szCs w:val="24"/>
                              <w:lang w:val="en-GB" w:eastAsia="en-GB"/>
                            </w:rPr>
                            <w:t>7.3</w:t>
                          </w:r>
                        </w:sdtContent>
                      </w:sdt>
                      <w:r>
                        <w:rPr>
                          <w:rFonts w:eastAsia="Arial Unicode MS"/>
                          <w:szCs w:val="24"/>
                          <w:lang w:val="en-GB" w:eastAsia="en-GB"/>
                        </w:rPr>
                        <w:t>.</w:t>
                        <w:tab/>
                      </w:r>
                      <w:r>
                        <w:rPr>
                          <w:rFonts w:eastAsia="Arial Unicode MS"/>
                          <w:szCs w:val="24"/>
                          <w:lang w:eastAsia="en-GB"/>
                        </w:rPr>
                        <w:t>cMs nebus solidariai atsakingos už EGA sutartinę atsakomybę, atsirandančią dėl pavėluotų mokėjimų iš OF, pateiktų kelių cMs vardu.</w:t>
                      </w:r>
                      <w:r>
                        <w:rPr>
                          <w:rFonts w:eastAsia="Arial Unicode MS"/>
                          <w:szCs w:val="24"/>
                          <w:lang w:val="en-GB" w:eastAsia="en-GB"/>
                        </w:rPr>
                        <w:t xml:space="preserve"> </w:t>
                      </w:r>
                      <w:r>
                        <w:rPr>
                          <w:rFonts w:eastAsia="Arial Unicode MS"/>
                          <w:szCs w:val="24"/>
                          <w:lang w:eastAsia="en-GB"/>
                        </w:rPr>
                        <w:t>Kiekviena cM atsako už žalą, atsiradusią dėl vėlavimo sumokėti savo atitinkamus įnašus EGA, susijusius su jos PS, kaip patvirtinta OF.</w:t>
                      </w:r>
                      <w:r>
                        <w:rPr>
                          <w:rFonts w:eastAsia="Arial Unicode MS"/>
                          <w:szCs w:val="24"/>
                          <w:lang w:val="en-GB" w:eastAsia="en-GB"/>
                        </w:rPr>
                        <w:t xml:space="preserve"> </w:t>
                      </w:r>
                    </w:p>
                    <w:p>
                      <w:pPr>
                        <w:rPr>
                          <w:sz w:val="20"/>
                        </w:rPr>
                      </w:pPr>
                    </w:p>
                  </w:sdtContent>
                </w:sdt>
              </w:sdtContent>
            </w:sdt>
            <w:sdt>
              <w:sdtPr>
                <w:alias w:val="8 p."/>
                <w:tag w:val="part_f63917355b5a4f30bb6febc7fd8f5237"/>
                <w:lock w:val="sdtLocked"/>
                <w:richText/>
              </w:sdtPr>
              <w:sdtContent>
                <w:p>
                  <w:pPr>
                    <w:keepNext/>
                    <w:keepLines/>
                    <w:ind w:left="360" w:hanging="360"/>
                    <w:rPr>
                      <w:rFonts w:eastAsia="Arial Unicode MS"/>
                      <w:b/>
                      <w:sz w:val="22"/>
                      <w:szCs w:val="22"/>
                      <w:lang w:val="en-US" w:eastAsia="en-GB"/>
                    </w:rPr>
                  </w:pPr>
                  <w:sdt>
                    <w:sdtPr>
                      <w:alias w:val="Numeris"/>
                      <w:tag w:val="nr_f63917355b5a4f30bb6febc7fd8f5237"/>
                      <w:lock w:val="sdtLocked"/>
                      <w:richText/>
                    </w:sdtPr>
                    <w:sdtContent>
                      <w:r>
                        <w:rPr>
                          <w:rFonts w:eastAsia="Arial Unicode MS"/>
                          <w:b/>
                          <w:sz w:val="22"/>
                          <w:szCs w:val="22"/>
                          <w:lang w:val="en-US" w:eastAsia="en-GB"/>
                        </w:rPr>
                        <w:t>8</w:t>
                      </w:r>
                    </w:sdtContent>
                  </w:sdt>
                  <w:r>
                    <w:rPr>
                      <w:rFonts w:eastAsia="Arial Unicode MS"/>
                      <w:b/>
                      <w:sz w:val="22"/>
                      <w:szCs w:val="22"/>
                      <w:lang w:val="en-US" w:eastAsia="en-GB"/>
                    </w:rPr>
                    <w:t>.</w:t>
                    <w:tab/>
                  </w:r>
                  <w:r>
                    <w:rPr>
                      <w:rFonts w:eastAsia="Arial Unicode MS"/>
                      <w:b/>
                      <w:sz w:val="22"/>
                      <w:szCs w:val="22"/>
                      <w:lang w:eastAsia="en-GB"/>
                    </w:rPr>
                    <w:t>Ginčų sprendimas</w:t>
                  </w:r>
                </w:p>
                <w:p>
                  <w:pPr>
                    <w:rPr>
                      <w:sz w:val="20"/>
                    </w:rPr>
                  </w:pPr>
                </w:p>
                <w:sdt>
                  <w:sdtPr>
                    <w:alias w:val="8.1 pp."/>
                    <w:tag w:val="part_9fead563a5aa45e488e1657d9225021d"/>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9fead563a5aa45e488e1657d9225021d"/>
                          <w:lock w:val="sdtLocked"/>
                          <w:richText/>
                        </w:sdtPr>
                        <w:sdtContent>
                          <w:r>
                            <w:rPr>
                              <w:rFonts w:eastAsia="Arial Unicode MS"/>
                              <w:szCs w:val="24"/>
                              <w:lang w:val="en-GB" w:eastAsia="en-GB"/>
                            </w:rPr>
                            <w:t>8.1</w:t>
                          </w:r>
                        </w:sdtContent>
                      </w:sdt>
                      <w:r>
                        <w:rPr>
                          <w:rFonts w:eastAsia="Arial Unicode MS"/>
                          <w:szCs w:val="24"/>
                          <w:lang w:val="en-GB" w:eastAsia="en-GB"/>
                        </w:rPr>
                        <w:t>.</w:t>
                        <w:tab/>
                      </w:r>
                      <w:r>
                        <w:rPr>
                          <w:rFonts w:eastAsia="Arial Unicode MS"/>
                          <w:szCs w:val="24"/>
                          <w:lang w:eastAsia="en-GB"/>
                        </w:rPr>
                        <w:t>Ši PA nėra sutartis pagal tarptautinę teisę.</w:t>
                      </w:r>
                      <w:r>
                        <w:rPr>
                          <w:rFonts w:eastAsia="Arial Unicode MS"/>
                          <w:szCs w:val="24"/>
                          <w:lang w:val="en-GB" w:eastAsia="en-GB"/>
                        </w:rPr>
                        <w:t xml:space="preserve"> </w:t>
                      </w:r>
                      <w:r>
                        <w:rPr>
                          <w:rFonts w:eastAsia="Arial Unicode MS"/>
                          <w:szCs w:val="24"/>
                          <w:lang w:eastAsia="en-GB"/>
                        </w:rPr>
                        <w:t>Jei tarptautiniai, ES ar nacionaliniai įstatymai ir kiti teisės aktai neleistų iš dalies ar visiškai įgyvendinti šios PA, cMs konsultuosis tarpusavyje, kad rastų sprendimą.</w:t>
                      </w:r>
                    </w:p>
                  </w:sdtContent>
                </w:sdt>
                <w:sdt>
                  <w:sdtPr>
                    <w:alias w:val="8.2 pp."/>
                    <w:tag w:val="part_c14258f8b91740728892dec63e6f80a7"/>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c14258f8b91740728892dec63e6f80a7"/>
                          <w:lock w:val="sdtLocked"/>
                          <w:richText/>
                        </w:sdtPr>
                        <w:sdtContent>
                          <w:r>
                            <w:rPr>
                              <w:rFonts w:eastAsia="Arial Unicode MS"/>
                              <w:szCs w:val="24"/>
                              <w:lang w:val="en-GB" w:eastAsia="en-GB"/>
                            </w:rPr>
                            <w:t>8.2</w:t>
                          </w:r>
                        </w:sdtContent>
                      </w:sdt>
                      <w:r>
                        <w:rPr>
                          <w:rFonts w:eastAsia="Arial Unicode MS"/>
                          <w:szCs w:val="24"/>
                          <w:lang w:val="en-GB" w:eastAsia="en-GB"/>
                        </w:rPr>
                        <w:t>.</w:t>
                        <w:tab/>
                      </w:r>
                      <w:r>
                        <w:rPr>
                          <w:rFonts w:eastAsia="Arial Unicode MS"/>
                          <w:szCs w:val="24"/>
                          <w:lang w:eastAsia="en-GB"/>
                        </w:rPr>
                        <w:t>Esant bet kokiam prieštaravimui tarp šios PA ir tarptautinių, Europos ar nacionalinių įstatymų ir taisyklių, taikomų cMs, pirmenybė teikiama pastariesiems.</w:t>
                      </w:r>
                      <w:r>
                        <w:rPr>
                          <w:rFonts w:eastAsia="Arial Unicode MS"/>
                          <w:szCs w:val="24"/>
                          <w:lang w:val="en-GB" w:eastAsia="en-GB"/>
                        </w:rPr>
                        <w:t xml:space="preserve"> </w:t>
                      </w:r>
                      <w:r>
                        <w:rPr>
                          <w:rFonts w:eastAsia="Arial Unicode MS"/>
                          <w:szCs w:val="24"/>
                          <w:lang w:eastAsia="en-GB"/>
                        </w:rPr>
                        <w:t>Kilus bet kokiam tokiam konfliktui, cMs praneša viena kitai.</w:t>
                      </w:r>
                    </w:p>
                  </w:sdtContent>
                </w:sdt>
                <w:sdt>
                  <w:sdtPr>
                    <w:alias w:val="8.3 pp."/>
                    <w:tag w:val="part_b78c874c5fcf4153877255d7b5141880"/>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b78c874c5fcf4153877255d7b5141880"/>
                          <w:lock w:val="sdtLocked"/>
                          <w:richText/>
                        </w:sdtPr>
                        <w:sdtContent>
                          <w:r>
                            <w:rPr>
                              <w:rFonts w:eastAsia="Arial Unicode MS"/>
                              <w:szCs w:val="24"/>
                              <w:lang w:val="en-GB" w:eastAsia="en-GB"/>
                            </w:rPr>
                            <w:t>8.3</w:t>
                          </w:r>
                        </w:sdtContent>
                      </w:sdt>
                      <w:r>
                        <w:rPr>
                          <w:rFonts w:eastAsia="Arial Unicode MS"/>
                          <w:szCs w:val="24"/>
                          <w:lang w:val="en-GB" w:eastAsia="en-GB"/>
                        </w:rPr>
                        <w:t>.</w:t>
                        <w:tab/>
                      </w:r>
                      <w:r>
                        <w:rPr>
                          <w:rFonts w:eastAsia="Arial Unicode MS"/>
                          <w:szCs w:val="24"/>
                          <w:lang w:eastAsia="en-GB"/>
                        </w:rPr>
                        <w:t>Visi šios PA aiškinimo ar taikymo skirtumai sprendžiami tik cMs konsultacijomis.</w:t>
                      </w:r>
                    </w:p>
                  </w:sdtContent>
                </w:sdt>
                <w:sdt>
                  <w:sdtPr>
                    <w:alias w:val="8.4 pp."/>
                    <w:tag w:val="part_d1ec1df35a4a42aabde11c839e68cbc9"/>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d1ec1df35a4a42aabde11c839e68cbc9"/>
                          <w:lock w:val="sdtLocked"/>
                          <w:richText/>
                        </w:sdtPr>
                        <w:sdtContent>
                          <w:r>
                            <w:rPr>
                              <w:rFonts w:eastAsia="Arial Unicode MS"/>
                              <w:szCs w:val="24"/>
                              <w:lang w:val="en-GB" w:eastAsia="en-GB"/>
                            </w:rPr>
                            <w:t>8.4</w:t>
                          </w:r>
                        </w:sdtContent>
                      </w:sdt>
                      <w:r>
                        <w:rPr>
                          <w:rFonts w:eastAsia="Arial Unicode MS"/>
                          <w:szCs w:val="24"/>
                          <w:lang w:val="en-GB" w:eastAsia="en-GB"/>
                        </w:rPr>
                        <w:t>.</w:t>
                        <w:tab/>
                      </w:r>
                      <w:r>
                        <w:rPr>
                          <w:rFonts w:eastAsia="Arial Unicode MS"/>
                          <w:szCs w:val="24"/>
                          <w:lang w:eastAsia="en-GB"/>
                        </w:rPr>
                        <w:t>Visu cM ginčai, kylantys dėl šios PA įgyvendinimo ar su juo susiję, sprendžiami pagal jų atitinkamus nacionalinius įstatymus, reglamentus, procedūras, ES ir tarptautinius teisinius įsipareigojimus ir išimtinai konsultacijų būdu.</w:t>
                      </w:r>
                    </w:p>
                    <w:p>
                      <w:pPr>
                        <w:rPr>
                          <w:sz w:val="20"/>
                        </w:rPr>
                      </w:pPr>
                    </w:p>
                  </w:sdtContent>
                </w:sdt>
              </w:sdtContent>
            </w:sdt>
            <w:sdt>
              <w:sdtPr>
                <w:alias w:val="9 p."/>
                <w:tag w:val="part_3979372898f7446d8f81ca2d4ce9230e"/>
                <w:lock w:val="sdtLocked"/>
                <w:richText/>
              </w:sdtPr>
              <w:sdtContent>
                <w:p>
                  <w:pPr>
                    <w:keepNext/>
                    <w:keepLines/>
                    <w:ind w:left="360" w:hanging="360"/>
                    <w:rPr>
                      <w:rFonts w:eastAsia="Arial Unicode MS"/>
                      <w:b/>
                      <w:sz w:val="22"/>
                      <w:szCs w:val="22"/>
                      <w:lang w:val="en-US" w:eastAsia="en-GB"/>
                    </w:rPr>
                  </w:pPr>
                  <w:sdt>
                    <w:sdtPr>
                      <w:alias w:val="Numeris"/>
                      <w:tag w:val="nr_3979372898f7446d8f81ca2d4ce9230e"/>
                      <w:lock w:val="sdtLocked"/>
                      <w:richText/>
                    </w:sdtPr>
                    <w:sdtContent>
                      <w:r>
                        <w:rPr>
                          <w:rFonts w:eastAsia="Arial Unicode MS"/>
                          <w:b/>
                          <w:sz w:val="22"/>
                          <w:szCs w:val="22"/>
                          <w:lang w:val="en-US" w:eastAsia="en-GB"/>
                        </w:rPr>
                        <w:t>9</w:t>
                      </w:r>
                    </w:sdtContent>
                  </w:sdt>
                  <w:r>
                    <w:rPr>
                      <w:rFonts w:eastAsia="Arial Unicode MS"/>
                      <w:b/>
                      <w:sz w:val="22"/>
                      <w:szCs w:val="22"/>
                      <w:lang w:val="en-US" w:eastAsia="en-GB"/>
                    </w:rPr>
                    <w:t>.</w:t>
                    <w:tab/>
                  </w:r>
                  <w:r>
                    <w:rPr>
                      <w:rFonts w:eastAsia="Arial Unicode MS"/>
                      <w:b/>
                      <w:sz w:val="22"/>
                      <w:szCs w:val="22"/>
                      <w:lang w:eastAsia="en-GB"/>
                    </w:rPr>
                    <w:t>Apsauga</w:t>
                  </w:r>
                </w:p>
                <w:p>
                  <w:pPr>
                    <w:rPr>
                      <w:sz w:val="20"/>
                    </w:rPr>
                  </w:pPr>
                </w:p>
                <w:sdt>
                  <w:sdtPr>
                    <w:alias w:val="9.1 pp."/>
                    <w:tag w:val="part_ff7d7a6504a84b329400e3e7de299090"/>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ff7d7a6504a84b329400e3e7de299090"/>
                          <w:lock w:val="sdtLocked"/>
                          <w:richText/>
                        </w:sdtPr>
                        <w:sdtContent>
                          <w:r>
                            <w:rPr>
                              <w:rFonts w:eastAsia="Arial Unicode MS"/>
                              <w:szCs w:val="24"/>
                              <w:lang w:val="en-GB" w:eastAsia="en-GB"/>
                            </w:rPr>
                            <w:t>9.1</w:t>
                          </w:r>
                        </w:sdtContent>
                      </w:sdt>
                      <w:r>
                        <w:rPr>
                          <w:rFonts w:eastAsia="Arial Unicode MS"/>
                          <w:szCs w:val="24"/>
                          <w:lang w:val="en-GB" w:eastAsia="en-GB"/>
                        </w:rPr>
                        <w:t>.</w:t>
                        <w:tab/>
                      </w:r>
                      <w:r>
                        <w:rPr>
                          <w:rFonts w:eastAsia="Arial Unicode MS"/>
                          <w:szCs w:val="24"/>
                          <w:lang w:eastAsia="en-GB"/>
                        </w:rPr>
                        <w:t>Įslaptinta informacija, kuria keičiamasi pagal šią PA, bus tvarkoma ir saugoma pagal galiojančius nacionalinius įstatymus ir kitus teisės aktus, galiojančius saugumo susitarimus ir priemones, įskaitant Tarybos sprendimą dėl ES įslaptintos informacijos apsaugos saugumo taisyklių (2013/488/ES).</w:t>
                      </w:r>
                      <w:r>
                        <w:rPr>
                          <w:rFonts w:eastAsia="Arial Unicode MS"/>
                          <w:szCs w:val="24"/>
                          <w:lang w:val="en-GB" w:eastAsia="en-GB"/>
                        </w:rPr>
                        <w:t xml:space="preserve"> </w:t>
                      </w:r>
                    </w:p>
                  </w:sdtContent>
                </w:sdt>
                <w:sdt>
                  <w:sdtPr>
                    <w:alias w:val="9.2 pp."/>
                    <w:tag w:val="part_a8d8c01bd1ac4a538e0b5bab2b9be79c"/>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a8d8c01bd1ac4a538e0b5bab2b9be79c"/>
                          <w:lock w:val="sdtLocked"/>
                          <w:richText/>
                        </w:sdtPr>
                        <w:sdtContent>
                          <w:r>
                            <w:rPr>
                              <w:rFonts w:eastAsia="Arial Unicode MS"/>
                              <w:szCs w:val="24"/>
                              <w:lang w:val="en-GB" w:eastAsia="en-GB"/>
                            </w:rPr>
                            <w:t>9.2</w:t>
                          </w:r>
                        </w:sdtContent>
                      </w:sdt>
                      <w:r>
                        <w:rPr>
                          <w:rFonts w:eastAsia="Arial Unicode MS"/>
                          <w:szCs w:val="24"/>
                          <w:lang w:val="en-GB" w:eastAsia="en-GB"/>
                        </w:rPr>
                        <w:t>.</w:t>
                        <w:tab/>
                      </w:r>
                      <w:r>
                        <w:rPr>
                          <w:rFonts w:eastAsia="Arial Unicode MS"/>
                          <w:szCs w:val="24"/>
                          <w:lang w:eastAsia="en-GB"/>
                        </w:rPr>
                        <w:t>Aukščiausias pagal šią PA ir su ja susijusius viešuosius pirkimus bei sutartis susijusios informacijos ES slaptumo žymos laipsnis yra „ES riboto naudojimo“.</w:t>
                      </w:r>
                    </w:p>
                  </w:sdtContent>
                </w:sdt>
                <w:sdt>
                  <w:sdtPr>
                    <w:alias w:val="9.3 pp."/>
                    <w:tag w:val="part_14c2eed813074560b5fe0e6438a3e78c"/>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14c2eed813074560b5fe0e6438a3e78c"/>
                          <w:lock w:val="sdtLocked"/>
                          <w:richText/>
                        </w:sdtPr>
                        <w:sdtContent>
                          <w:r>
                            <w:rPr>
                              <w:rFonts w:eastAsia="Arial Unicode MS"/>
                              <w:szCs w:val="24"/>
                              <w:lang w:val="en-GB" w:eastAsia="en-GB"/>
                            </w:rPr>
                            <w:t>9.3</w:t>
                          </w:r>
                        </w:sdtContent>
                      </w:sdt>
                      <w:r>
                        <w:rPr>
                          <w:rFonts w:eastAsia="Arial Unicode MS"/>
                          <w:szCs w:val="24"/>
                          <w:lang w:val="en-GB" w:eastAsia="en-GB"/>
                        </w:rPr>
                        <w:t>.</w:t>
                        <w:tab/>
                      </w:r>
                      <w:r>
                        <w:rPr>
                          <w:rFonts w:eastAsia="Arial Unicode MS"/>
                          <w:szCs w:val="24"/>
                          <w:lang w:eastAsia="en-GB"/>
                        </w:rPr>
                        <w:t>Jei to reikia vykdant šį projektą, PAMG gali susitarti dėl aukštesnio lygio klasifikavimo nereikalaudama keisti šio PA.</w:t>
                      </w:r>
                      <w:r>
                        <w:rPr>
                          <w:rFonts w:eastAsia="Arial Unicode MS"/>
                          <w:szCs w:val="24"/>
                          <w:lang w:val="en-GB" w:eastAsia="en-GB"/>
                        </w:rPr>
                        <w:t xml:space="preserve"> </w:t>
                      </w:r>
                    </w:p>
                    <w:p>
                      <w:pPr>
                        <w:rPr>
                          <w:sz w:val="20"/>
                        </w:rPr>
                      </w:pPr>
                    </w:p>
                  </w:sdtContent>
                </w:sdt>
              </w:sdtContent>
            </w:sdt>
            <w:sdt>
              <w:sdtPr>
                <w:alias w:val="10 p."/>
                <w:tag w:val="part_20e0814995af445f866579b7a13a633c"/>
                <w:lock w:val="sdtLocked"/>
                <w:richText/>
              </w:sdtPr>
              <w:sdtContent>
                <w:p>
                  <w:pPr>
                    <w:keepNext/>
                    <w:keepLines/>
                    <w:ind w:left="360" w:hanging="360"/>
                    <w:rPr>
                      <w:rFonts w:eastAsia="Arial Unicode MS"/>
                      <w:b/>
                      <w:sz w:val="22"/>
                      <w:szCs w:val="22"/>
                      <w:lang w:val="en-US" w:eastAsia="en-GB"/>
                    </w:rPr>
                  </w:pPr>
                  <w:sdt>
                    <w:sdtPr>
                      <w:alias w:val="Numeris"/>
                      <w:tag w:val="nr_20e0814995af445f866579b7a13a633c"/>
                      <w:lock w:val="sdtLocked"/>
                      <w:richText/>
                    </w:sdtPr>
                    <w:sdtContent>
                      <w:r>
                        <w:rPr>
                          <w:rFonts w:eastAsia="Arial Unicode MS"/>
                          <w:b/>
                          <w:sz w:val="22"/>
                          <w:szCs w:val="22"/>
                          <w:lang w:val="en-US" w:eastAsia="en-GB"/>
                        </w:rPr>
                        <w:t>10</w:t>
                      </w:r>
                    </w:sdtContent>
                  </w:sdt>
                  <w:r>
                    <w:rPr>
                      <w:rFonts w:eastAsia="Arial Unicode MS"/>
                      <w:b/>
                      <w:sz w:val="22"/>
                      <w:szCs w:val="22"/>
                      <w:lang w:val="en-US" w:eastAsia="en-GB"/>
                    </w:rPr>
                    <w:t>.</w:t>
                    <w:tab/>
                  </w:r>
                  <w:r>
                    <w:rPr>
                      <w:rFonts w:eastAsia="Arial Unicode MS"/>
                      <w:b/>
                      <w:sz w:val="22"/>
                      <w:szCs w:val="22"/>
                      <w:lang w:eastAsia="en-GB"/>
                    </w:rPr>
                    <w:t>Trukmė, pakeitimas, nutraukimas ir atšaukimas</w:t>
                  </w:r>
                </w:p>
                <w:p>
                  <w:pPr>
                    <w:rPr>
                      <w:sz w:val="20"/>
                    </w:rPr>
                  </w:pPr>
                </w:p>
              </w:sdtContent>
            </w:sdt>
            <w:sdt>
              <w:sdtPr>
                <w:alias w:val="1 p."/>
                <w:tag w:val="part_f4b0430119f24d4cab1027cb4bf66993"/>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f4b0430119f24d4cab1027cb4bf66993"/>
                      <w:lock w:val="sdtLocked"/>
                      <w:richText/>
                    </w:sdtPr>
                    <w:sdtContent>
                      <w:r>
                        <w:rPr>
                          <w:rFonts w:ascii="Franklin Gothic Book" w:hAnsi="Franklin Gothic Book" w:cs="Franklin Gothic Book"/>
                          <w:b/>
                          <w:bCs/>
                          <w:vanish/>
                          <w:spacing w:val="-1"/>
                          <w:sz w:val="23"/>
                          <w:szCs w:val="23"/>
                          <w:lang w:val="fr-FR" w:eastAsia="en-GB"/>
                        </w:rPr>
                        <w:t>1</w:t>
                      </w:r>
                    </w:sdtContent>
                  </w:sdt>
                  <w:r>
                    <w:rPr>
                      <w:rFonts w:ascii="Franklin Gothic Book" w:hAnsi="Franklin Gothic Book" w:cs="Franklin Gothic Book"/>
                      <w:b/>
                      <w:bCs/>
                      <w:vanish/>
                      <w:spacing w:val="-1"/>
                      <w:sz w:val="23"/>
                      <w:szCs w:val="23"/>
                      <w:lang w:val="fr-FR" w:eastAsia="en-GB"/>
                    </w:rPr>
                    <w:t>.</w:t>
                    <w:tab/>
                  </w:r>
                </w:p>
              </w:sdtContent>
            </w:sdt>
            <w:sdt>
              <w:sdtPr>
                <w:alias w:val="2 p."/>
                <w:tag w:val="part_b6f7c2a1589c4b12ace5bda28b63876d"/>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b6f7c2a1589c4b12ace5bda28b63876d"/>
                      <w:lock w:val="sdtLocked"/>
                      <w:richText/>
                    </w:sdtPr>
                    <w:sdtContent>
                      <w:r>
                        <w:rPr>
                          <w:rFonts w:ascii="Franklin Gothic Book" w:hAnsi="Franklin Gothic Book" w:cs="Franklin Gothic Book"/>
                          <w:b/>
                          <w:bCs/>
                          <w:vanish/>
                          <w:spacing w:val="-1"/>
                          <w:sz w:val="23"/>
                          <w:szCs w:val="23"/>
                          <w:lang w:val="fr-FR" w:eastAsia="en-GB"/>
                        </w:rPr>
                        <w:t>2</w:t>
                      </w:r>
                    </w:sdtContent>
                  </w:sdt>
                  <w:r>
                    <w:rPr>
                      <w:rFonts w:ascii="Franklin Gothic Book" w:hAnsi="Franklin Gothic Book" w:cs="Franklin Gothic Book"/>
                      <w:b/>
                      <w:bCs/>
                      <w:vanish/>
                      <w:spacing w:val="-1"/>
                      <w:sz w:val="23"/>
                      <w:szCs w:val="23"/>
                      <w:lang w:val="fr-FR" w:eastAsia="en-GB"/>
                    </w:rPr>
                    <w:t>.</w:t>
                    <w:tab/>
                  </w:r>
                </w:p>
              </w:sdtContent>
            </w:sdt>
            <w:sdt>
              <w:sdtPr>
                <w:alias w:val="3 p."/>
                <w:tag w:val="part_104683b52aac462a830351e1414da379"/>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104683b52aac462a830351e1414da379"/>
                      <w:lock w:val="sdtLocked"/>
                      <w:richText/>
                    </w:sdtPr>
                    <w:sdtContent>
                      <w:r>
                        <w:rPr>
                          <w:rFonts w:ascii="Franklin Gothic Book" w:hAnsi="Franklin Gothic Book" w:cs="Franklin Gothic Book"/>
                          <w:b/>
                          <w:bCs/>
                          <w:vanish/>
                          <w:spacing w:val="-1"/>
                          <w:sz w:val="23"/>
                          <w:szCs w:val="23"/>
                          <w:lang w:val="fr-FR" w:eastAsia="en-GB"/>
                        </w:rPr>
                        <w:t>3</w:t>
                      </w:r>
                    </w:sdtContent>
                  </w:sdt>
                  <w:r>
                    <w:rPr>
                      <w:rFonts w:ascii="Franklin Gothic Book" w:hAnsi="Franklin Gothic Book" w:cs="Franklin Gothic Book"/>
                      <w:b/>
                      <w:bCs/>
                      <w:vanish/>
                      <w:spacing w:val="-1"/>
                      <w:sz w:val="23"/>
                      <w:szCs w:val="23"/>
                      <w:lang w:val="fr-FR" w:eastAsia="en-GB"/>
                    </w:rPr>
                    <w:t>.</w:t>
                    <w:tab/>
                  </w:r>
                </w:p>
              </w:sdtContent>
            </w:sdt>
            <w:sdt>
              <w:sdtPr>
                <w:alias w:val="4 p."/>
                <w:tag w:val="part_ebc889d1853d4b04bcb84a2b63df0a8e"/>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ebc889d1853d4b04bcb84a2b63df0a8e"/>
                      <w:lock w:val="sdtLocked"/>
                      <w:richText/>
                    </w:sdtPr>
                    <w:sdtContent>
                      <w:r>
                        <w:rPr>
                          <w:rFonts w:ascii="Franklin Gothic Book" w:hAnsi="Franklin Gothic Book" w:cs="Franklin Gothic Book"/>
                          <w:b/>
                          <w:bCs/>
                          <w:vanish/>
                          <w:spacing w:val="-1"/>
                          <w:sz w:val="23"/>
                          <w:szCs w:val="23"/>
                          <w:lang w:val="fr-FR" w:eastAsia="en-GB"/>
                        </w:rPr>
                        <w:t>4</w:t>
                      </w:r>
                    </w:sdtContent>
                  </w:sdt>
                  <w:r>
                    <w:rPr>
                      <w:rFonts w:ascii="Franklin Gothic Book" w:hAnsi="Franklin Gothic Book" w:cs="Franklin Gothic Book"/>
                      <w:b/>
                      <w:bCs/>
                      <w:vanish/>
                      <w:spacing w:val="-1"/>
                      <w:sz w:val="23"/>
                      <w:szCs w:val="23"/>
                      <w:lang w:val="fr-FR" w:eastAsia="en-GB"/>
                    </w:rPr>
                    <w:t>.</w:t>
                    <w:tab/>
                  </w:r>
                </w:p>
              </w:sdtContent>
            </w:sdt>
            <w:sdt>
              <w:sdtPr>
                <w:alias w:val="5 p."/>
                <w:tag w:val="part_775f831de55f4ac8b1c746498374995e"/>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775f831de55f4ac8b1c746498374995e"/>
                      <w:lock w:val="sdtLocked"/>
                      <w:richText/>
                    </w:sdtPr>
                    <w:sdtContent>
                      <w:r>
                        <w:rPr>
                          <w:rFonts w:ascii="Franklin Gothic Book" w:hAnsi="Franklin Gothic Book" w:cs="Franklin Gothic Book"/>
                          <w:b/>
                          <w:bCs/>
                          <w:vanish/>
                          <w:spacing w:val="-1"/>
                          <w:sz w:val="23"/>
                          <w:szCs w:val="23"/>
                          <w:lang w:val="fr-FR" w:eastAsia="en-GB"/>
                        </w:rPr>
                        <w:t>5</w:t>
                      </w:r>
                    </w:sdtContent>
                  </w:sdt>
                  <w:r>
                    <w:rPr>
                      <w:rFonts w:ascii="Franklin Gothic Book" w:hAnsi="Franklin Gothic Book" w:cs="Franklin Gothic Book"/>
                      <w:b/>
                      <w:bCs/>
                      <w:vanish/>
                      <w:spacing w:val="-1"/>
                      <w:sz w:val="23"/>
                      <w:szCs w:val="23"/>
                      <w:lang w:val="fr-FR" w:eastAsia="en-GB"/>
                    </w:rPr>
                    <w:t>.</w:t>
                    <w:tab/>
                  </w:r>
                </w:p>
              </w:sdtContent>
            </w:sdt>
            <w:sdt>
              <w:sdtPr>
                <w:alias w:val="6 p."/>
                <w:tag w:val="part_7279dc4965bf47a3833eb9802b841d20"/>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7279dc4965bf47a3833eb9802b841d20"/>
                      <w:lock w:val="sdtLocked"/>
                      <w:richText/>
                    </w:sdtPr>
                    <w:sdtContent>
                      <w:r>
                        <w:rPr>
                          <w:rFonts w:ascii="Franklin Gothic Book" w:hAnsi="Franklin Gothic Book" w:cs="Franklin Gothic Book"/>
                          <w:b/>
                          <w:bCs/>
                          <w:vanish/>
                          <w:spacing w:val="-1"/>
                          <w:sz w:val="23"/>
                          <w:szCs w:val="23"/>
                          <w:lang w:val="fr-FR" w:eastAsia="en-GB"/>
                        </w:rPr>
                        <w:t>6</w:t>
                      </w:r>
                    </w:sdtContent>
                  </w:sdt>
                  <w:r>
                    <w:rPr>
                      <w:rFonts w:ascii="Franklin Gothic Book" w:hAnsi="Franklin Gothic Book" w:cs="Franklin Gothic Book"/>
                      <w:b/>
                      <w:bCs/>
                      <w:vanish/>
                      <w:spacing w:val="-1"/>
                      <w:sz w:val="23"/>
                      <w:szCs w:val="23"/>
                      <w:lang w:val="fr-FR" w:eastAsia="en-GB"/>
                    </w:rPr>
                    <w:t>.</w:t>
                    <w:tab/>
                  </w:r>
                </w:p>
              </w:sdtContent>
            </w:sdt>
            <w:sdt>
              <w:sdtPr>
                <w:alias w:val="7 p."/>
                <w:tag w:val="part_4caa6f5356914b91ae6e2f9fa9b55157"/>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4caa6f5356914b91ae6e2f9fa9b55157"/>
                      <w:lock w:val="sdtLocked"/>
                      <w:richText/>
                    </w:sdtPr>
                    <w:sdtContent>
                      <w:r>
                        <w:rPr>
                          <w:rFonts w:ascii="Franklin Gothic Book" w:hAnsi="Franklin Gothic Book" w:cs="Franklin Gothic Book"/>
                          <w:b/>
                          <w:bCs/>
                          <w:vanish/>
                          <w:spacing w:val="-1"/>
                          <w:sz w:val="23"/>
                          <w:szCs w:val="23"/>
                          <w:lang w:val="fr-FR" w:eastAsia="en-GB"/>
                        </w:rPr>
                        <w:t>7</w:t>
                      </w:r>
                    </w:sdtContent>
                  </w:sdt>
                  <w:r>
                    <w:rPr>
                      <w:rFonts w:ascii="Franklin Gothic Book" w:hAnsi="Franklin Gothic Book" w:cs="Franklin Gothic Book"/>
                      <w:b/>
                      <w:bCs/>
                      <w:vanish/>
                      <w:spacing w:val="-1"/>
                      <w:sz w:val="23"/>
                      <w:szCs w:val="23"/>
                      <w:lang w:val="fr-FR" w:eastAsia="en-GB"/>
                    </w:rPr>
                    <w:t>.</w:t>
                    <w:tab/>
                  </w:r>
                </w:p>
              </w:sdtContent>
            </w:sdt>
            <w:sdt>
              <w:sdtPr>
                <w:alias w:val="8 p."/>
                <w:tag w:val="part_b094107506304839bebbf468d1e0bdc6"/>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b094107506304839bebbf468d1e0bdc6"/>
                      <w:lock w:val="sdtLocked"/>
                      <w:richText/>
                    </w:sdtPr>
                    <w:sdtContent>
                      <w:r>
                        <w:rPr>
                          <w:rFonts w:ascii="Franklin Gothic Book" w:hAnsi="Franklin Gothic Book" w:cs="Franklin Gothic Book"/>
                          <w:b/>
                          <w:bCs/>
                          <w:vanish/>
                          <w:spacing w:val="-1"/>
                          <w:sz w:val="23"/>
                          <w:szCs w:val="23"/>
                          <w:lang w:val="fr-FR" w:eastAsia="en-GB"/>
                        </w:rPr>
                        <w:t>8</w:t>
                      </w:r>
                    </w:sdtContent>
                  </w:sdt>
                  <w:r>
                    <w:rPr>
                      <w:rFonts w:ascii="Franklin Gothic Book" w:hAnsi="Franklin Gothic Book" w:cs="Franklin Gothic Book"/>
                      <w:b/>
                      <w:bCs/>
                      <w:vanish/>
                      <w:spacing w:val="-1"/>
                      <w:sz w:val="23"/>
                      <w:szCs w:val="23"/>
                      <w:lang w:val="fr-FR" w:eastAsia="en-GB"/>
                    </w:rPr>
                    <w:t>.</w:t>
                    <w:tab/>
                  </w:r>
                </w:p>
              </w:sdtContent>
            </w:sdt>
            <w:sdt>
              <w:sdtPr>
                <w:alias w:val="9 p."/>
                <w:tag w:val="part_102ae95d3134450b9101c7c8ddd45f5b"/>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102ae95d3134450b9101c7c8ddd45f5b"/>
                      <w:lock w:val="sdtLocked"/>
                      <w:richText/>
                    </w:sdtPr>
                    <w:sdtContent>
                      <w:r>
                        <w:rPr>
                          <w:rFonts w:ascii="Franklin Gothic Book" w:hAnsi="Franklin Gothic Book" w:cs="Franklin Gothic Book"/>
                          <w:b/>
                          <w:bCs/>
                          <w:vanish/>
                          <w:spacing w:val="-1"/>
                          <w:sz w:val="23"/>
                          <w:szCs w:val="23"/>
                          <w:lang w:val="fr-FR" w:eastAsia="en-GB"/>
                        </w:rPr>
                        <w:t>9</w:t>
                      </w:r>
                    </w:sdtContent>
                  </w:sdt>
                  <w:r>
                    <w:rPr>
                      <w:rFonts w:ascii="Franklin Gothic Book" w:hAnsi="Franklin Gothic Book" w:cs="Franklin Gothic Book"/>
                      <w:b/>
                      <w:bCs/>
                      <w:vanish/>
                      <w:spacing w:val="-1"/>
                      <w:sz w:val="23"/>
                      <w:szCs w:val="23"/>
                      <w:lang w:val="fr-FR" w:eastAsia="en-GB"/>
                    </w:rPr>
                    <w:t>.</w:t>
                    <w:tab/>
                  </w:r>
                </w:p>
              </w:sdtContent>
            </w:sdt>
            <w:sdt>
              <w:sdtPr>
                <w:alias w:val="10 p."/>
                <w:tag w:val="part_2968054f428e4e51b6899905b2ae05e0"/>
                <w:lock w:val="sdtLocked"/>
                <w:richText/>
              </w:sdtPr>
              <w:sdtContent>
                <w:p>
                  <w:pPr>
                    <w:widowControl w:val="0"/>
                    <w:tabs>
                      <w:tab w:val="left" w:pos="1594"/>
                    </w:tabs>
                    <w:spacing w:line="360" w:lineRule="auto"/>
                    <w:ind w:left="803" w:hanging="284"/>
                    <w:jc w:val="right"/>
                    <w:rPr>
                      <w:rFonts w:eastAsia="Arial Unicode MS"/>
                      <w:b/>
                      <w:vanish/>
                      <w:szCs w:val="24"/>
                      <w:lang w:val="en-US" w:eastAsia="en-GB"/>
                    </w:rPr>
                  </w:pPr>
                  <w:sdt>
                    <w:sdtPr>
                      <w:alias w:val="Numeris"/>
                      <w:tag w:val="nr_2968054f428e4e51b6899905b2ae05e0"/>
                      <w:lock w:val="sdtLocked"/>
                      <w:richText/>
                    </w:sdtPr>
                    <w:sdtContent>
                      <w:r>
                        <w:rPr>
                          <w:rFonts w:ascii="Franklin Gothic Book" w:hAnsi="Franklin Gothic Book" w:cs="Franklin Gothic Book"/>
                          <w:b/>
                          <w:bCs/>
                          <w:vanish/>
                          <w:spacing w:val="-1"/>
                          <w:sz w:val="23"/>
                          <w:szCs w:val="23"/>
                          <w:lang w:val="fr-FR" w:eastAsia="en-GB"/>
                        </w:rPr>
                        <w:t>10</w:t>
                      </w:r>
                    </w:sdtContent>
                  </w:sdt>
                  <w:r>
                    <w:rPr>
                      <w:rFonts w:ascii="Franklin Gothic Book" w:hAnsi="Franklin Gothic Book" w:cs="Franklin Gothic Book"/>
                      <w:b/>
                      <w:bCs/>
                      <w:vanish/>
                      <w:spacing w:val="-1"/>
                      <w:sz w:val="23"/>
                      <w:szCs w:val="23"/>
                      <w:lang w:val="fr-FR" w:eastAsia="en-GB"/>
                    </w:rPr>
                    <w:t>.</w:t>
                    <w:tab/>
                  </w:r>
                </w:p>
                <w:sdt>
                  <w:sdtPr>
                    <w:alias w:val="10.1 pp."/>
                    <w:tag w:val="part_19e88f98ce844065b79e03c301f02383"/>
                    <w:lock w:val="sdtLocked"/>
                    <w:richText/>
                  </w:sdtPr>
                  <w:sdtContent>
                    <w:p>
                      <w:pPr>
                        <w:widowControl w:val="0"/>
                        <w:tabs>
                          <w:tab w:val="left" w:pos="1594"/>
                        </w:tabs>
                        <w:spacing w:line="360" w:lineRule="auto"/>
                        <w:ind w:left="851" w:right="-3" w:hanging="284"/>
                        <w:jc w:val="both"/>
                        <w:rPr>
                          <w:rFonts w:eastAsia="Arial Unicode MS"/>
                          <w:b/>
                          <w:szCs w:val="24"/>
                          <w:lang w:val="en-US" w:eastAsia="en-GB"/>
                        </w:rPr>
                      </w:pPr>
                      <w:sdt>
                        <w:sdtPr>
                          <w:alias w:val="Numeris"/>
                          <w:tag w:val="nr_19e88f98ce844065b79e03c301f02383"/>
                          <w:lock w:val="sdtLocked"/>
                          <w:richText/>
                        </w:sdtPr>
                        <w:sdtContent>
                          <w:r>
                            <w:rPr>
                              <w:szCs w:val="24"/>
                              <w:lang w:val="fr-FR" w:eastAsia="en-GB"/>
                            </w:rPr>
                            <w:t>10.1</w:t>
                          </w:r>
                        </w:sdtContent>
                      </w:sdt>
                      <w:r>
                        <w:rPr>
                          <w:szCs w:val="24"/>
                          <w:lang w:val="fr-FR" w:eastAsia="en-GB"/>
                        </w:rPr>
                        <w:tab/>
                      </w:r>
                      <w:r>
                        <w:rPr>
                          <w:rFonts w:eastAsia="Arial Unicode MS"/>
                          <w:b/>
                          <w:szCs w:val="24"/>
                          <w:lang w:eastAsia="en-GB"/>
                        </w:rPr>
                        <w:t>Trukmė</w:t>
                      </w:r>
                    </w:p>
                    <w:p>
                      <w:pPr>
                        <w:widowControl w:val="0"/>
                        <w:tabs>
                          <w:tab w:val="left" w:pos="1594"/>
                          <w:tab w:val="left" w:pos="10206"/>
                        </w:tabs>
                        <w:spacing w:line="360" w:lineRule="auto"/>
                        <w:ind w:left="851" w:right="-3"/>
                        <w:jc w:val="both"/>
                        <w:rPr>
                          <w:rFonts w:eastAsia="Arial Unicode MS"/>
                          <w:sz w:val="22"/>
                          <w:szCs w:val="22"/>
                          <w:lang w:val="en-GB" w:eastAsia="en-GB"/>
                        </w:rPr>
                      </w:pPr>
                      <w:r>
                        <w:rPr>
                          <w:rFonts w:eastAsia="Arial Unicode MS"/>
                          <w:sz w:val="22"/>
                          <w:szCs w:val="22"/>
                          <w:lang w:eastAsia="en-GB"/>
                        </w:rPr>
                        <w:t>Ši PA galios 8 (aštuonerius) metus ir bus tyliai pratęsiama vėlesniems 8 (aštuonerių) metų laikotarpiams, nebent cMs vienbalsiai nuspręstų nepratęsti jos galiojimo.</w:t>
                      </w:r>
                    </w:p>
                  </w:sdtContent>
                </w:sdt>
                <w:sdt>
                  <w:sdtPr>
                    <w:alias w:val="10.2 pp."/>
                    <w:tag w:val="part_03e418c5d0ab4a93af84519f4d14f482"/>
                    <w:lock w:val="sdtLocked"/>
                    <w:richText/>
                  </w:sdtPr>
                  <w:sdtContent>
                    <w:p>
                      <w:pPr>
                        <w:widowControl w:val="0"/>
                        <w:tabs>
                          <w:tab w:val="left" w:pos="1594"/>
                        </w:tabs>
                        <w:spacing w:line="360" w:lineRule="auto"/>
                        <w:ind w:left="851" w:right="-3" w:hanging="284"/>
                        <w:jc w:val="both"/>
                        <w:rPr>
                          <w:rFonts w:eastAsia="Arial Unicode MS"/>
                          <w:b/>
                          <w:szCs w:val="24"/>
                          <w:lang w:val="en-US" w:eastAsia="en-GB"/>
                        </w:rPr>
                      </w:pPr>
                      <w:sdt>
                        <w:sdtPr>
                          <w:alias w:val="Numeris"/>
                          <w:tag w:val="nr_03e418c5d0ab4a93af84519f4d14f482"/>
                          <w:lock w:val="sdtLocked"/>
                          <w:richText/>
                        </w:sdtPr>
                        <w:sdtContent>
                          <w:r>
                            <w:rPr>
                              <w:szCs w:val="24"/>
                              <w:lang w:val="fr-FR" w:eastAsia="en-GB"/>
                            </w:rPr>
                            <w:t>10.2</w:t>
                          </w:r>
                        </w:sdtContent>
                      </w:sdt>
                      <w:r>
                        <w:rPr>
                          <w:szCs w:val="24"/>
                          <w:lang w:val="fr-FR" w:eastAsia="en-GB"/>
                        </w:rPr>
                        <w:tab/>
                      </w:r>
                      <w:r>
                        <w:rPr>
                          <w:rFonts w:eastAsia="Arial Unicode MS"/>
                          <w:b/>
                          <w:szCs w:val="24"/>
                          <w:lang w:eastAsia="en-GB"/>
                        </w:rPr>
                        <w:t>Pakeitimas</w:t>
                      </w:r>
                    </w:p>
                    <w:sdt>
                      <w:sdtPr>
                        <w:alias w:val="10.2.1 pp."/>
                        <w:tag w:val="part_45473d6fff43479ba6e9b54eb97e9f74"/>
                        <w:lock w:val="sdtLocked"/>
                        <w:richText/>
                      </w:sdtPr>
                      <w:sdtContent>
                        <w:p>
                          <w:pPr>
                            <w:widowControl w:val="0"/>
                            <w:tabs>
                              <w:tab w:val="left" w:pos="1594"/>
                              <w:tab w:val="left" w:pos="10206"/>
                            </w:tabs>
                            <w:spacing w:line="360" w:lineRule="auto"/>
                            <w:ind w:left="851" w:right="-3" w:hanging="142"/>
                            <w:jc w:val="both"/>
                            <w:rPr>
                              <w:rFonts w:eastAsia="Arial Unicode MS"/>
                              <w:szCs w:val="24"/>
                              <w:lang w:val="en-GB" w:eastAsia="en-GB"/>
                            </w:rPr>
                          </w:pPr>
                          <w:sdt>
                            <w:sdtPr>
                              <w:alias w:val="Numeris"/>
                              <w:tag w:val="nr_45473d6fff43479ba6e9b54eb97e9f74"/>
                              <w:lock w:val="sdtLocked"/>
                              <w:richText/>
                            </w:sdtPr>
                            <w:sdtContent>
                              <w:r>
                                <w:rPr>
                                  <w:szCs w:val="24"/>
                                  <w:lang w:val="en-GB" w:eastAsia="en-GB"/>
                                </w:rPr>
                                <w:t>10.2.1</w:t>
                              </w:r>
                            </w:sdtContent>
                          </w:sdt>
                          <w:r>
                            <w:rPr>
                              <w:szCs w:val="24"/>
                              <w:lang w:val="en-GB" w:eastAsia="en-GB"/>
                            </w:rPr>
                            <w:tab/>
                          </w:r>
                          <w:r>
                            <w:rPr>
                              <w:rFonts w:eastAsia="Arial Unicode MS"/>
                              <w:szCs w:val="24"/>
                              <w:lang w:val="en-GB" w:eastAsia="en-GB"/>
                            </w:rPr>
                            <w:t xml:space="preserve"> </w:t>
                          </w:r>
                          <w:r>
                            <w:rPr>
                              <w:rFonts w:eastAsia="Arial Unicode MS"/>
                              <w:szCs w:val="24"/>
                              <w:lang w:eastAsia="en-GB"/>
                            </w:rPr>
                            <w:t>Per pirmuosius 6 (šešis) mėnesius nuo šios PA įsigaliojimo dienos negalima daryti jokių jos pakeitimų.</w:t>
                          </w:r>
                          <w:r>
                            <w:rPr>
                              <w:rFonts w:eastAsia="Arial Unicode MS"/>
                              <w:szCs w:val="24"/>
                              <w:lang w:val="en-GB" w:eastAsia="en-GB"/>
                            </w:rPr>
                            <w:t xml:space="preserve"> </w:t>
                          </w:r>
                          <w:r>
                            <w:rPr>
                              <w:rFonts w:eastAsia="Arial Unicode MS"/>
                              <w:szCs w:val="24"/>
                              <w:lang w:eastAsia="en-GB"/>
                            </w:rPr>
                            <w:t>Vėliau ši PA gali būti iš dalies keičiama bet kuriuo metu raštu vienbalsiu visų cM, kurioms ši PA įsigaliojo, sprendimu.</w:t>
                          </w:r>
                          <w:r>
                            <w:rPr>
                              <w:rFonts w:eastAsia="Arial Unicode MS"/>
                              <w:szCs w:val="24"/>
                              <w:lang w:val="en-GB" w:eastAsia="en-GB"/>
                            </w:rPr>
                            <w:t xml:space="preserve"> </w:t>
                          </w:r>
                        </w:p>
                      </w:sdtContent>
                    </w:sdt>
                    <w:sdt>
                      <w:sdtPr>
                        <w:alias w:val="10.2.2 pp."/>
                        <w:tag w:val="part_a8fc3d66ab9a41cf94b545e1046d070c"/>
                        <w:lock w:val="sdtLocked"/>
                        <w:richText/>
                      </w:sdtPr>
                      <w:sdtContent>
                        <w:p>
                          <w:pPr>
                            <w:widowControl w:val="0"/>
                            <w:tabs>
                              <w:tab w:val="left" w:pos="1594"/>
                            </w:tabs>
                            <w:spacing w:line="360" w:lineRule="auto"/>
                            <w:ind w:left="851" w:right="-3" w:hanging="142"/>
                            <w:jc w:val="both"/>
                            <w:rPr>
                              <w:rFonts w:eastAsia="Arial Unicode MS"/>
                              <w:szCs w:val="24"/>
                              <w:lang w:val="en-GB" w:eastAsia="en-GB"/>
                            </w:rPr>
                          </w:pPr>
                          <w:sdt>
                            <w:sdtPr>
                              <w:alias w:val="Numeris"/>
                              <w:tag w:val="nr_a8fc3d66ab9a41cf94b545e1046d070c"/>
                              <w:lock w:val="sdtLocked"/>
                              <w:richText/>
                            </w:sdtPr>
                            <w:sdtContent>
                              <w:r>
                                <w:rPr>
                                  <w:szCs w:val="24"/>
                                  <w:lang w:val="en-GB" w:eastAsia="en-GB"/>
                                </w:rPr>
                                <w:t>10.2.2</w:t>
                              </w:r>
                            </w:sdtContent>
                          </w:sdt>
                          <w:r>
                            <w:rPr>
                              <w:szCs w:val="24"/>
                              <w:lang w:val="en-GB" w:eastAsia="en-GB"/>
                            </w:rPr>
                            <w:tab/>
                          </w:r>
                          <w:r>
                            <w:rPr>
                              <w:rFonts w:eastAsia="Arial Unicode MS"/>
                              <w:szCs w:val="24"/>
                              <w:lang w:eastAsia="en-GB"/>
                            </w:rPr>
                            <w:t>Šios PA tituliniame puslapyje esantys priedų ir cMs sąrašo pakeitimai nelaikomi pakeitimais.</w:t>
                          </w:r>
                          <w:r>
                            <w:rPr>
                              <w:rFonts w:eastAsia="Arial Unicode MS"/>
                              <w:szCs w:val="24"/>
                              <w:lang w:val="en-GB" w:eastAsia="en-GB"/>
                            </w:rPr>
                            <w:t xml:space="preserve"> </w:t>
                          </w:r>
                          <w:r>
                            <w:rPr>
                              <w:rFonts w:eastAsia="Arial Unicode MS"/>
                              <w:szCs w:val="24"/>
                              <w:lang w:eastAsia="en-GB"/>
                            </w:rPr>
                            <w:t>Priedai ir titulinis puslapis gali būti atnaujinami bet kuriuo metu, atitinkamoms cM raštu pranešus EGA.</w:t>
                          </w:r>
                          <w:r>
                            <w:rPr>
                              <w:rFonts w:eastAsia="Arial Unicode MS"/>
                              <w:szCs w:val="24"/>
                              <w:lang w:val="en-GB" w:eastAsia="en-GB"/>
                            </w:rPr>
                            <w:t xml:space="preserve"> </w:t>
                          </w:r>
                          <w:r>
                            <w:rPr>
                              <w:rFonts w:eastAsia="Arial Unicode MS"/>
                              <w:szCs w:val="24"/>
                              <w:lang w:eastAsia="en-GB"/>
                            </w:rPr>
                            <w:t>EGA praneš apie pakeitimą PAMG, kad ši jį patvirtintų.</w:t>
                          </w:r>
                        </w:p>
                      </w:sdtContent>
                    </w:sdt>
                  </w:sdtContent>
                </w:sdt>
                <w:sdt>
                  <w:sdtPr>
                    <w:alias w:val="10.3 pp."/>
                    <w:tag w:val="part_231b064d520a48e7867a05c7196f885e"/>
                    <w:lock w:val="sdtLocked"/>
                    <w:richText/>
                  </w:sdtPr>
                  <w:sdtContent>
                    <w:p>
                      <w:pPr>
                        <w:widowControl w:val="0"/>
                        <w:tabs>
                          <w:tab w:val="left" w:pos="1594"/>
                        </w:tabs>
                        <w:spacing w:line="360" w:lineRule="auto"/>
                        <w:ind w:left="851" w:right="-3" w:hanging="284"/>
                        <w:jc w:val="both"/>
                        <w:rPr>
                          <w:rFonts w:eastAsia="Arial Unicode MS"/>
                          <w:b/>
                          <w:szCs w:val="24"/>
                          <w:lang w:val="en-US" w:eastAsia="en-GB"/>
                        </w:rPr>
                      </w:pPr>
                      <w:sdt>
                        <w:sdtPr>
                          <w:alias w:val="Numeris"/>
                          <w:tag w:val="nr_231b064d520a48e7867a05c7196f885e"/>
                          <w:lock w:val="sdtLocked"/>
                          <w:richText/>
                        </w:sdtPr>
                        <w:sdtContent>
                          <w:r>
                            <w:rPr>
                              <w:szCs w:val="24"/>
                              <w:lang w:val="fr-FR" w:eastAsia="en-GB"/>
                            </w:rPr>
                            <w:t>10.3</w:t>
                          </w:r>
                        </w:sdtContent>
                      </w:sdt>
                      <w:r>
                        <w:rPr>
                          <w:szCs w:val="24"/>
                          <w:lang w:val="fr-FR" w:eastAsia="en-GB"/>
                        </w:rPr>
                        <w:tab/>
                      </w:r>
                      <w:r>
                        <w:rPr>
                          <w:rFonts w:eastAsia="Arial Unicode MS"/>
                          <w:b/>
                          <w:szCs w:val="24"/>
                          <w:lang w:eastAsia="en-GB"/>
                        </w:rPr>
                        <w:t>Pasitraukimas</w:t>
                      </w:r>
                    </w:p>
                    <w:sdt>
                      <w:sdtPr>
                        <w:alias w:val="10.3.1 pp."/>
                        <w:tag w:val="part_c4bafedc94fc441884d9c4bbc52e4305"/>
                        <w:lock w:val="sdtLocked"/>
                        <w:richText/>
                      </w:sdtPr>
                      <w:sdtContent>
                        <w:p>
                          <w:pPr>
                            <w:widowControl w:val="0"/>
                            <w:tabs>
                              <w:tab w:val="left" w:pos="1601"/>
                            </w:tabs>
                            <w:spacing w:line="360" w:lineRule="auto"/>
                            <w:ind w:left="851" w:right="-3" w:hanging="142"/>
                            <w:jc w:val="both"/>
                            <w:rPr>
                              <w:rFonts w:eastAsia="Arial Unicode MS"/>
                              <w:szCs w:val="24"/>
                              <w:lang w:val="en-GB" w:eastAsia="en-GB"/>
                            </w:rPr>
                          </w:pPr>
                          <w:sdt>
                            <w:sdtPr>
                              <w:alias w:val="Numeris"/>
                              <w:tag w:val="nr_c4bafedc94fc441884d9c4bbc52e4305"/>
                              <w:lock w:val="sdtLocked"/>
                              <w:richText/>
                            </w:sdtPr>
                            <w:sdtContent>
                              <w:r>
                                <w:rPr>
                                  <w:szCs w:val="24"/>
                                  <w:lang w:val="en-GB" w:eastAsia="en-GB"/>
                                </w:rPr>
                                <w:t>10.3.1</w:t>
                              </w:r>
                            </w:sdtContent>
                          </w:sdt>
                          <w:r>
                            <w:rPr>
                              <w:szCs w:val="24"/>
                              <w:lang w:val="en-GB" w:eastAsia="en-GB"/>
                            </w:rPr>
                            <w:tab/>
                          </w:r>
                          <w:r>
                            <w:rPr>
                              <w:rFonts w:eastAsia="Arial Unicode MS"/>
                              <w:szCs w:val="24"/>
                              <w:lang w:eastAsia="en-GB"/>
                            </w:rPr>
                            <w:t>CM gali pasitraukti iš šios PA, pateikdama vienašališką rašytinį pranešimą EGA. Pasitraukimas įsigalioja praėjus 6 (šešiems) mėnesiams nuo pranešimo gavimo dienos.</w:t>
                          </w:r>
                          <w:r>
                            <w:rPr>
                              <w:rFonts w:eastAsia="Arial Unicode MS"/>
                              <w:szCs w:val="24"/>
                              <w:lang w:val="en-US" w:eastAsia="en-GB"/>
                            </w:rPr>
                            <w:t xml:space="preserve"> </w:t>
                          </w:r>
                          <w:r>
                            <w:rPr>
                              <w:rFonts w:eastAsia="Arial Unicode MS"/>
                              <w:szCs w:val="24"/>
                              <w:lang w:eastAsia="en-GB"/>
                            </w:rPr>
                            <w:t>Visi pasitraukiančios cM įsipareigojimai, susiję su atsakomybe ir pretenzijomis (7 skirsnis), ginčų sprendimu (8 skirsnis), saugumu (9 skirsnis), nutraukimu (10.4 skirsnis), pasirašymu ir įsigaliojimu (12 skirsnis), pasirašyti iki pasitraukimo datos, galios ir po pasitraukimo dienos.</w:t>
                          </w:r>
                          <w:r>
                            <w:rPr>
                              <w:rFonts w:eastAsia="Arial Unicode MS"/>
                              <w:szCs w:val="24"/>
                              <w:lang w:val="en-US" w:eastAsia="en-GB"/>
                            </w:rPr>
                            <w:t xml:space="preserve"> </w:t>
                          </w:r>
                          <w:r>
                            <w:rPr>
                              <w:rFonts w:eastAsia="Arial Unicode MS"/>
                              <w:szCs w:val="24"/>
                              <w:lang w:eastAsia="en-GB"/>
                            </w:rPr>
                            <w:t>Finansiniai įsipareigojimai, nurodyti OF (ir išvesti iš WO) iki pasitraukimo, turi būti vykdomi ir po pasitraukimo.</w:t>
                          </w:r>
                          <w:r>
                            <w:rPr>
                              <w:rFonts w:eastAsia="Arial Unicode MS"/>
                              <w:szCs w:val="24"/>
                              <w:lang w:val="en-US" w:eastAsia="en-GB"/>
                            </w:rPr>
                            <w:t xml:space="preserve"> </w:t>
                          </w:r>
                        </w:p>
                      </w:sdtContent>
                    </w:sdt>
                    <w:sdt>
                      <w:sdtPr>
                        <w:alias w:val="10.3.2 pp."/>
                        <w:tag w:val="part_04168a0919ec40ceb851a55f1b3f0360"/>
                        <w:lock w:val="sdtLocked"/>
                        <w:richText/>
                      </w:sdtPr>
                      <w:sdtContent>
                        <w:p>
                          <w:pPr>
                            <w:widowControl w:val="0"/>
                            <w:tabs>
                              <w:tab w:val="left" w:pos="1598"/>
                            </w:tabs>
                            <w:spacing w:line="360" w:lineRule="auto"/>
                            <w:ind w:left="851" w:right="-3" w:hanging="142"/>
                            <w:jc w:val="both"/>
                            <w:rPr>
                              <w:rFonts w:eastAsia="Arial Unicode MS"/>
                              <w:szCs w:val="24"/>
                              <w:lang w:val="en-GB" w:eastAsia="en-GB"/>
                            </w:rPr>
                          </w:pPr>
                          <w:sdt>
                            <w:sdtPr>
                              <w:alias w:val="Numeris"/>
                              <w:tag w:val="nr_04168a0919ec40ceb851a55f1b3f0360"/>
                              <w:lock w:val="sdtLocked"/>
                              <w:richText/>
                            </w:sdtPr>
                            <w:sdtContent>
                              <w:r>
                                <w:rPr>
                                  <w:szCs w:val="24"/>
                                  <w:lang w:val="en-GB" w:eastAsia="en-GB"/>
                                </w:rPr>
                                <w:t>10.3.2</w:t>
                              </w:r>
                            </w:sdtContent>
                          </w:sdt>
                          <w:r>
                            <w:rPr>
                              <w:szCs w:val="24"/>
                              <w:lang w:val="en-GB" w:eastAsia="en-GB"/>
                            </w:rPr>
                            <w:tab/>
                          </w:r>
                          <w:r>
                            <w:rPr>
                              <w:rFonts w:eastAsia="Arial Unicode MS"/>
                              <w:szCs w:val="24"/>
                              <w:lang w:eastAsia="en-GB"/>
                            </w:rPr>
                            <w:t>EGA per septynias (7) dienas nuo pranešimo apie narystės šioje PA pasikeitimą apie tai praneš kitoms šios PA narėms.</w:t>
                          </w:r>
                        </w:p>
                      </w:sdtContent>
                    </w:sdt>
                  </w:sdtContent>
                </w:sdt>
                <w:sdt>
                  <w:sdtPr>
                    <w:alias w:val="10.4 pp."/>
                    <w:tag w:val="part_39f4fa761e1c493d841eb2d610ff7e3e"/>
                    <w:lock w:val="sdtLocked"/>
                    <w:richText/>
                  </w:sdtPr>
                  <w:sdtContent>
                    <w:p>
                      <w:pPr>
                        <w:widowControl w:val="0"/>
                        <w:tabs>
                          <w:tab w:val="left" w:pos="1373"/>
                        </w:tabs>
                        <w:spacing w:line="360" w:lineRule="auto"/>
                        <w:ind w:left="851" w:right="-3" w:hanging="284"/>
                        <w:jc w:val="both"/>
                        <w:rPr>
                          <w:rFonts w:eastAsia="Arial Unicode MS"/>
                          <w:b/>
                          <w:szCs w:val="24"/>
                          <w:lang w:val="en-US" w:eastAsia="en-GB"/>
                        </w:rPr>
                      </w:pPr>
                      <w:sdt>
                        <w:sdtPr>
                          <w:alias w:val="Numeris"/>
                          <w:tag w:val="nr_39f4fa761e1c493d841eb2d610ff7e3e"/>
                          <w:lock w:val="sdtLocked"/>
                          <w:richText/>
                        </w:sdtPr>
                        <w:sdtContent>
                          <w:r>
                            <w:rPr>
                              <w:szCs w:val="24"/>
                              <w:lang w:val="fr-FR" w:eastAsia="en-GB"/>
                            </w:rPr>
                            <w:t>10.4</w:t>
                          </w:r>
                        </w:sdtContent>
                      </w:sdt>
                      <w:r>
                        <w:rPr>
                          <w:szCs w:val="24"/>
                          <w:lang w:val="fr-FR" w:eastAsia="en-GB"/>
                        </w:rPr>
                        <w:tab/>
                      </w:r>
                      <w:r>
                        <w:rPr>
                          <w:rFonts w:eastAsia="Arial Unicode MS"/>
                          <w:b/>
                          <w:szCs w:val="24"/>
                          <w:lang w:eastAsia="en-GB"/>
                        </w:rPr>
                        <w:t>Nutraukimas</w:t>
                      </w:r>
                    </w:p>
                    <w:sdt>
                      <w:sdtPr>
                        <w:alias w:val="10.4.1 pp."/>
                        <w:tag w:val="part_7db93493eabd4332a9bcd3511f3b083e"/>
                        <w:lock w:val="sdtLocked"/>
                        <w:richText/>
                      </w:sdtPr>
                      <w:sdtContent>
                        <w:p>
                          <w:pPr>
                            <w:widowControl w:val="0"/>
                            <w:tabs>
                              <w:tab w:val="left" w:pos="1601"/>
                            </w:tabs>
                            <w:spacing w:line="360" w:lineRule="auto"/>
                            <w:ind w:left="851" w:right="-3" w:hanging="142"/>
                            <w:jc w:val="both"/>
                            <w:rPr>
                              <w:rFonts w:eastAsia="Arial Unicode MS"/>
                              <w:szCs w:val="24"/>
                              <w:lang w:val="en-GB" w:eastAsia="en-GB"/>
                            </w:rPr>
                          </w:pPr>
                          <w:sdt>
                            <w:sdtPr>
                              <w:alias w:val="Numeris"/>
                              <w:tag w:val="nr_7db93493eabd4332a9bcd3511f3b083e"/>
                              <w:lock w:val="sdtLocked"/>
                              <w:richText/>
                            </w:sdtPr>
                            <w:sdtContent>
                              <w:r>
                                <w:rPr>
                                  <w:szCs w:val="24"/>
                                  <w:lang w:val="en-GB" w:eastAsia="en-GB"/>
                                </w:rPr>
                                <w:t>10.4.1</w:t>
                              </w:r>
                            </w:sdtContent>
                          </w:sdt>
                          <w:r>
                            <w:rPr>
                              <w:szCs w:val="24"/>
                              <w:lang w:val="en-GB" w:eastAsia="en-GB"/>
                            </w:rPr>
                            <w:tab/>
                          </w:r>
                          <w:r>
                            <w:rPr>
                              <w:rFonts w:eastAsia="Arial Unicode MS"/>
                              <w:szCs w:val="24"/>
                              <w:lang w:eastAsia="en-GB"/>
                            </w:rPr>
                            <w:t>Ši PA gali būti nutraukta bet kuriuo metu vieningu cMs sprendimu.</w:t>
                          </w:r>
                        </w:p>
                      </w:sdtContent>
                    </w:sdt>
                    <w:sdt>
                      <w:sdtPr>
                        <w:alias w:val="10.4.2 pp."/>
                        <w:tag w:val="part_28d09c5820d94139ad52e2181926ef30"/>
                        <w:lock w:val="sdtLocked"/>
                        <w:richText/>
                      </w:sdtPr>
                      <w:sdtContent>
                        <w:p>
                          <w:pPr>
                            <w:widowControl w:val="0"/>
                            <w:spacing w:line="360" w:lineRule="auto"/>
                            <w:ind w:left="1275" w:right="-3" w:hanging="555"/>
                            <w:jc w:val="both"/>
                            <w:rPr>
                              <w:rFonts w:eastAsia="Arial Unicode MS"/>
                              <w:b/>
                              <w:szCs w:val="24"/>
                              <w:lang w:val="en-US" w:eastAsia="en-GB"/>
                            </w:rPr>
                          </w:pPr>
                          <w:sdt>
                            <w:sdtPr>
                              <w:alias w:val="Numeris"/>
                              <w:tag w:val="nr_28d09c5820d94139ad52e2181926ef30"/>
                              <w:lock w:val="sdtLocked"/>
                              <w:richText/>
                            </w:sdtPr>
                            <w:sdtContent>
                              <w:r>
                                <w:rPr>
                                  <w:szCs w:val="24"/>
                                  <w:lang w:val="en-US" w:eastAsia="en-GB"/>
                                </w:rPr>
                                <w:t>10.4.2</w:t>
                              </w:r>
                            </w:sdtContent>
                          </w:sdt>
                          <w:r>
                            <w:rPr>
                              <w:szCs w:val="24"/>
                              <w:lang w:val="en-US" w:eastAsia="en-GB"/>
                            </w:rPr>
                            <w:tab/>
                          </w:r>
                          <w:r>
                            <w:rPr>
                              <w:rFonts w:eastAsia="Arial Unicode MS"/>
                              <w:szCs w:val="24"/>
                              <w:lang w:val="en-GB" w:eastAsia="en-GB"/>
                            </w:rPr>
                            <w:t xml:space="preserve"> </w:t>
                          </w:r>
                          <w:r>
                            <w:rPr>
                              <w:rFonts w:eastAsia="Arial Unicode MS"/>
                              <w:szCs w:val="24"/>
                              <w:lang w:eastAsia="en-GB"/>
                            </w:rPr>
                            <w:t>Jei ši PA nutraukiama arba nustoja galioti, įsipareigojimai, susiję su atsakomybe ir pretenzijomis (7 skirsnis), ginčų sprendimu (8 skirsnis), saugumu (9 skirsnis), parašu ir įsigaliojimo data (12 skirsnis), pasirašyti iki šios PA nutraukimo dienos, lieka galioti ir po jos nutraukimo arba galiojimo pabaigos.</w:t>
                          </w:r>
                          <w:r>
                            <w:rPr>
                              <w:rFonts w:eastAsia="Arial Unicode MS"/>
                              <w:szCs w:val="24"/>
                              <w:lang w:val="en-US" w:eastAsia="en-GB"/>
                            </w:rPr>
                            <w:t xml:space="preserve"> </w:t>
                          </w:r>
                          <w:r>
                            <w:rPr>
                              <w:rFonts w:eastAsia="Arial Unicode MS"/>
                              <w:szCs w:val="24"/>
                              <w:lang w:eastAsia="en-GB"/>
                            </w:rPr>
                            <w:t>Finansiniai įsipareigojimai, atspindėti OF (ir išvestiniai iš WO) iki nutraukimo, turi būti vykdomi ir po nutraukimo.</w:t>
                          </w:r>
                          <w:r>
                            <w:rPr>
                              <w:rFonts w:eastAsia="Arial Unicode MS"/>
                              <w:szCs w:val="24"/>
                              <w:lang w:val="en-US" w:eastAsia="en-GB"/>
                            </w:rPr>
                            <w:t xml:space="preserve"> </w:t>
                          </w:r>
                        </w:p>
                      </w:sdtContent>
                    </w:sdt>
                  </w:sdtContent>
                </w:sdt>
                <w:sdt>
                  <w:sdtPr>
                    <w:alias w:val="10.5 pp."/>
                    <w:tag w:val="part_db86b143b2d74f979004bf05858516b0"/>
                    <w:lock w:val="sdtLocked"/>
                    <w:richText/>
                  </w:sdtPr>
                  <w:sdtContent>
                    <w:p>
                      <w:pPr>
                        <w:widowControl w:val="0"/>
                        <w:tabs>
                          <w:tab w:val="left" w:pos="1373"/>
                        </w:tabs>
                        <w:spacing w:line="360" w:lineRule="auto"/>
                        <w:ind w:left="851" w:right="-3" w:hanging="284"/>
                        <w:jc w:val="both"/>
                        <w:rPr>
                          <w:rFonts w:eastAsia="Arial Unicode MS"/>
                          <w:b/>
                          <w:szCs w:val="24"/>
                          <w:lang w:val="en-US" w:eastAsia="en-GB"/>
                        </w:rPr>
                      </w:pPr>
                      <w:sdt>
                        <w:sdtPr>
                          <w:alias w:val="Numeris"/>
                          <w:tag w:val="nr_db86b143b2d74f979004bf05858516b0"/>
                          <w:lock w:val="sdtLocked"/>
                          <w:richText/>
                        </w:sdtPr>
                        <w:sdtContent>
                          <w:r>
                            <w:rPr>
                              <w:szCs w:val="24"/>
                              <w:lang w:val="fr-FR" w:eastAsia="en-GB"/>
                            </w:rPr>
                            <w:t>10.5</w:t>
                          </w:r>
                        </w:sdtContent>
                      </w:sdt>
                      <w:r>
                        <w:rPr>
                          <w:szCs w:val="24"/>
                          <w:lang w:val="fr-FR" w:eastAsia="en-GB"/>
                        </w:rPr>
                        <w:tab/>
                      </w:r>
                      <w:r>
                        <w:rPr>
                          <w:rFonts w:eastAsia="Arial Unicode MS"/>
                          <w:b/>
                          <w:szCs w:val="24"/>
                          <w:lang w:eastAsia="en-GB"/>
                        </w:rPr>
                        <w:t>Naujų narių priėmimas</w:t>
                      </w:r>
                    </w:p>
                    <w:sdt>
                      <w:sdtPr>
                        <w:alias w:val="10.5.1 pp."/>
                        <w:tag w:val="part_d5f2ca8c864c40ee90aadf793d5aba42"/>
                        <w:lock w:val="sdtLocked"/>
                        <w:richText/>
                      </w:sdtPr>
                      <w:sdtContent>
                        <w:p>
                          <w:pPr>
                            <w:widowControl w:val="0"/>
                            <w:tabs>
                              <w:tab w:val="left" w:pos="1601"/>
                            </w:tabs>
                            <w:spacing w:line="360" w:lineRule="auto"/>
                            <w:ind w:left="851" w:right="-3" w:hanging="142"/>
                            <w:jc w:val="both"/>
                            <w:rPr>
                              <w:rFonts w:eastAsia="Arial Unicode MS"/>
                              <w:szCs w:val="24"/>
                              <w:lang w:val="en-GB" w:eastAsia="en-GB"/>
                            </w:rPr>
                          </w:pPr>
                          <w:sdt>
                            <w:sdtPr>
                              <w:alias w:val="Numeris"/>
                              <w:tag w:val="nr_d5f2ca8c864c40ee90aadf793d5aba42"/>
                              <w:lock w:val="sdtLocked"/>
                              <w:richText/>
                            </w:sdtPr>
                            <w:sdtContent>
                              <w:r>
                                <w:rPr>
                                  <w:szCs w:val="24"/>
                                  <w:lang w:val="en-GB" w:eastAsia="en-GB"/>
                                </w:rPr>
                                <w:t>10.5.1</w:t>
                              </w:r>
                            </w:sdtContent>
                          </w:sdt>
                          <w:r>
                            <w:rPr>
                              <w:szCs w:val="24"/>
                              <w:lang w:val="en-GB" w:eastAsia="en-GB"/>
                            </w:rPr>
                            <w:tab/>
                          </w:r>
                          <w:r>
                            <w:rPr>
                              <w:rFonts w:eastAsia="Arial Unicode MS"/>
                              <w:szCs w:val="24"/>
                              <w:lang w:eastAsia="en-GB"/>
                            </w:rPr>
                            <w:t xml:space="preserve">Bet kuri EGA dalyvaujanti PSŠ ir (arba) bet kuris subjektas, turintis teisę dalyvauti EGA </w:t>
                          </w:r>
                          <w:r>
                            <w:rPr>
                              <w:rFonts w:eastAsia="Arial Unicode MS"/>
                              <w:i/>
                              <w:szCs w:val="24"/>
                              <w:lang w:eastAsia="en-GB"/>
                            </w:rPr>
                            <w:t xml:space="preserve">ad hoc </w:t>
                          </w:r>
                          <w:r>
                            <w:rPr>
                              <w:rFonts w:eastAsia="Arial Unicode MS"/>
                              <w:szCs w:val="24"/>
                              <w:lang w:eastAsia="en-GB"/>
                            </w:rPr>
                            <w:t>veikloje, nedalyvaujantis šioje PA, gali bet kuriuo šios PA galiojimo laikotarpiu pareikšti norą tapti projekto nare, pateikdamas vienašalį pareiškimą dėl prisijungimo prie PA. Prisijungimo pareiškimo šablonas pateikiamas 4 priede.</w:t>
                          </w:r>
                        </w:p>
                      </w:sdtContent>
                    </w:sdt>
                    <w:sdt>
                      <w:sdtPr>
                        <w:alias w:val="10.5.2 pp."/>
                        <w:tag w:val="part_6223d86258bb49febcc9448e991d0b3a"/>
                        <w:lock w:val="sdtLocked"/>
                        <w:richText/>
                      </w:sdtPr>
                      <w:sdtContent>
                        <w:p>
                          <w:pPr>
                            <w:widowControl w:val="0"/>
                            <w:tabs>
                              <w:tab w:val="left" w:pos="1601"/>
                            </w:tabs>
                            <w:spacing w:line="360" w:lineRule="auto"/>
                            <w:ind w:left="851" w:right="-3" w:hanging="142"/>
                            <w:jc w:val="both"/>
                            <w:rPr>
                              <w:rFonts w:eastAsia="Arial Unicode MS"/>
                              <w:szCs w:val="24"/>
                              <w:lang w:val="en-GB" w:eastAsia="en-GB"/>
                            </w:rPr>
                          </w:pPr>
                          <w:sdt>
                            <w:sdtPr>
                              <w:alias w:val="Numeris"/>
                              <w:tag w:val="nr_6223d86258bb49febcc9448e991d0b3a"/>
                              <w:lock w:val="sdtLocked"/>
                              <w:richText/>
                            </w:sdtPr>
                            <w:sdtContent>
                              <w:r>
                                <w:rPr>
                                  <w:szCs w:val="24"/>
                                  <w:lang w:val="en-GB" w:eastAsia="en-GB"/>
                                </w:rPr>
                                <w:t>10.5.2</w:t>
                              </w:r>
                            </w:sdtContent>
                          </w:sdt>
                          <w:r>
                            <w:rPr>
                              <w:szCs w:val="24"/>
                              <w:lang w:val="en-GB" w:eastAsia="en-GB"/>
                            </w:rPr>
                            <w:tab/>
                          </w:r>
                          <w:r>
                            <w:rPr>
                              <w:rFonts w:eastAsia="Arial Unicode MS"/>
                              <w:szCs w:val="24"/>
                              <w:lang w:val="en-GB" w:eastAsia="en-GB"/>
                            </w:rPr>
                            <w:t xml:space="preserve"> </w:t>
                          </w:r>
                          <w:r>
                            <w:rPr>
                              <w:rFonts w:eastAsia="Arial Unicode MS"/>
                              <w:szCs w:val="24"/>
                              <w:lang w:eastAsia="en-GB"/>
                            </w:rPr>
                            <w:t>Naujoji narė galės prisijungti prie projekto, kai bus priimta.</w:t>
                          </w:r>
                          <w:r>
                            <w:rPr>
                              <w:rFonts w:eastAsia="Arial Unicode MS"/>
                              <w:szCs w:val="24"/>
                              <w:lang w:val="en-GB" w:eastAsia="en-GB"/>
                            </w:rPr>
                            <w:t xml:space="preserve"> </w:t>
                          </w:r>
                          <w:r>
                            <w:rPr>
                              <w:rFonts w:eastAsia="Arial Unicode MS"/>
                              <w:szCs w:val="24"/>
                              <w:lang w:eastAsia="en-GB"/>
                            </w:rPr>
                            <w:t>Toks priėmimas reiškia, kad:</w:t>
                          </w:r>
                        </w:p>
                        <w:p>
                          <w:pPr>
                            <w:widowControl w:val="0"/>
                            <w:tabs>
                              <w:tab w:val="left" w:pos="1134"/>
                            </w:tabs>
                            <w:spacing w:line="360" w:lineRule="auto"/>
                            <w:ind w:left="1134" w:right="-3" w:hanging="283"/>
                            <w:jc w:val="both"/>
                            <w:rPr>
                              <w:rFonts w:eastAsia="Arial Unicode MS"/>
                              <w:szCs w:val="24"/>
                              <w:lang w:val="en-GB" w:eastAsia="en-GB"/>
                            </w:rPr>
                          </w:pPr>
                          <w:r>
                            <w:rPr>
                              <w:rFonts w:eastAsia="Arial Unicode MS"/>
                              <w:szCs w:val="22"/>
                              <w:lang w:val="en-GB" w:eastAsia="en-GB"/>
                            </w:rPr>
                            <w:t>-</w:t>
                            <w:tab/>
                          </w:r>
                          <w:r>
                            <w:rPr>
                              <w:rFonts w:eastAsia="Arial Unicode MS"/>
                              <w:szCs w:val="24"/>
                              <w:lang w:eastAsia="en-GB"/>
                            </w:rPr>
                            <w:t>Naujoji(-osios) narė(s), norinti(-čios) prisijungti prie šio projekto, sutinka su visomis šios PA nuostatomis;</w:t>
                          </w:r>
                        </w:p>
                        <w:p>
                          <w:pPr>
                            <w:widowControl w:val="0"/>
                            <w:tabs>
                              <w:tab w:val="left" w:pos="1134"/>
                            </w:tabs>
                            <w:spacing w:line="360" w:lineRule="auto"/>
                            <w:ind w:left="1134" w:right="-3" w:hanging="283"/>
                            <w:jc w:val="both"/>
                            <w:rPr>
                              <w:rFonts w:eastAsia="Arial Unicode MS"/>
                              <w:szCs w:val="24"/>
                              <w:lang w:val="en-GB" w:eastAsia="en-GB"/>
                            </w:rPr>
                          </w:pPr>
                          <w:r>
                            <w:rPr>
                              <w:rFonts w:eastAsia="Arial Unicode MS"/>
                              <w:szCs w:val="22"/>
                              <w:lang w:val="en-GB" w:eastAsia="en-GB"/>
                            </w:rPr>
                            <w:t>-</w:t>
                            <w:tab/>
                          </w:r>
                          <w:r>
                            <w:rPr>
                              <w:rFonts w:eastAsia="Arial Unicode MS"/>
                              <w:szCs w:val="24"/>
                              <w:lang w:eastAsia="en-GB"/>
                            </w:rPr>
                            <w:t>prisijungimo pareiškimas raštu siunčiamas EGA;</w:t>
                          </w:r>
                        </w:p>
                        <w:p>
                          <w:pPr>
                            <w:widowControl w:val="0"/>
                            <w:tabs>
                              <w:tab w:val="left" w:pos="1134"/>
                            </w:tabs>
                            <w:spacing w:line="360" w:lineRule="auto"/>
                            <w:ind w:left="1134" w:right="-3" w:hanging="283"/>
                            <w:jc w:val="both"/>
                            <w:rPr>
                              <w:rFonts w:eastAsia="Arial Unicode MS"/>
                              <w:szCs w:val="24"/>
                              <w:lang w:val="en-GB" w:eastAsia="en-GB"/>
                            </w:rPr>
                          </w:pPr>
                          <w:r>
                            <w:rPr>
                              <w:rFonts w:eastAsia="Arial Unicode MS"/>
                              <w:szCs w:val="22"/>
                              <w:lang w:val="en-GB" w:eastAsia="en-GB"/>
                            </w:rPr>
                            <w:t>-</w:t>
                            <w:tab/>
                          </w:r>
                          <w:r>
                            <w:rPr>
                              <w:rFonts w:eastAsia="Arial Unicode MS"/>
                              <w:szCs w:val="24"/>
                              <w:lang w:eastAsia="en-GB"/>
                            </w:rPr>
                            <w:t>EGA išsiunčia pranešimą apie prisijungimo pareiškimo gavimą PAMG ir cMs;</w:t>
                          </w:r>
                        </w:p>
                        <w:p>
                          <w:pPr>
                            <w:widowControl w:val="0"/>
                            <w:tabs>
                              <w:tab w:val="left" w:pos="1134"/>
                            </w:tabs>
                            <w:spacing w:line="360" w:lineRule="auto"/>
                            <w:ind w:left="1134" w:right="-3" w:hanging="283"/>
                            <w:jc w:val="both"/>
                            <w:rPr>
                              <w:rFonts w:eastAsia="Arial Unicode MS"/>
                              <w:szCs w:val="24"/>
                              <w:lang w:val="en-GB" w:eastAsia="en-GB"/>
                            </w:rPr>
                          </w:pPr>
                          <w:r>
                            <w:rPr>
                              <w:rFonts w:eastAsia="Arial Unicode MS"/>
                              <w:szCs w:val="22"/>
                              <w:lang w:val="en-GB" w:eastAsia="en-GB"/>
                            </w:rPr>
                            <w:t>-</w:t>
                            <w:tab/>
                          </w:r>
                          <w:r>
                            <w:rPr>
                              <w:rFonts w:eastAsia="Arial Unicode MS"/>
                              <w:szCs w:val="24"/>
                              <w:lang w:eastAsia="en-GB"/>
                            </w:rPr>
                            <w:t>Kiekviena cM raštu pateiks savo sprendimą dėl naujos narės priėmimo į šį Projektą.</w:t>
                          </w:r>
                          <w:r>
                            <w:rPr>
                              <w:rFonts w:eastAsia="Arial Unicode MS"/>
                              <w:szCs w:val="24"/>
                              <w:lang w:val="en-GB" w:eastAsia="en-GB"/>
                            </w:rPr>
                            <w:t xml:space="preserve"> </w:t>
                          </w:r>
                          <w:r>
                            <w:rPr>
                              <w:rFonts w:eastAsia="Arial Unicode MS"/>
                              <w:szCs w:val="24"/>
                              <w:lang w:eastAsia="en-GB"/>
                            </w:rPr>
                            <w:t>Kiekviena cM per 2 (du) mėnesius nuo pranešimo gavimo po atitinkamo pareiškimo apie prisijungimą pagal EGA Tarybos sprendimo 20 straipsnio 4 dalį nusiunčia savo sutikimą arba aiškią išlygą, jei cM nustato neigiamą poveikį šiai PA.</w:t>
                          </w:r>
                        </w:p>
                        <w:p>
                          <w:pPr>
                            <w:widowControl w:val="0"/>
                            <w:tabs>
                              <w:tab w:val="left" w:pos="1134"/>
                            </w:tabs>
                            <w:spacing w:line="360" w:lineRule="auto"/>
                            <w:ind w:left="1134" w:right="-3" w:hanging="283"/>
                            <w:jc w:val="both"/>
                            <w:rPr>
                              <w:rFonts w:eastAsia="Arial Unicode MS"/>
                              <w:szCs w:val="24"/>
                              <w:lang w:val="en-GB" w:eastAsia="en-GB"/>
                            </w:rPr>
                          </w:pPr>
                          <w:r>
                            <w:rPr>
                              <w:rFonts w:eastAsia="Arial Unicode MS"/>
                              <w:szCs w:val="22"/>
                              <w:lang w:val="en-GB" w:eastAsia="en-GB"/>
                            </w:rPr>
                            <w:t>-</w:t>
                            <w:tab/>
                          </w:r>
                          <w:r>
                            <w:rPr>
                              <w:rFonts w:eastAsia="Arial Unicode MS"/>
                              <w:szCs w:val="24"/>
                              <w:lang w:eastAsia="en-GB"/>
                            </w:rPr>
                            <w:t>EGA PO stebės, kaip priimamos naujos narės, ir reguliariai teiks priminimus cMs, kad būtų laikomasi dviejų mėnesių termino.</w:t>
                          </w:r>
                        </w:p>
                        <w:p>
                          <w:pPr>
                            <w:widowControl w:val="0"/>
                            <w:tabs>
                              <w:tab w:val="left" w:pos="1134"/>
                            </w:tabs>
                            <w:spacing w:line="360" w:lineRule="auto"/>
                            <w:ind w:left="1134" w:right="-3" w:hanging="283"/>
                            <w:jc w:val="both"/>
                            <w:rPr>
                              <w:rFonts w:eastAsia="Arial Unicode MS"/>
                              <w:szCs w:val="24"/>
                              <w:lang w:val="en-GB" w:eastAsia="en-GB"/>
                            </w:rPr>
                          </w:pPr>
                          <w:r>
                            <w:rPr>
                              <w:rFonts w:eastAsia="Arial Unicode MS"/>
                              <w:szCs w:val="22"/>
                              <w:lang w:val="en-GB" w:eastAsia="en-GB"/>
                            </w:rPr>
                            <w:t>-</w:t>
                            <w:tab/>
                          </w:r>
                          <w:r>
                            <w:rPr>
                              <w:rFonts w:eastAsia="Arial Unicode MS"/>
                              <w:szCs w:val="24"/>
                              <w:lang w:eastAsia="en-GB"/>
                            </w:rPr>
                            <w:t>EGA praneša PAMG apie cM sprendimą dėl naujos narės priėmimo į PA.</w:t>
                          </w:r>
                          <w:r>
                            <w:rPr>
                              <w:rFonts w:eastAsia="Arial Unicode MS"/>
                              <w:szCs w:val="24"/>
                              <w:lang w:val="en-GB" w:eastAsia="en-GB"/>
                            </w:rPr>
                            <w:t xml:space="preserve"> </w:t>
                          </w:r>
                        </w:p>
                      </w:sdtContent>
                    </w:sdt>
                    <w:sdt>
                      <w:sdtPr>
                        <w:alias w:val="10.5.3 pp."/>
                        <w:tag w:val="part_7f62dc3392494aa2bdd78039370a2164"/>
                        <w:lock w:val="sdtLocked"/>
                        <w:richText/>
                      </w:sdtPr>
                      <w:sdtContent>
                        <w:p>
                          <w:pPr>
                            <w:widowControl w:val="0"/>
                            <w:tabs>
                              <w:tab w:val="left" w:pos="1601"/>
                            </w:tabs>
                            <w:spacing w:line="360" w:lineRule="auto"/>
                            <w:ind w:left="851" w:right="-3" w:hanging="142"/>
                            <w:jc w:val="both"/>
                            <w:rPr>
                              <w:rFonts w:eastAsia="Arial Unicode MS"/>
                              <w:szCs w:val="24"/>
                              <w:lang w:val="en-GB" w:eastAsia="en-GB"/>
                            </w:rPr>
                          </w:pPr>
                          <w:sdt>
                            <w:sdtPr>
                              <w:alias w:val="Numeris"/>
                              <w:tag w:val="nr_7f62dc3392494aa2bdd78039370a2164"/>
                              <w:lock w:val="sdtLocked"/>
                              <w:richText/>
                            </w:sdtPr>
                            <w:sdtContent>
                              <w:r>
                                <w:rPr>
                                  <w:szCs w:val="24"/>
                                  <w:lang w:val="en-GB" w:eastAsia="en-GB"/>
                                </w:rPr>
                                <w:t>10.5.3</w:t>
                              </w:r>
                            </w:sdtContent>
                          </w:sdt>
                          <w:r>
                            <w:rPr>
                              <w:szCs w:val="24"/>
                              <w:lang w:val="en-GB" w:eastAsia="en-GB"/>
                            </w:rPr>
                            <w:tab/>
                          </w:r>
                          <w:r>
                            <w:rPr>
                              <w:rFonts w:eastAsia="Arial Unicode MS"/>
                              <w:szCs w:val="24"/>
                              <w:lang w:eastAsia="en-GB"/>
                            </w:rPr>
                            <w:t>EGA atitinkamai atnaujins šios PA pirmajame puslapyje pateiktą cM sąrašą ir išsiųs atnaujintą versiją, įskaitant patvirtintas rašytinių cM sprendimų ir pareiškimo dėl prisijungimo prie cM patvirtintas kopijas.</w:t>
                          </w:r>
                        </w:p>
                        <w:p>
                          <w:pPr>
                            <w:rPr>
                              <w:sz w:val="20"/>
                            </w:rPr>
                          </w:pPr>
                        </w:p>
                      </w:sdtContent>
                    </w:sdt>
                  </w:sdtContent>
                </w:sdt>
              </w:sdtContent>
            </w:sdt>
            <w:sdt>
              <w:sdtPr>
                <w:alias w:val="11 p."/>
                <w:tag w:val="part_9aa592a218b04366a27c94e471365f78"/>
                <w:lock w:val="sdtLocked"/>
                <w:richText/>
              </w:sdtPr>
              <w:sdtContent>
                <w:p>
                  <w:pPr>
                    <w:keepNext/>
                    <w:keepLines/>
                    <w:ind w:left="360" w:hanging="360"/>
                    <w:rPr>
                      <w:rFonts w:eastAsia="Arial Unicode MS"/>
                      <w:b/>
                      <w:sz w:val="22"/>
                      <w:szCs w:val="22"/>
                      <w:lang w:val="en-US" w:eastAsia="en-GB"/>
                    </w:rPr>
                  </w:pPr>
                  <w:sdt>
                    <w:sdtPr>
                      <w:alias w:val="Numeris"/>
                      <w:tag w:val="nr_9aa592a218b04366a27c94e471365f78"/>
                      <w:lock w:val="sdtLocked"/>
                      <w:richText/>
                    </w:sdtPr>
                    <w:sdtContent>
                      <w:r>
                        <w:rPr>
                          <w:rFonts w:eastAsia="Arial Unicode MS"/>
                          <w:b/>
                          <w:sz w:val="22"/>
                          <w:szCs w:val="22"/>
                          <w:lang w:val="en-US" w:eastAsia="en-GB"/>
                        </w:rPr>
                        <w:t>11</w:t>
                      </w:r>
                    </w:sdtContent>
                  </w:sdt>
                  <w:r>
                    <w:rPr>
                      <w:rFonts w:eastAsia="Arial Unicode MS"/>
                      <w:b/>
                      <w:sz w:val="22"/>
                      <w:szCs w:val="22"/>
                      <w:lang w:val="en-US" w:eastAsia="en-GB"/>
                    </w:rPr>
                    <w:t>.</w:t>
                    <w:tab/>
                    <w:t xml:space="preserve"> </w:t>
                  </w:r>
                  <w:r>
                    <w:rPr>
                      <w:rFonts w:eastAsia="Arial Unicode MS"/>
                      <w:b/>
                      <w:sz w:val="22"/>
                      <w:szCs w:val="22"/>
                      <w:lang w:eastAsia="en-GB"/>
                    </w:rPr>
                    <w:t>Specialiosios nuostatos</w:t>
                  </w:r>
                </w:p>
                <w:p>
                  <w:pPr>
                    <w:rPr>
                      <w:sz w:val="20"/>
                    </w:rPr>
                  </w:pPr>
                </w:p>
                <w:p>
                  <w:pPr>
                    <w:spacing w:line="360" w:lineRule="auto"/>
                    <w:ind w:left="360" w:right="-3"/>
                    <w:jc w:val="both"/>
                    <w:rPr>
                      <w:rFonts w:eastAsia="Arial Unicode MS"/>
                      <w:sz w:val="22"/>
                      <w:szCs w:val="22"/>
                      <w:lang w:val="en-US" w:eastAsia="en-GB"/>
                    </w:rPr>
                  </w:pPr>
                  <w:r>
                    <w:rPr>
                      <w:rFonts w:eastAsia="Arial Unicode MS"/>
                      <w:sz w:val="22"/>
                      <w:szCs w:val="22"/>
                      <w:lang w:eastAsia="en-GB"/>
                    </w:rPr>
                    <w:t>Projekto įgyvendinimo tikslais cMs nelaikys EGA galutiniu naudotoju pagal atitinkamus nacionalinius teisės aktus.</w:t>
                  </w:r>
                </w:p>
                <w:p>
                  <w:pPr>
                    <w:rPr>
                      <w:sz w:val="20"/>
                    </w:rPr>
                  </w:pPr>
                </w:p>
              </w:sdtContent>
            </w:sdt>
            <w:sdt>
              <w:sdtPr>
                <w:alias w:val="12 p."/>
                <w:tag w:val="part_5b4176433fc04555af8ae9340d912728"/>
                <w:lock w:val="sdtLocked"/>
                <w:richText/>
              </w:sdtPr>
              <w:sdtContent>
                <w:p>
                  <w:pPr>
                    <w:keepNext/>
                    <w:keepLines/>
                    <w:ind w:left="360" w:hanging="360"/>
                    <w:rPr>
                      <w:rFonts w:eastAsia="Arial Unicode MS"/>
                      <w:b/>
                      <w:sz w:val="22"/>
                      <w:szCs w:val="22"/>
                      <w:lang w:val="en-US" w:eastAsia="en-GB"/>
                    </w:rPr>
                  </w:pPr>
                  <w:sdt>
                    <w:sdtPr>
                      <w:alias w:val="Numeris"/>
                      <w:tag w:val="nr_5b4176433fc04555af8ae9340d912728"/>
                      <w:lock w:val="sdtLocked"/>
                      <w:richText/>
                    </w:sdtPr>
                    <w:sdtContent>
                      <w:r>
                        <w:rPr>
                          <w:rFonts w:eastAsia="Arial Unicode MS"/>
                          <w:b/>
                          <w:sz w:val="22"/>
                          <w:szCs w:val="22"/>
                          <w:lang w:val="en-US" w:eastAsia="en-GB"/>
                        </w:rPr>
                        <w:t>12</w:t>
                      </w:r>
                    </w:sdtContent>
                  </w:sdt>
                  <w:r>
                    <w:rPr>
                      <w:rFonts w:eastAsia="Arial Unicode MS"/>
                      <w:b/>
                      <w:sz w:val="22"/>
                      <w:szCs w:val="22"/>
                      <w:lang w:val="en-US" w:eastAsia="en-GB"/>
                    </w:rPr>
                    <w:t>.</w:t>
                    <w:tab/>
                  </w:r>
                  <w:r>
                    <w:rPr>
                      <w:rFonts w:eastAsia="Arial Unicode MS"/>
                      <w:b/>
                      <w:sz w:val="22"/>
                      <w:szCs w:val="22"/>
                      <w:lang w:eastAsia="en-GB"/>
                    </w:rPr>
                    <w:t>Parašas ir įsigaliojimo data</w:t>
                  </w:r>
                </w:p>
                <w:p>
                  <w:pPr>
                    <w:rPr>
                      <w:sz w:val="20"/>
                    </w:rPr>
                  </w:pPr>
                </w:p>
              </w:sdtContent>
            </w:sdt>
            <w:sdt>
              <w:sdtPr>
                <w:alias w:val="11 p."/>
                <w:tag w:val="part_572ded261a034528834d41fe1a2f9f81"/>
                <w:lock w:val="sdtLocked"/>
                <w:richText/>
              </w:sdtPr>
              <w:sdtContent>
                <w:p>
                  <w:pPr>
                    <w:widowControl w:val="0"/>
                    <w:tabs>
                      <w:tab w:val="left" w:pos="1373"/>
                    </w:tabs>
                    <w:spacing w:line="360" w:lineRule="auto"/>
                    <w:ind w:left="803" w:right="523" w:hanging="284"/>
                    <w:jc w:val="both"/>
                    <w:rPr>
                      <w:rFonts w:eastAsia="Arial Unicode MS"/>
                      <w:vanish/>
                      <w:szCs w:val="24"/>
                      <w:lang w:val="en-GB" w:eastAsia="en-GB"/>
                    </w:rPr>
                  </w:pPr>
                  <w:sdt>
                    <w:sdtPr>
                      <w:alias w:val="Numeris"/>
                      <w:tag w:val="nr_572ded261a034528834d41fe1a2f9f81"/>
                      <w:lock w:val="sdtLocked"/>
                      <w:richText/>
                    </w:sdtPr>
                    <w:sdtContent>
                      <w:r>
                        <w:rPr>
                          <w:rFonts w:ascii="Franklin Gothic Book" w:hAnsi="Franklin Gothic Book" w:cs="Franklin Gothic Book"/>
                          <w:b/>
                          <w:bCs/>
                          <w:vanish/>
                          <w:spacing w:val="-1"/>
                          <w:sz w:val="23"/>
                          <w:szCs w:val="23"/>
                          <w:lang w:val="en-GB" w:eastAsia="en-GB"/>
                        </w:rPr>
                        <w:t>11</w:t>
                      </w:r>
                    </w:sdtContent>
                  </w:sdt>
                  <w:r>
                    <w:rPr>
                      <w:rFonts w:ascii="Franklin Gothic Book" w:hAnsi="Franklin Gothic Book" w:cs="Franklin Gothic Book"/>
                      <w:b/>
                      <w:bCs/>
                      <w:vanish/>
                      <w:spacing w:val="-1"/>
                      <w:sz w:val="23"/>
                      <w:szCs w:val="23"/>
                      <w:lang w:val="en-GB" w:eastAsia="en-GB"/>
                    </w:rPr>
                    <w:t>.</w:t>
                    <w:tab/>
                  </w:r>
                </w:p>
              </w:sdtContent>
            </w:sdt>
            <w:sdt>
              <w:sdtPr>
                <w:alias w:val="12 p."/>
                <w:tag w:val="part_996d894e7ab84a89a3efc75540cde248"/>
                <w:lock w:val="sdtLocked"/>
                <w:richText/>
              </w:sdtPr>
              <w:sdtContent>
                <w:p>
                  <w:pPr>
                    <w:widowControl w:val="0"/>
                    <w:tabs>
                      <w:tab w:val="left" w:pos="1373"/>
                    </w:tabs>
                    <w:spacing w:line="360" w:lineRule="auto"/>
                    <w:ind w:left="803" w:right="523" w:hanging="284"/>
                    <w:jc w:val="both"/>
                    <w:rPr>
                      <w:rFonts w:eastAsia="Arial Unicode MS"/>
                      <w:vanish/>
                      <w:szCs w:val="24"/>
                      <w:lang w:val="en-GB" w:eastAsia="en-GB"/>
                    </w:rPr>
                  </w:pPr>
                  <w:sdt>
                    <w:sdtPr>
                      <w:alias w:val="Numeris"/>
                      <w:tag w:val="nr_996d894e7ab84a89a3efc75540cde248"/>
                      <w:lock w:val="sdtLocked"/>
                      <w:richText/>
                    </w:sdtPr>
                    <w:sdtContent>
                      <w:r>
                        <w:rPr>
                          <w:rFonts w:ascii="Franklin Gothic Book" w:hAnsi="Franklin Gothic Book" w:cs="Franklin Gothic Book"/>
                          <w:b/>
                          <w:bCs/>
                          <w:vanish/>
                          <w:spacing w:val="-1"/>
                          <w:sz w:val="23"/>
                          <w:szCs w:val="23"/>
                          <w:lang w:val="en-GB" w:eastAsia="en-GB"/>
                        </w:rPr>
                        <w:t>12</w:t>
                      </w:r>
                    </w:sdtContent>
                  </w:sdt>
                  <w:r>
                    <w:rPr>
                      <w:rFonts w:ascii="Franklin Gothic Book" w:hAnsi="Franklin Gothic Book" w:cs="Franklin Gothic Book"/>
                      <w:b/>
                      <w:bCs/>
                      <w:vanish/>
                      <w:spacing w:val="-1"/>
                      <w:sz w:val="23"/>
                      <w:szCs w:val="23"/>
                      <w:lang w:val="en-GB" w:eastAsia="en-GB"/>
                    </w:rPr>
                    <w:t>.</w:t>
                    <w:tab/>
                  </w:r>
                </w:p>
                <w:sdt>
                  <w:sdtPr>
                    <w:alias w:val="12.1 pp."/>
                    <w:tag w:val="part_d083be26317f40d299c2fd2dfcdae926"/>
                    <w:lock w:val="sdtLocked"/>
                    <w:richText/>
                  </w:sdtPr>
                  <w:sdtContent>
                    <w:p>
                      <w:pPr>
                        <w:widowControl w:val="0"/>
                        <w:ind w:left="1374" w:hanging="493"/>
                        <w:jc w:val="both"/>
                        <w:outlineLvl w:val="1"/>
                        <w:rPr>
                          <w:rFonts w:eastAsia="Arial Unicode MS"/>
                          <w:vanish/>
                          <w:szCs w:val="24"/>
                          <w:lang w:val="en-GB" w:eastAsia="en-GB"/>
                        </w:rPr>
                      </w:pPr>
                      <w:sdt>
                        <w:sdtPr>
                          <w:alias w:val="Numeris"/>
                          <w:tag w:val="nr_d083be26317f40d299c2fd2dfcdae926"/>
                          <w:lock w:val="sdtLocked"/>
                          <w:richText/>
                        </w:sdtPr>
                        <w:sdtContent>
                          <w:r>
                            <w:rPr>
                              <w:vanish/>
                              <w:szCs w:val="24"/>
                              <w:lang w:val="en-GB" w:eastAsia="en-GB"/>
                            </w:rPr>
                            <w:t>12.1</w:t>
                          </w:r>
                        </w:sdtContent>
                      </w:sdt>
                      <w:r>
                        <w:rPr>
                          <w:vanish/>
                          <w:szCs w:val="24"/>
                          <w:lang w:val="en-GB" w:eastAsia="en-GB"/>
                        </w:rPr>
                        <w:tab/>
                      </w:r>
                    </w:p>
                  </w:sdtContent>
                </w:sdt>
                <w:sdt>
                  <w:sdtPr>
                    <w:alias w:val="12.2 pp."/>
                    <w:tag w:val="part_e53190535b1e41f980334bb329348116"/>
                    <w:lock w:val="sdtLocked"/>
                    <w:richText/>
                  </w:sdtPr>
                  <w:sdtContent>
                    <w:p>
                      <w:pPr>
                        <w:widowControl w:val="0"/>
                        <w:ind w:left="1374" w:hanging="493"/>
                        <w:jc w:val="both"/>
                        <w:outlineLvl w:val="1"/>
                        <w:rPr>
                          <w:rFonts w:eastAsia="Arial Unicode MS"/>
                          <w:vanish/>
                          <w:szCs w:val="24"/>
                          <w:lang w:val="en-GB" w:eastAsia="en-GB"/>
                        </w:rPr>
                      </w:pPr>
                      <w:sdt>
                        <w:sdtPr>
                          <w:alias w:val="Numeris"/>
                          <w:tag w:val="nr_e53190535b1e41f980334bb329348116"/>
                          <w:lock w:val="sdtLocked"/>
                          <w:richText/>
                        </w:sdtPr>
                        <w:sdtContent>
                          <w:r>
                            <w:rPr>
                              <w:vanish/>
                              <w:szCs w:val="24"/>
                              <w:lang w:val="en-GB" w:eastAsia="en-GB"/>
                            </w:rPr>
                            <w:t>12.2</w:t>
                          </w:r>
                        </w:sdtContent>
                      </w:sdt>
                      <w:r>
                        <w:rPr>
                          <w:vanish/>
                          <w:szCs w:val="24"/>
                          <w:lang w:val="en-GB" w:eastAsia="en-GB"/>
                        </w:rPr>
                        <w:tab/>
                      </w:r>
                    </w:p>
                  </w:sdtContent>
                </w:sdt>
                <w:sdt>
                  <w:sdtPr>
                    <w:alias w:val="12.3 pp."/>
                    <w:tag w:val="part_87df1f2c153d47b799383d5011dce6a4"/>
                    <w:lock w:val="sdtLocked"/>
                    <w:richText/>
                  </w:sdtPr>
                  <w:sdtContent>
                    <w:p>
                      <w:pPr>
                        <w:widowControl w:val="0"/>
                        <w:ind w:left="1374" w:hanging="493"/>
                        <w:jc w:val="both"/>
                        <w:outlineLvl w:val="1"/>
                        <w:rPr>
                          <w:rFonts w:eastAsia="Arial Unicode MS"/>
                          <w:vanish/>
                          <w:szCs w:val="24"/>
                          <w:lang w:val="en-GB" w:eastAsia="en-GB"/>
                        </w:rPr>
                      </w:pPr>
                      <w:sdt>
                        <w:sdtPr>
                          <w:alias w:val="Numeris"/>
                          <w:tag w:val="nr_87df1f2c153d47b799383d5011dce6a4"/>
                          <w:lock w:val="sdtLocked"/>
                          <w:richText/>
                        </w:sdtPr>
                        <w:sdtContent>
                          <w:r>
                            <w:rPr>
                              <w:vanish/>
                              <w:szCs w:val="24"/>
                              <w:lang w:val="en-GB" w:eastAsia="en-GB"/>
                            </w:rPr>
                            <w:t>12.3</w:t>
                          </w:r>
                        </w:sdtContent>
                      </w:sdt>
                      <w:r>
                        <w:rPr>
                          <w:vanish/>
                          <w:szCs w:val="24"/>
                          <w:lang w:val="en-GB" w:eastAsia="en-GB"/>
                        </w:rPr>
                        <w:tab/>
                      </w:r>
                    </w:p>
                  </w:sdtContent>
                </w:sdt>
                <w:sdt>
                  <w:sdtPr>
                    <w:alias w:val="12.4 pp."/>
                    <w:tag w:val="part_e33294fc6b1146ef8e9511326d6bcf56"/>
                    <w:lock w:val="sdtLocked"/>
                    <w:richText/>
                  </w:sdtPr>
                  <w:sdtContent>
                    <w:p>
                      <w:pPr>
                        <w:widowControl w:val="0"/>
                        <w:ind w:left="1374" w:hanging="493"/>
                        <w:jc w:val="both"/>
                        <w:outlineLvl w:val="1"/>
                        <w:rPr>
                          <w:rFonts w:eastAsia="Arial Unicode MS"/>
                          <w:szCs w:val="24"/>
                          <w:lang w:val="en-GB" w:eastAsia="en-GB"/>
                        </w:rPr>
                      </w:pPr>
                      <w:sdt>
                        <w:sdtPr>
                          <w:alias w:val="Numeris"/>
                          <w:tag w:val="nr_e33294fc6b1146ef8e9511326d6bcf56"/>
                          <w:lock w:val="sdtLocked"/>
                          <w:richText/>
                        </w:sdtPr>
                        <w:sdtContent>
                          <w:r>
                            <w:rPr>
                              <w:szCs w:val="24"/>
                              <w:lang w:val="en-GB" w:eastAsia="en-GB"/>
                            </w:rPr>
                            <w:t>12.4</w:t>
                          </w:r>
                        </w:sdtContent>
                      </w:sdt>
                      <w:r>
                        <w:rPr>
                          <w:szCs w:val="24"/>
                          <w:lang w:val="en-GB" w:eastAsia="en-GB"/>
                        </w:rPr>
                        <w:tab/>
                      </w:r>
                      <w:r>
                        <w:rPr>
                          <w:rFonts w:eastAsia="Arial Unicode MS"/>
                          <w:szCs w:val="24"/>
                          <w:lang w:val="en-US" w:eastAsia="en-GB"/>
                        </w:rPr>
                        <w:t>Ši PA bus pasirašyta anglų ir prancūzų kalbomis, kiekviena versija yra vienodai galiojanti</w:t>
                      </w:r>
                      <w:r>
                        <w:rPr>
                          <w:rFonts w:eastAsia="Arial Unicode MS"/>
                          <w:szCs w:val="24"/>
                          <w:lang w:val="en-GB" w:eastAsia="en-GB"/>
                        </w:rPr>
                        <w:t xml:space="preserve">. </w:t>
                      </w:r>
                    </w:p>
                  </w:sdtContent>
                </w:sdt>
                <w:sdt>
                  <w:sdtPr>
                    <w:alias w:val="12.5 pp."/>
                    <w:tag w:val="part_a60f564479ea4b9c832ef9e94d010813"/>
                    <w:lock w:val="sdtLocked"/>
                    <w:richText/>
                  </w:sdtPr>
                  <w:sdtContent>
                    <w:p>
                      <w:pPr>
                        <w:widowControl w:val="0"/>
                        <w:ind w:left="1374" w:hanging="493"/>
                        <w:jc w:val="both"/>
                        <w:outlineLvl w:val="1"/>
                        <w:rPr>
                          <w:rFonts w:eastAsia="Arial Unicode MS"/>
                          <w:szCs w:val="24"/>
                          <w:lang w:val="en-GB" w:eastAsia="en-GB"/>
                        </w:rPr>
                      </w:pPr>
                      <w:sdt>
                        <w:sdtPr>
                          <w:alias w:val="Numeris"/>
                          <w:tag w:val="nr_a60f564479ea4b9c832ef9e94d010813"/>
                          <w:lock w:val="sdtLocked"/>
                          <w:richText/>
                        </w:sdtPr>
                        <w:sdtContent>
                          <w:r>
                            <w:rPr>
                              <w:szCs w:val="24"/>
                              <w:lang w:val="en-GB" w:eastAsia="en-GB"/>
                            </w:rPr>
                            <w:t>12.5</w:t>
                          </w:r>
                        </w:sdtContent>
                      </w:sdt>
                      <w:r>
                        <w:rPr>
                          <w:szCs w:val="24"/>
                          <w:lang w:val="en-GB" w:eastAsia="en-GB"/>
                        </w:rPr>
                        <w:tab/>
                      </w:r>
                      <w:r>
                        <w:rPr>
                          <w:rFonts w:eastAsia="Arial Unicode MS"/>
                          <w:szCs w:val="24"/>
                          <w:lang w:eastAsia="en-GB"/>
                        </w:rPr>
                        <w:t>Originalai saugomi EGA, o kiekvienai cM bus išsiųsta po vieną patvirtintą kopiją.</w:t>
                      </w:r>
                    </w:p>
                  </w:sdtContent>
                </w:sdt>
                <w:sdt>
                  <w:sdtPr>
                    <w:alias w:val="12.1 pp."/>
                    <w:tag w:val="part_e567d31c915741e88a3adc5698c8e3f7"/>
                    <w:lock w:val="sdtLocked"/>
                    <w:richText/>
                  </w:sdtPr>
                  <w:sdtContent>
                    <w:p>
                      <w:pPr>
                        <w:widowControl w:val="0"/>
                        <w:spacing w:line="360" w:lineRule="auto"/>
                        <w:ind w:left="851" w:right="-3" w:hanging="284"/>
                        <w:jc w:val="both"/>
                        <w:rPr>
                          <w:rFonts w:eastAsia="Arial Unicode MS"/>
                          <w:szCs w:val="24"/>
                          <w:lang w:val="en-GB" w:eastAsia="en-GB"/>
                        </w:rPr>
                      </w:pPr>
                      <w:sdt>
                        <w:sdtPr>
                          <w:alias w:val="Numeris"/>
                          <w:tag w:val="nr_e567d31c915741e88a3adc5698c8e3f7"/>
                          <w:lock w:val="sdtLocked"/>
                          <w:richText/>
                        </w:sdtPr>
                        <w:sdtContent>
                          <w:r>
                            <w:rPr>
                              <w:rFonts w:eastAsia="Arial Unicode MS"/>
                              <w:szCs w:val="24"/>
                              <w:lang w:val="en-GB" w:eastAsia="en-GB"/>
                            </w:rPr>
                            <w:t>12.1</w:t>
                          </w:r>
                        </w:sdtContent>
                      </w:sdt>
                      <w:r>
                        <w:rPr>
                          <w:rFonts w:eastAsia="Arial Unicode MS"/>
                          <w:szCs w:val="24"/>
                          <w:lang w:val="en-GB" w:eastAsia="en-GB"/>
                        </w:rPr>
                        <w:t>.</w:t>
                        <w:tab/>
                      </w:r>
                      <w:r>
                        <w:rPr>
                          <w:rFonts w:eastAsia="Arial Unicode MS"/>
                          <w:szCs w:val="24"/>
                          <w:lang w:eastAsia="en-GB"/>
                        </w:rPr>
                        <w:t>Ši PA įsigalios nuo dienos, kai ją pasirašys trys (3) cM ir EGA.</w:t>
                      </w:r>
                      <w:r>
                        <w:rPr>
                          <w:rFonts w:eastAsia="Arial Unicode MS"/>
                          <w:szCs w:val="24"/>
                          <w:lang w:val="en-GB" w:eastAsia="en-GB"/>
                        </w:rPr>
                        <w:t xml:space="preserve"> </w:t>
                      </w:r>
                      <w:r>
                        <w:rPr>
                          <w:rFonts w:eastAsia="Arial Unicode MS"/>
                          <w:szCs w:val="24"/>
                          <w:lang w:eastAsia="en-GB"/>
                        </w:rPr>
                        <w:t>Po šios datos pasirašiusiems cMs, PA įsigalios jų pasirašymo dieną.</w:t>
                      </w:r>
                    </w:p>
                    <w:p>
                      <w:pPr>
                        <w:rPr>
                          <w:rFonts w:eastAsia="Arial Unicode MS"/>
                          <w:sz w:val="22"/>
                          <w:szCs w:val="22"/>
                          <w:lang w:val="en-GB" w:eastAsia="en-GB"/>
                        </w:rPr>
                        <w:sectPr>
                          <w:headerReference w:type="even" r:id="rId16"/>
                          <w:headerReference w:type="first" r:id="rId17"/>
                          <w:pgSz w:w="11910" w:h="16840" w:code="9"/>
                          <w:pgMar w:top="1420" w:right="580" w:bottom="1560" w:left="560" w:header="568" w:footer="756" w:gutter="0"/>
                          <w:cols w:space="720"/>
                          <w:rtlGutter/>
                          <w:docGrid w:linePitch="326"/>
                        </w:sectPr>
                      </w:pPr>
                    </w:p>
                  </w:sdtContent>
                </w:sdt>
              </w:sdtContent>
            </w:sdt>
            <w:sdt>
              <w:sdtPr>
                <w:alias w:val="poskyris"/>
                <w:tag w:val="part_4f10a7906a564ffab5c19c81b45d64f2"/>
                <w:lock w:val="sdtLocked"/>
                <w:richText/>
              </w:sdtPr>
              <w:sdtContent>
                <w:p>
                  <w:pPr>
                    <w:spacing w:line="360" w:lineRule="auto"/>
                    <w:ind w:firstLine="720"/>
                    <w:jc w:val="center"/>
                    <w:rPr>
                      <w:rFonts w:eastAsia="Arial Unicode MS"/>
                      <w:sz w:val="22"/>
                      <w:szCs w:val="22"/>
                      <w:lang w:val="en-US" w:eastAsia="en-GB"/>
                    </w:rPr>
                  </w:pPr>
                  <w:sdt>
                    <w:sdtPr>
                      <w:alias w:val="Pavadinimas"/>
                      <w:tag w:val="title_4f10a7906a564ffab5c19c81b45d64f2"/>
                      <w:lock w:val="sdtLocked"/>
                      <w:richText/>
                    </w:sdtPr>
                    <w:sdtContent>
                      <w:r>
                        <w:rPr>
                          <w:rFonts w:eastAsia="Arial Unicode MS"/>
                          <w:sz w:val="22"/>
                          <w:szCs w:val="22"/>
                          <w:lang w:eastAsia="en-GB"/>
                        </w:rPr>
                        <w:t>AUSTRIJOS RESPUBLIKOS FEDERALINĖS GYNYBOS MINISTERIJOS VARDU</w:t>
                      </w:r>
                    </w:sdtContent>
                  </w:sdt>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r>
                    <w:rPr>
                      <w:rFonts w:eastAsia="Arial Unicode MS"/>
                      <w:b/>
                      <w:sz w:val="22"/>
                      <w:szCs w:val="22"/>
                      <w:u w:val="single"/>
                      <w:lang w:val="en-US" w:eastAsia="en-GB"/>
                    </w:rPr>
                    <w:br w:type="page"/>
                  </w:r>
                </w:p>
              </w:sdtContent>
            </w:sdt>
            <w:sdt>
              <w:sdtPr>
                <w:alias w:val="poskyris"/>
                <w:tag w:val="part_279fc37d15f84e99825bba29e5fb58d3"/>
                <w:lock w:val="sdtLocked"/>
                <w:richText/>
              </w:sdtPr>
              <w:sdtContent>
                <w:p>
                  <w:pPr>
                    <w:spacing w:line="360" w:lineRule="auto"/>
                    <w:jc w:val="center"/>
                    <w:rPr>
                      <w:rFonts w:eastAsia="Arial Unicode MS"/>
                      <w:sz w:val="22"/>
                      <w:szCs w:val="22"/>
                      <w:lang w:val="en-US" w:eastAsia="en-GB"/>
                    </w:rPr>
                  </w:pPr>
                  <w:sdt>
                    <w:sdtPr>
                      <w:alias w:val="Pavadinimas"/>
                      <w:tag w:val="title_279fc37d15f84e99825bba29e5fb58d3"/>
                      <w:lock w:val="sdtLocked"/>
                      <w:richText/>
                    </w:sdtPr>
                    <w:sdtContent>
                      <w:r>
                        <w:rPr>
                          <w:rFonts w:eastAsia="Arial Unicode MS"/>
                          <w:sz w:val="22"/>
                          <w:szCs w:val="22"/>
                          <w:lang w:eastAsia="en-GB"/>
                        </w:rPr>
                        <w:t>KROATIJOS RESPUBLIKOS GYNYBOS MINISTERIJOS VARDU</w:t>
                      </w:r>
                    </w:sdtContent>
                  </w:sdt>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r>
                    <w:rPr>
                      <w:rFonts w:eastAsia="Arial Unicode MS"/>
                      <w:b/>
                      <w:sz w:val="22"/>
                      <w:szCs w:val="22"/>
                      <w:u w:val="single"/>
                      <w:lang w:val="en-US" w:eastAsia="en-GB"/>
                    </w:rPr>
                    <w:br w:type="page"/>
                  </w:r>
                </w:p>
                <w:p>
                  <w:pPr>
                    <w:rPr>
                      <w:rFonts w:eastAsia="Arial Unicode MS"/>
                      <w:b/>
                      <w:sz w:val="22"/>
                      <w:szCs w:val="22"/>
                      <w:u w:val="single"/>
                      <w:lang w:val="en-US" w:eastAsia="en-GB"/>
                    </w:rPr>
                  </w:pPr>
                </w:p>
              </w:sdtContent>
            </w:sdt>
            <w:sdt>
              <w:sdtPr>
                <w:alias w:val="poskyris"/>
                <w:tag w:val="part_36a1f79f45c5499e9bf287bb063e042f"/>
                <w:lock w:val="sdtLocked"/>
                <w:richText/>
              </w:sdtPr>
              <w:sdtContent>
                <w:p>
                  <w:pPr>
                    <w:tabs>
                      <w:tab w:val="left" w:pos="6695"/>
                    </w:tabs>
                    <w:spacing w:line="360" w:lineRule="auto"/>
                    <w:jc w:val="center"/>
                    <w:rPr>
                      <w:rFonts w:eastAsia="Arial Unicode MS"/>
                      <w:sz w:val="22"/>
                      <w:szCs w:val="22"/>
                      <w:lang w:val="en-US" w:eastAsia="en-GB"/>
                    </w:rPr>
                  </w:pPr>
                  <w:sdt>
                    <w:sdtPr>
                      <w:alias w:val="Pavadinimas"/>
                      <w:tag w:val="title_36a1f79f45c5499e9bf287bb063e042f"/>
                      <w:lock w:val="sdtLocked"/>
                      <w:richText/>
                    </w:sdtPr>
                    <w:sdtContent>
                      <w:r>
                        <w:rPr>
                          <w:rFonts w:eastAsia="Arial Unicode MS"/>
                          <w:sz w:val="22"/>
                          <w:szCs w:val="22"/>
                          <w:lang w:eastAsia="en-GB"/>
                        </w:rPr>
                        <w:t>KIPRO RESPUBLIKOS GYNYBOS MINISTERIJOS VARDU</w:t>
                      </w:r>
                    </w:sdtContent>
                  </w:sdt>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r>
                    <w:rPr>
                      <w:rFonts w:eastAsia="Arial Unicode MS"/>
                      <w:b/>
                      <w:sz w:val="22"/>
                      <w:szCs w:val="22"/>
                      <w:u w:val="single"/>
                      <w:lang w:val="en-US" w:eastAsia="en-GB"/>
                    </w:rPr>
                    <w:br w:type="page"/>
                  </w:r>
                </w:p>
              </w:sdtContent>
            </w:sdt>
            <w:sdt>
              <w:sdtPr>
                <w:alias w:val="poskyris"/>
                <w:tag w:val="part_d9c721263b19417598bc8365cbc0e25f"/>
                <w:lock w:val="sdtLocked"/>
                <w:richText/>
              </w:sdtPr>
              <w:sdtContent>
                <w:p>
                  <w:pPr>
                    <w:spacing w:line="360" w:lineRule="auto"/>
                    <w:ind w:firstLine="720"/>
                    <w:jc w:val="center"/>
                    <w:rPr>
                      <w:rFonts w:eastAsia="Arial Unicode MS"/>
                      <w:sz w:val="22"/>
                      <w:szCs w:val="22"/>
                      <w:lang w:val="en-US" w:eastAsia="en-GB"/>
                    </w:rPr>
                  </w:pPr>
                  <w:sdt>
                    <w:sdtPr>
                      <w:alias w:val="Pavadinimas"/>
                      <w:tag w:val="title_d9c721263b19417598bc8365cbc0e25f"/>
                      <w:lock w:val="sdtLocked"/>
                      <w:richText/>
                    </w:sdtPr>
                    <w:sdtContent>
                      <w:r>
                        <w:rPr>
                          <w:rFonts w:eastAsia="Arial Unicode MS"/>
                          <w:sz w:val="22"/>
                          <w:szCs w:val="22"/>
                          <w:lang w:eastAsia="en-GB"/>
                        </w:rPr>
                        <w:t>PRANCŪZIJOS RESPUBLIKOS GINKLUOTŲJŲ PAJĖGŲ MINISTRO VARDU</w:t>
                      </w:r>
                    </w:sdtContent>
                  </w:sdt>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p>
              </w:sdtContent>
            </w:sdt>
            <w:sdt>
              <w:sdtPr>
                <w:alias w:val="poskyris"/>
                <w:tag w:val="part_8c3fa7b7a53f4695b1fb16bf8ee9c197"/>
                <w:lock w:val="sdtLocked"/>
                <w:richText/>
              </w:sdtPr>
              <w:sdtContent>
                <w:p>
                  <w:pPr>
                    <w:spacing w:line="360" w:lineRule="auto"/>
                    <w:jc w:val="center"/>
                    <w:rPr>
                      <w:rFonts w:eastAsia="Arial Unicode MS"/>
                      <w:sz w:val="22"/>
                      <w:szCs w:val="22"/>
                      <w:lang w:val="en-US" w:eastAsia="en-GB"/>
                    </w:rPr>
                  </w:pPr>
                  <w:r>
                    <w:rPr>
                      <w:rFonts w:eastAsia="Arial Unicode MS"/>
                      <w:b/>
                      <w:sz w:val="22"/>
                      <w:szCs w:val="22"/>
                      <w:u w:val="single"/>
                      <w:lang w:val="en-US" w:eastAsia="en-GB"/>
                    </w:rPr>
                    <w:br w:type="page"/>
                  </w:r>
                  <w:sdt>
                    <w:sdtPr>
                      <w:alias w:val="Pavadinimas"/>
                      <w:tag w:val="title_8c3fa7b7a53f4695b1fb16bf8ee9c197"/>
                      <w:lock w:val="sdtLocked"/>
                      <w:richText/>
                    </w:sdtPr>
                    <w:sdtContent>
                      <w:r>
                        <w:rPr>
                          <w:rFonts w:eastAsia="Arial Unicode MS"/>
                          <w:sz w:val="22"/>
                          <w:szCs w:val="22"/>
                          <w:lang w:eastAsia="en-GB"/>
                        </w:rPr>
                        <w:t>GRAIKIJOS RESPUBLIKOS NACIONALINĖS GYNYBOS MINISTERIJOS VARDU</w:t>
                      </w:r>
                    </w:sdtContent>
                  </w:sdt>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p>
                <w:p>
                  <w:pPr>
                    <w:rPr>
                      <w:rFonts w:eastAsia="Arial Unicode MS"/>
                      <w:b/>
                      <w:sz w:val="22"/>
                      <w:szCs w:val="22"/>
                      <w:u w:val="single"/>
                      <w:lang w:val="en-US" w:eastAsia="en-GB"/>
                    </w:rPr>
                  </w:pPr>
                  <w:r>
                    <w:rPr>
                      <w:rFonts w:eastAsia="Arial Unicode MS"/>
                      <w:b/>
                      <w:sz w:val="22"/>
                      <w:szCs w:val="22"/>
                      <w:u w:val="single"/>
                      <w:lang w:val="en-US" w:eastAsia="en-GB"/>
                    </w:rPr>
                    <w:br w:type="page"/>
                  </w:r>
                </w:p>
              </w:sdtContent>
            </w:sdt>
            <w:sdt>
              <w:sdtPr>
                <w:alias w:val="poskyris"/>
                <w:tag w:val="part_6c43b5ee739f432a9c52b0f3a2b4332f"/>
                <w:lock w:val="sdtLocked"/>
                <w:richText/>
              </w:sdtPr>
              <w:sdtContent>
                <w:p>
                  <w:pPr>
                    <w:spacing w:line="360" w:lineRule="auto"/>
                    <w:jc w:val="center"/>
                    <w:rPr>
                      <w:rFonts w:eastAsia="Arial Unicode MS"/>
                      <w:sz w:val="22"/>
                      <w:szCs w:val="22"/>
                      <w:lang w:val="en-US" w:eastAsia="en-GB"/>
                    </w:rPr>
                  </w:pPr>
                  <w:sdt>
                    <w:sdtPr>
                      <w:alias w:val="Pavadinimas"/>
                      <w:tag w:val="title_6c43b5ee739f432a9c52b0f3a2b4332f"/>
                      <w:lock w:val="sdtLocked"/>
                      <w:richText/>
                    </w:sdtPr>
                    <w:sdtContent>
                      <w:r>
                        <w:rPr>
                          <w:rFonts w:eastAsia="Arial Unicode MS"/>
                          <w:sz w:val="22"/>
                          <w:szCs w:val="22"/>
                          <w:lang w:eastAsia="en-GB"/>
                        </w:rPr>
                        <w:t>AIRIJOS GYNYBOS MINISTRO VARDU</w:t>
                      </w:r>
                    </w:sdtContent>
                  </w:sdt>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r>
                    <w:rPr>
                      <w:rFonts w:eastAsia="Arial Unicode MS"/>
                      <w:b/>
                      <w:sz w:val="22"/>
                      <w:szCs w:val="22"/>
                      <w:u w:val="single"/>
                      <w:lang w:val="en-US" w:eastAsia="en-GB"/>
                    </w:rPr>
                    <w:br w:type="page"/>
                  </w:r>
                </w:p>
              </w:sdtContent>
            </w:sdt>
            <w:sdt>
              <w:sdtPr>
                <w:alias w:val="poskyris"/>
                <w:tag w:val="part_ba7a03c7b5bc48099a4d39f99c9311ae"/>
                <w:lock w:val="sdtLocked"/>
                <w:richText/>
              </w:sdtPr>
              <w:sdtContent>
                <w:p>
                  <w:pPr>
                    <w:spacing w:line="360" w:lineRule="auto"/>
                    <w:jc w:val="center"/>
                    <w:rPr>
                      <w:rFonts w:eastAsia="Arial Unicode MS"/>
                      <w:sz w:val="22"/>
                      <w:szCs w:val="22"/>
                      <w:lang w:val="en-US" w:eastAsia="en-GB"/>
                    </w:rPr>
                  </w:pPr>
                  <w:sdt>
                    <w:sdtPr>
                      <w:alias w:val="Pavadinimas"/>
                      <w:tag w:val="title_ba7a03c7b5bc48099a4d39f99c9311ae"/>
                      <w:lock w:val="sdtLocked"/>
                      <w:richText/>
                    </w:sdtPr>
                    <w:sdtContent>
                      <w:r>
                        <w:rPr>
                          <w:rFonts w:eastAsia="Arial Unicode MS"/>
                          <w:sz w:val="22"/>
                          <w:szCs w:val="22"/>
                          <w:lang w:eastAsia="en-GB"/>
                        </w:rPr>
                        <w:t>LATVIJOS RESPUBLIKOS GYNYBOS MINISTERIJOS VARDU</w:t>
                      </w:r>
                    </w:sdtContent>
                  </w:sdt>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r>
                    <w:rPr>
                      <w:rFonts w:eastAsia="Arial Unicode MS"/>
                      <w:b/>
                      <w:sz w:val="22"/>
                      <w:szCs w:val="22"/>
                      <w:u w:val="single"/>
                      <w:lang w:val="en-US" w:eastAsia="en-GB"/>
                    </w:rPr>
                    <w:br w:type="page"/>
                  </w:r>
                </w:p>
              </w:sdtContent>
            </w:sdt>
            <w:sdt>
              <w:sdtPr>
                <w:alias w:val="poskyris"/>
                <w:tag w:val="part_d8547a178ad748eb888bbe31fb6796b4"/>
                <w:lock w:val="sdtLocked"/>
                <w:richText/>
              </w:sdtPr>
              <w:sdtContent>
                <w:p>
                  <w:pPr>
                    <w:spacing w:line="360" w:lineRule="auto"/>
                    <w:jc w:val="center"/>
                    <w:rPr>
                      <w:rFonts w:eastAsia="Arial Unicode MS"/>
                      <w:sz w:val="22"/>
                      <w:szCs w:val="22"/>
                      <w:lang w:val="en-US" w:eastAsia="en-GB"/>
                    </w:rPr>
                  </w:pPr>
                  <w:sdt>
                    <w:sdtPr>
                      <w:alias w:val="Pavadinimas"/>
                      <w:tag w:val="title_d8547a178ad748eb888bbe31fb6796b4"/>
                      <w:lock w:val="sdtLocked"/>
                      <w:richText/>
                    </w:sdtPr>
                    <w:sdtContent>
                      <w:r>
                        <w:rPr>
                          <w:rFonts w:eastAsia="Arial Unicode MS"/>
                          <w:sz w:val="22"/>
                          <w:szCs w:val="22"/>
                          <w:lang w:eastAsia="en-GB"/>
                        </w:rPr>
                        <w:t>LIETUVOS RESPUBLIKOS GYNYBOS MINISTERIJOS VARDU</w:t>
                      </w:r>
                    </w:sdtContent>
                  </w:sdt>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r>
                    <w:rPr>
                      <w:rFonts w:eastAsia="Arial Unicode MS"/>
                      <w:b/>
                      <w:sz w:val="22"/>
                      <w:szCs w:val="22"/>
                      <w:u w:val="single"/>
                      <w:lang w:val="en-US" w:eastAsia="en-GB"/>
                    </w:rPr>
                    <w:br w:type="page"/>
                  </w:r>
                </w:p>
              </w:sdtContent>
            </w:sdt>
            <w:sdt>
              <w:sdtPr>
                <w:alias w:val="poskyris"/>
                <w:tag w:val="part_5035e4f870404f8297943dc61c33b303"/>
                <w:lock w:val="sdtLocked"/>
                <w:richText/>
              </w:sdtPr>
              <w:sdtContent>
                <w:p>
                  <w:pPr>
                    <w:spacing w:line="360" w:lineRule="auto"/>
                    <w:jc w:val="center"/>
                    <w:rPr>
                      <w:rFonts w:eastAsia="Arial Unicode MS"/>
                      <w:sz w:val="22"/>
                      <w:szCs w:val="22"/>
                      <w:lang w:val="en-US" w:eastAsia="en-GB"/>
                    </w:rPr>
                  </w:pPr>
                  <w:sdt>
                    <w:sdtPr>
                      <w:alias w:val="Pavadinimas"/>
                      <w:tag w:val="title_5035e4f870404f8297943dc61c33b303"/>
                      <w:lock w:val="sdtLocked"/>
                      <w:richText/>
                    </w:sdtPr>
                    <w:sdtContent>
                      <w:r>
                        <w:rPr>
                          <w:rFonts w:eastAsia="Arial Unicode MS"/>
                          <w:sz w:val="22"/>
                          <w:szCs w:val="22"/>
                          <w:lang w:eastAsia="en-GB"/>
                        </w:rPr>
                        <w:t>PORTUGALIJOS RESPUBLIKOS KRAŠTO APSAUGOS MINISTERIJOS VARDU</w:t>
                      </w:r>
                    </w:sdtContent>
                  </w:sdt>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r>
                    <w:rPr>
                      <w:rFonts w:eastAsia="Arial Unicode MS"/>
                      <w:b/>
                      <w:sz w:val="22"/>
                      <w:szCs w:val="22"/>
                      <w:u w:val="single"/>
                      <w:lang w:val="en-US" w:eastAsia="en-GB"/>
                    </w:rPr>
                    <w:br w:type="page"/>
                  </w:r>
                </w:p>
                <w:p>
                  <w:pPr>
                    <w:spacing w:line="360" w:lineRule="auto"/>
                    <w:ind w:firstLine="57"/>
                    <w:jc w:val="center"/>
                    <w:rPr>
                      <w:rFonts w:eastAsia="Arial Unicode MS"/>
                      <w:sz w:val="22"/>
                      <w:szCs w:val="22"/>
                      <w:lang w:val="en-US" w:eastAsia="en-GB"/>
                    </w:rPr>
                  </w:pPr>
                </w:p>
                <w:p>
                  <w:pPr>
                    <w:rPr>
                      <w:sz w:val="10"/>
                      <w:szCs w:val="10"/>
                    </w:rPr>
                  </w:pPr>
                </w:p>
              </w:sdtContent>
            </w:sdt>
            <w:sdt>
              <w:sdtPr>
                <w:alias w:val="poskyris"/>
                <w:tag w:val="part_219a6bd0c2a1411c8ff4344d03da5b34"/>
                <w:lock w:val="sdtLocked"/>
                <w:richText/>
              </w:sdtPr>
              <w:sdtContent>
                <w:p>
                  <w:pPr>
                    <w:spacing w:line="360" w:lineRule="auto"/>
                    <w:jc w:val="center"/>
                    <w:rPr>
                      <w:rFonts w:eastAsia="Arial Unicode MS"/>
                      <w:sz w:val="22"/>
                      <w:szCs w:val="22"/>
                      <w:lang w:val="en-US" w:eastAsia="en-GB"/>
                    </w:rPr>
                  </w:pPr>
                  <w:sdt>
                    <w:sdtPr>
                      <w:alias w:val="Pavadinimas"/>
                      <w:tag w:val="title_219a6bd0c2a1411c8ff4344d03da5b34"/>
                      <w:lock w:val="sdtLocked"/>
                      <w:richText/>
                    </w:sdtPr>
                    <w:sdtContent>
                      <w:r>
                        <w:rPr>
                          <w:rFonts w:eastAsia="Arial Unicode MS"/>
                          <w:sz w:val="22"/>
                          <w:szCs w:val="22"/>
                          <w:lang w:eastAsia="en-GB"/>
                        </w:rPr>
                        <w:t>RUMUNIJOS KRAŠTO APSAUGOS MINISTERIJOS VARDU</w:t>
                      </w:r>
                    </w:sdtContent>
                  </w:sdt>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r>
                    <w:rPr>
                      <w:rFonts w:eastAsia="Arial Unicode MS"/>
                      <w:b/>
                      <w:sz w:val="22"/>
                      <w:szCs w:val="22"/>
                      <w:u w:val="single"/>
                      <w:lang w:val="en-US" w:eastAsia="en-GB"/>
                    </w:rPr>
                    <w:br w:type="page"/>
                  </w:r>
                </w:p>
                <w:p>
                  <w:pPr>
                    <w:rPr>
                      <w:rFonts w:eastAsia="Arial Unicode MS"/>
                      <w:sz w:val="22"/>
                      <w:szCs w:val="22"/>
                      <w:lang w:val="en-US" w:eastAsia="en-GB"/>
                    </w:rPr>
                  </w:pPr>
                </w:p>
              </w:sdtContent>
            </w:sdt>
            <w:sdt>
              <w:sdtPr>
                <w:alias w:val="poskyris"/>
                <w:tag w:val="part_bb8ee80e1a804ef0a701e692c7363e1e"/>
                <w:lock w:val="sdtLocked"/>
                <w:richText/>
              </w:sdtPr>
              <w:sdtContent>
                <w:p>
                  <w:pPr>
                    <w:spacing w:line="360" w:lineRule="auto"/>
                    <w:jc w:val="center"/>
                    <w:rPr>
                      <w:rFonts w:eastAsia="Arial Unicode MS"/>
                      <w:sz w:val="22"/>
                      <w:szCs w:val="22"/>
                      <w:lang w:val="en-US" w:eastAsia="en-GB"/>
                    </w:rPr>
                  </w:pPr>
                  <w:sdt>
                    <w:sdtPr>
                      <w:alias w:val="Pavadinimas"/>
                      <w:tag w:val="title_bb8ee80e1a804ef0a701e692c7363e1e"/>
                      <w:lock w:val="sdtLocked"/>
                      <w:richText/>
                    </w:sdtPr>
                    <w:sdtContent>
                      <w:r>
                        <w:rPr>
                          <w:rFonts w:eastAsia="Arial Unicode MS"/>
                          <w:sz w:val="22"/>
                          <w:szCs w:val="22"/>
                          <w:lang w:eastAsia="en-GB"/>
                        </w:rPr>
                        <w:t>SLOVAKIJOS RESPUBLIKOS GYNYBOS MINISTERIJOS VARDU</w:t>
                      </w:r>
                    </w:sdtContent>
                  </w:sdt>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eastAsia="en-GB"/>
                    </w:rPr>
                    <w:t>Data</w:t>
                  </w:r>
                </w:p>
                <w:p>
                  <w:pPr>
                    <w:rPr>
                      <w:rFonts w:eastAsia="Arial Unicode MS"/>
                      <w:b/>
                      <w:sz w:val="22"/>
                      <w:szCs w:val="22"/>
                      <w:u w:val="single"/>
                      <w:lang w:val="en-US" w:eastAsia="en-GB"/>
                    </w:rPr>
                  </w:pPr>
                  <w:r>
                    <w:rPr>
                      <w:rFonts w:eastAsia="Arial Unicode MS"/>
                      <w:b/>
                      <w:sz w:val="22"/>
                      <w:szCs w:val="22"/>
                      <w:u w:val="single"/>
                      <w:lang w:val="en-US" w:eastAsia="en-GB"/>
                    </w:rPr>
                    <w:br w:type="page"/>
                  </w:r>
                </w:p>
                <w:p>
                  <w:pPr>
                    <w:rPr>
                      <w:rFonts w:eastAsia="Arial Unicode MS"/>
                      <w:b/>
                      <w:sz w:val="22"/>
                      <w:szCs w:val="22"/>
                      <w:u w:val="single"/>
                      <w:lang w:val="en-US" w:eastAsia="en-GB"/>
                    </w:rPr>
                  </w:pPr>
                </w:p>
                <w:p>
                  <w:pPr>
                    <w:spacing w:line="360" w:lineRule="auto"/>
                    <w:ind w:left="520"/>
                    <w:jc w:val="center"/>
                    <w:rPr>
                      <w:rFonts w:eastAsia="Arial Unicode MS"/>
                      <w:sz w:val="22"/>
                      <w:szCs w:val="22"/>
                      <w:lang w:val="en-US" w:eastAsia="en-GB"/>
                    </w:rPr>
                  </w:pPr>
                  <w:r>
                    <w:rPr>
                      <w:rFonts w:eastAsia="Arial Unicode MS"/>
                      <w:sz w:val="22"/>
                      <w:szCs w:val="22"/>
                      <w:lang w:val="en-US" w:eastAsia="en-GB"/>
                    </w:rPr>
                    <w:t>For</w:t>
                  </w:r>
                  <w:r>
                    <w:rPr>
                      <w:rFonts w:eastAsia="Arial Unicode MS"/>
                      <w:spacing w:val="-2"/>
                      <w:sz w:val="22"/>
                      <w:szCs w:val="22"/>
                      <w:lang w:val="en-US" w:eastAsia="en-GB"/>
                    </w:rPr>
                    <w:t xml:space="preserve"> </w:t>
                  </w:r>
                  <w:r>
                    <w:rPr>
                      <w:rFonts w:eastAsia="Arial Unicode MS"/>
                      <w:sz w:val="22"/>
                      <w:szCs w:val="22"/>
                      <w:lang w:val="en-US" w:eastAsia="en-GB"/>
                    </w:rPr>
                    <w:t>the FÖRSVARETS MATERIELVERK OF THE KINGDOM OF SWEDEN</w:t>
                  </w:r>
                </w:p>
                <w:p>
                  <w:pPr>
                    <w:spacing w:line="360" w:lineRule="auto"/>
                    <w:jc w:val="center"/>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en-US"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tabs>
                      <w:tab w:val="left" w:pos="1420"/>
                    </w:tabs>
                    <w:spacing w:line="360" w:lineRule="auto"/>
                    <w:ind w:left="520"/>
                    <w:rPr>
                      <w:rFonts w:eastAsia="Arial Unicode MS"/>
                      <w:sz w:val="22"/>
                      <w:szCs w:val="22"/>
                      <w:lang w:val="en-US" w:eastAsia="en-GB"/>
                    </w:rPr>
                  </w:pPr>
                  <w:r>
                    <w:rPr>
                      <w:rFonts w:eastAsia="Arial Unicode MS"/>
                      <w:sz w:val="22"/>
                      <w:szCs w:val="22"/>
                      <w:lang w:eastAsia="en-GB"/>
                    </w:rPr>
                    <w:t>Vieta</w:t>
                  </w:r>
                  <w:r>
                    <w:rPr>
                      <w:rFonts w:eastAsia="Arial Unicode MS"/>
                      <w:sz w:val="22"/>
                      <w:szCs w:val="22"/>
                      <w:lang w:val="en-US" w:eastAsia="en-GB"/>
                    </w:rPr>
                    <w:tab/>
                    <w:t>..................................................................................................</w:t>
                  </w: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rPr>
                      <w:rFonts w:eastAsia="Arial Unicode MS"/>
                      <w:b/>
                      <w:sz w:val="22"/>
                      <w:szCs w:val="22"/>
                      <w:u w:val="single"/>
                      <w:lang w:val="en-US" w:eastAsia="en-GB"/>
                    </w:rPr>
                  </w:pPr>
                  <w:r>
                    <w:rPr>
                      <w:rFonts w:eastAsia="Arial Unicode MS"/>
                      <w:sz w:val="22"/>
                      <w:szCs w:val="22"/>
                      <w:lang w:eastAsia="en-GB"/>
                    </w:rPr>
                    <w:t>Data</w:t>
                  </w:r>
                  <w:r>
                    <w:rPr>
                      <w:rFonts w:eastAsia="Arial Unicode MS"/>
                      <w:b/>
                      <w:sz w:val="22"/>
                      <w:szCs w:val="22"/>
                      <w:u w:val="single"/>
                      <w:lang w:val="en-US" w:eastAsia="en-GB"/>
                    </w:rPr>
                    <w:br w:type="page"/>
                  </w:r>
                </w:p>
                <w:p>
                  <w:pPr>
                    <w:jc w:val="center"/>
                    <w:rPr>
                      <w:rFonts w:eastAsia="Arial Unicode MS"/>
                      <w:sz w:val="22"/>
                      <w:szCs w:val="22"/>
                      <w:lang w:val="en-US" w:eastAsia="en-GB"/>
                    </w:rPr>
                  </w:pPr>
                  <w:r>
                    <w:rPr>
                      <w:rFonts w:eastAsia="Arial Unicode MS"/>
                      <w:sz w:val="22"/>
                      <w:szCs w:val="22"/>
                      <w:lang w:eastAsia="en-GB"/>
                    </w:rPr>
                    <w:t>Europos gynybos agentūra</w:t>
                  </w:r>
                </w:p>
                <w:p>
                  <w:pPr>
                    <w:spacing w:line="360" w:lineRule="auto"/>
                    <w:jc w:val="center"/>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rPr>
                      <w:rFonts w:eastAsia="Arial Unicode MS"/>
                      <w:sz w:val="22"/>
                      <w:szCs w:val="22"/>
                      <w:lang w:val="en-US" w:eastAsia="en-GB"/>
                    </w:rPr>
                  </w:pPr>
                </w:p>
                <w:p>
                  <w:pPr>
                    <w:rPr>
                      <w:sz w:val="10"/>
                      <w:szCs w:val="10"/>
                    </w:rPr>
                  </w:pPr>
                </w:p>
                <w:p>
                  <w:pPr>
                    <w:spacing w:line="360" w:lineRule="auto"/>
                    <w:ind w:left="498"/>
                    <w:rPr>
                      <w:rFonts w:eastAsia="Arial Unicode MS"/>
                      <w:sz w:val="22"/>
                      <w:szCs w:val="22"/>
                      <w:lang w:val="fr-BE" w:eastAsia="en-GB"/>
                    </w:rPr>
                  </w:pPr>
                  <w:r>
                    <w:rPr>
                      <w:rFonts w:eastAsia="Arial Unicode MS"/>
                      <w:sz w:val="22"/>
                      <w:szCs w:val="22"/>
                      <w:lang w:val="en-US" w:eastAsia="en-GB"/>
                    </w:rPr>
                    <w:t>Parašas</w:t>
                  </w:r>
                  <w:r>
                    <w:rPr>
                      <w:rFonts w:eastAsia="Arial Unicode MS"/>
                      <w:spacing w:val="-4"/>
                      <w:sz w:val="22"/>
                      <w:szCs w:val="22"/>
                      <w:lang w:val="en-US" w:eastAsia="en-GB"/>
                    </w:rPr>
                    <w:t>.</w:t>
                  </w:r>
                  <w:r>
                    <w:rPr>
                      <w:rFonts w:eastAsia="Arial Unicode MS"/>
                      <w:sz w:val="22"/>
                      <w:szCs w:val="22"/>
                      <w:lang w:val="en-US" w:eastAsia="en-GB"/>
                    </w:rPr>
                    <w:t>.........................................................................................................</w:t>
                  </w:r>
                </w:p>
                <w:p>
                  <w:pPr>
                    <w:spacing w:line="360" w:lineRule="auto"/>
                    <w:rPr>
                      <w:rFonts w:eastAsia="Arial Unicode MS"/>
                      <w:sz w:val="22"/>
                      <w:szCs w:val="22"/>
                      <w:lang w:val="fr-BE" w:eastAsia="en-GB"/>
                    </w:rPr>
                  </w:pPr>
                </w:p>
                <w:p>
                  <w:pPr>
                    <w:rPr>
                      <w:sz w:val="10"/>
                      <w:szCs w:val="10"/>
                    </w:rPr>
                  </w:pPr>
                </w:p>
                <w:p>
                  <w:pPr>
                    <w:spacing w:line="360" w:lineRule="auto"/>
                    <w:rPr>
                      <w:rFonts w:eastAsia="Arial Unicode MS"/>
                      <w:sz w:val="22"/>
                      <w:szCs w:val="22"/>
                      <w:lang w:val="fr-BE" w:eastAsia="en-GB"/>
                    </w:rPr>
                  </w:pPr>
                </w:p>
                <w:p>
                  <w:pPr>
                    <w:rPr>
                      <w:sz w:val="10"/>
                      <w:szCs w:val="10"/>
                    </w:rPr>
                  </w:pPr>
                </w:p>
                <w:p>
                  <w:pPr>
                    <w:spacing w:line="360" w:lineRule="auto"/>
                    <w:rPr>
                      <w:rFonts w:eastAsia="Arial Unicode MS"/>
                      <w:sz w:val="22"/>
                      <w:szCs w:val="22"/>
                      <w:lang w:val="fr-BE" w:eastAsia="en-GB"/>
                    </w:rPr>
                  </w:pPr>
                </w:p>
                <w:p>
                  <w:pPr>
                    <w:rPr>
                      <w:sz w:val="10"/>
                      <w:szCs w:val="10"/>
                    </w:rPr>
                  </w:pPr>
                </w:p>
                <w:p>
                  <w:pPr>
                    <w:spacing w:line="360" w:lineRule="auto"/>
                    <w:rPr>
                      <w:rFonts w:eastAsia="Arial Unicode MS"/>
                      <w:sz w:val="22"/>
                      <w:szCs w:val="22"/>
                      <w:lang w:val="fr-BE" w:eastAsia="en-GB"/>
                    </w:rPr>
                  </w:pPr>
                </w:p>
                <w:p>
                  <w:pPr>
                    <w:rPr>
                      <w:sz w:val="10"/>
                      <w:szCs w:val="10"/>
                    </w:rPr>
                  </w:pPr>
                </w:p>
                <w:p>
                  <w:pPr>
                    <w:spacing w:line="360" w:lineRule="auto"/>
                    <w:rPr>
                      <w:rFonts w:eastAsia="Arial Unicode MS"/>
                      <w:sz w:val="22"/>
                      <w:szCs w:val="22"/>
                      <w:lang w:val="fr-BE" w:eastAsia="en-GB"/>
                    </w:rPr>
                  </w:pPr>
                </w:p>
                <w:p>
                  <w:pPr>
                    <w:rPr>
                      <w:sz w:val="10"/>
                      <w:szCs w:val="10"/>
                    </w:rPr>
                  </w:pPr>
                </w:p>
                <w:p>
                  <w:pPr>
                    <w:spacing w:line="360" w:lineRule="auto"/>
                    <w:rPr>
                      <w:rFonts w:eastAsia="Arial Unicode MS"/>
                      <w:sz w:val="22"/>
                      <w:szCs w:val="22"/>
                      <w:lang w:val="fr-BE" w:eastAsia="en-GB"/>
                    </w:rPr>
                  </w:pPr>
                </w:p>
                <w:p>
                  <w:pPr>
                    <w:rPr>
                      <w:sz w:val="10"/>
                      <w:szCs w:val="10"/>
                    </w:rPr>
                  </w:pPr>
                </w:p>
                <w:p>
                  <w:pPr>
                    <w:tabs>
                      <w:tab w:val="left" w:pos="1420"/>
                    </w:tabs>
                    <w:spacing w:line="360" w:lineRule="auto"/>
                    <w:ind w:left="520"/>
                    <w:rPr>
                      <w:rFonts w:eastAsia="Arial Unicode MS"/>
                      <w:sz w:val="22"/>
                      <w:szCs w:val="22"/>
                      <w:lang w:val="fr-BE" w:eastAsia="en-GB"/>
                    </w:rPr>
                  </w:pPr>
                  <w:r>
                    <w:rPr>
                      <w:rFonts w:eastAsia="Arial Unicode MS"/>
                      <w:sz w:val="22"/>
                      <w:szCs w:val="22"/>
                      <w:lang w:eastAsia="en-GB"/>
                    </w:rPr>
                    <w:t>Vieta</w:t>
                  </w:r>
                  <w:r>
                    <w:rPr>
                      <w:rFonts w:eastAsia="Arial Unicode MS"/>
                      <w:sz w:val="22"/>
                      <w:szCs w:val="22"/>
                      <w:lang w:val="fr-BE" w:eastAsia="en-GB"/>
                    </w:rPr>
                    <w:tab/>
                    <w:t>..................................................................................................</w:t>
                  </w:r>
                </w:p>
                <w:p>
                  <w:pPr>
                    <w:rPr>
                      <w:sz w:val="10"/>
                      <w:szCs w:val="10"/>
                    </w:rPr>
                  </w:pPr>
                </w:p>
                <w:p>
                  <w:pPr>
                    <w:spacing w:line="360" w:lineRule="auto"/>
                    <w:rPr>
                      <w:rFonts w:eastAsia="Arial Unicode MS"/>
                      <w:sz w:val="22"/>
                      <w:szCs w:val="22"/>
                      <w:lang w:val="fr-BE" w:eastAsia="en-GB"/>
                    </w:rPr>
                  </w:pPr>
                </w:p>
                <w:p>
                  <w:pPr>
                    <w:rPr>
                      <w:sz w:val="10"/>
                      <w:szCs w:val="10"/>
                    </w:rPr>
                  </w:pPr>
                </w:p>
                <w:p>
                  <w:pPr>
                    <w:spacing w:line="360" w:lineRule="auto"/>
                    <w:rPr>
                      <w:rFonts w:eastAsia="Arial Unicode MS"/>
                      <w:sz w:val="22"/>
                      <w:szCs w:val="22"/>
                      <w:lang w:val="fr-BE" w:eastAsia="en-GB"/>
                    </w:rPr>
                  </w:pPr>
                </w:p>
                <w:p>
                  <w:pPr>
                    <w:rPr>
                      <w:sz w:val="10"/>
                      <w:szCs w:val="10"/>
                    </w:rPr>
                  </w:pPr>
                </w:p>
                <w:p>
                  <w:pPr>
                    <w:spacing w:line="360" w:lineRule="auto"/>
                    <w:rPr>
                      <w:rFonts w:eastAsia="Arial Unicode MS"/>
                      <w:sz w:val="22"/>
                      <w:szCs w:val="22"/>
                      <w:lang w:val="fr-BE" w:eastAsia="en-GB"/>
                    </w:rPr>
                  </w:pPr>
                </w:p>
                <w:p>
                  <w:pPr>
                    <w:rPr>
                      <w:sz w:val="10"/>
                      <w:szCs w:val="10"/>
                    </w:rPr>
                  </w:pPr>
                </w:p>
                <w:p>
                  <w:pPr>
                    <w:spacing w:line="360" w:lineRule="auto"/>
                    <w:rPr>
                      <w:rFonts w:eastAsia="Arial Unicode MS"/>
                      <w:sz w:val="22"/>
                      <w:szCs w:val="22"/>
                      <w:lang w:val="fr-BE" w:eastAsia="en-GB"/>
                    </w:rPr>
                  </w:pPr>
                </w:p>
                <w:p>
                  <w:pPr>
                    <w:rPr>
                      <w:sz w:val="10"/>
                      <w:szCs w:val="10"/>
                    </w:rPr>
                  </w:pPr>
                </w:p>
                <w:p>
                  <w:pPr>
                    <w:spacing w:line="360" w:lineRule="auto"/>
                    <w:rPr>
                      <w:rFonts w:eastAsia="Arial Unicode MS"/>
                      <w:sz w:val="22"/>
                      <w:szCs w:val="22"/>
                      <w:lang w:val="fr-BE" w:eastAsia="en-GB"/>
                    </w:rPr>
                  </w:pPr>
                </w:p>
                <w:p>
                  <w:pPr>
                    <w:rPr>
                      <w:sz w:val="10"/>
                      <w:szCs w:val="10"/>
                    </w:rPr>
                  </w:pPr>
                </w:p>
                <w:p>
                  <w:pPr>
                    <w:spacing w:line="360" w:lineRule="auto"/>
                    <w:ind w:left="498"/>
                    <w:rPr>
                      <w:rFonts w:eastAsia="Arial Unicode MS"/>
                      <w:sz w:val="22"/>
                      <w:szCs w:val="22"/>
                      <w:lang w:val="fr-BE" w:eastAsia="en-GB"/>
                    </w:rPr>
                  </w:pPr>
                  <w:r>
                    <w:rPr>
                      <w:rFonts w:eastAsia="Arial Unicode MS"/>
                      <w:sz w:val="22"/>
                      <w:szCs w:val="22"/>
                      <w:lang w:eastAsia="en-GB"/>
                    </w:rPr>
                    <w:t>Data</w:t>
                  </w:r>
                </w:p>
                <w:p>
                  <w:pPr>
                    <w:rPr>
                      <w:rFonts w:eastAsia="Arial Unicode MS"/>
                      <w:b/>
                      <w:sz w:val="22"/>
                      <w:szCs w:val="22"/>
                      <w:u w:val="single"/>
                      <w:lang w:val="fr-BE" w:eastAsia="en-GB"/>
                    </w:rPr>
                  </w:pPr>
                  <w:r>
                    <w:rPr>
                      <w:rFonts w:eastAsia="Arial Unicode MS"/>
                      <w:b/>
                      <w:sz w:val="22"/>
                      <w:szCs w:val="22"/>
                      <w:u w:val="single"/>
                      <w:lang w:val="fr-BE" w:eastAsia="en-GB"/>
                    </w:rPr>
                    <w:br w:type="page"/>
                  </w:r>
                </w:p>
                <w:p>
                  <w:pPr>
                    <w:rPr>
                      <w:rFonts w:eastAsia="Arial Unicode MS"/>
                      <w:b/>
                      <w:sz w:val="22"/>
                      <w:szCs w:val="22"/>
                      <w:u w:val="single"/>
                      <w:lang w:val="fr-BE" w:eastAsia="en-GB"/>
                    </w:rPr>
                    <w:sectPr>
                      <w:headerReference w:type="default" r:id="rId18"/>
                      <w:pgSz w:w="11910" w:h="16840" w:code="9"/>
                      <w:pgMar w:top="1420" w:right="580" w:bottom="940" w:left="560" w:header="568" w:footer="756" w:gutter="0"/>
                      <w:cols w:space="720"/>
                      <w:rtlGutter/>
                      <w:docGrid w:linePitch="326"/>
                    </w:sectPr>
                  </w:pPr>
                </w:p>
                <w:p>
                  <w:pPr>
                    <w:spacing w:line="360" w:lineRule="auto"/>
                    <w:rPr>
                      <w:rFonts w:eastAsia="Arial Unicode MS"/>
                      <w:b/>
                      <w:sz w:val="22"/>
                      <w:szCs w:val="22"/>
                      <w:u w:val="single"/>
                      <w:lang w:val="fr-BE" w:eastAsia="en-GB"/>
                    </w:rPr>
                  </w:pPr>
                  <w:r>
                    <w:rPr>
                      <w:rFonts w:eastAsia="Arial Unicode MS"/>
                      <w:b/>
                      <w:sz w:val="22"/>
                      <w:szCs w:val="22"/>
                      <w:u w:val="single"/>
                      <w:lang w:eastAsia="en-GB"/>
                    </w:rPr>
                    <w:t>1 PRIEDAS</w:t>
                  </w:r>
                </w:p>
                <w:p>
                  <w:pPr>
                    <w:rPr>
                      <w:sz w:val="20"/>
                    </w:rPr>
                  </w:pPr>
                </w:p>
              </w:sdtContent>
            </w:sdt>
            <w:sdt>
              <w:sdtPr>
                <w:alias w:val="poskyris"/>
                <w:tag w:val="part_aca8cdcd5e304ea9bb849554d0afb9df"/>
                <w:lock w:val="sdtLocked"/>
                <w:richText/>
              </w:sdtPr>
              <w:sdtContent>
                <w:p>
                  <w:pPr>
                    <w:keepNext/>
                    <w:keepLines/>
                    <w:rPr>
                      <w:rFonts w:eastAsia="Arial Unicode MS"/>
                      <w:b/>
                      <w:sz w:val="22"/>
                      <w:szCs w:val="22"/>
                      <w:lang w:val="fr-BE" w:eastAsia="en-GB"/>
                    </w:rPr>
                  </w:pPr>
                  <w:sdt>
                    <w:sdtPr>
                      <w:alias w:val="Pavadinimas"/>
                      <w:tag w:val="title_aca8cdcd5e304ea9bb849554d0afb9df"/>
                      <w:lock w:val="sdtLocked"/>
                      <w:richText/>
                    </w:sdtPr>
                    <w:sdtContent>
                      <w:r>
                        <w:rPr>
                          <w:rFonts w:eastAsia="Arial Unicode MS"/>
                          <w:b/>
                          <w:sz w:val="22"/>
                          <w:szCs w:val="22"/>
                          <w:lang w:eastAsia="en-GB"/>
                        </w:rPr>
                        <w:t>Pagrindinės organizacijos</w:t>
                      </w:r>
                    </w:sdtContent>
                  </w:sdt>
                </w:p>
                <w:p>
                  <w:pPr>
                    <w:rPr>
                      <w:sz w:val="20"/>
                    </w:rPr>
                  </w:pPr>
                </w:p>
                <w:p>
                  <w:pPr>
                    <w:widowControl w:val="0"/>
                    <w:spacing w:line="360" w:lineRule="auto"/>
                    <w:ind w:left="792" w:right="-3"/>
                    <w:jc w:val="both"/>
                    <w:rPr>
                      <w:rFonts w:eastAsia="Arial Unicode MS"/>
                      <w:sz w:val="22"/>
                      <w:szCs w:val="22"/>
                      <w:lang w:val="en-GB" w:eastAsia="en-GB"/>
                    </w:rPr>
                  </w:pPr>
                  <w:r>
                    <w:rPr>
                      <w:rFonts w:eastAsia="Arial Unicode MS"/>
                      <w:sz w:val="22"/>
                      <w:szCs w:val="22"/>
                      <w:lang w:eastAsia="en-GB"/>
                    </w:rPr>
                    <w:t>Pagrindinės organizacijos, atsakingos už CPoCHBRB Projekto vykdymą:</w:t>
                  </w:r>
                </w:p>
                <w:tbl>
                  <w:tblPr>
                    <w:tblW w:w="0" w:type="auto"/>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2943"/>
                    <w:gridCol w:w="5973"/>
                  </w:tblGrid>
                  <w:tr>
                    <w:trPr>
                      <w:trHeight w:val="612"/>
                    </w:trPr>
                    <w:tc>
                      <w:tcPr>
                        <w:tcW w:w="2943" w:type="dxa"/>
                        <w:tcBorders>
                          <w:bottom w:val="thickThinMediumGap" w:sz="6" w:space="0" w:color="C0C0C0"/>
                          <w:right w:val="thickThinMediumGap" w:sz="6" w:space="0" w:color="C0C0C0"/>
                        </w:tcBorders>
                      </w:tcPr>
                      <w:p>
                        <w:pPr>
                          <w:widowControl w:val="0"/>
                          <w:spacing w:line="360" w:lineRule="auto"/>
                          <w:ind w:left="1238" w:right="1244"/>
                          <w:jc w:val="center"/>
                          <w:rPr>
                            <w:rFonts w:eastAsia="Arial Unicode MS"/>
                            <w:b/>
                            <w:sz w:val="22"/>
                            <w:szCs w:val="22"/>
                            <w:lang w:val="en-US" w:eastAsia="en-GB"/>
                          </w:rPr>
                        </w:pPr>
                        <w:r>
                          <w:rPr>
                            <w:rFonts w:eastAsia="Arial Unicode MS"/>
                            <w:b/>
                            <w:sz w:val="22"/>
                            <w:szCs w:val="22"/>
                            <w:lang w:val="en-US" w:eastAsia="en-GB"/>
                          </w:rPr>
                          <w:t>cMs</w:t>
                        </w:r>
                      </w:p>
                    </w:tc>
                    <w:tc>
                      <w:tcPr>
                        <w:tcW w:w="5973" w:type="dxa"/>
                        <w:tcBorders>
                          <w:left w:val="thinThickMediumGap" w:sz="6" w:space="0" w:color="C0C0C0"/>
                          <w:bottom w:val="thickThinMediumGap" w:sz="6" w:space="0" w:color="C0C0C0"/>
                          <w:right w:val="single" w:sz="6" w:space="0" w:color="C0C0C0"/>
                        </w:tcBorders>
                      </w:tcPr>
                      <w:p>
                        <w:pPr>
                          <w:widowControl w:val="0"/>
                          <w:spacing w:line="360" w:lineRule="auto"/>
                          <w:ind w:left="1760"/>
                          <w:rPr>
                            <w:rFonts w:eastAsia="Arial Unicode MS"/>
                            <w:b/>
                            <w:sz w:val="22"/>
                            <w:szCs w:val="22"/>
                            <w:lang w:val="en-US" w:eastAsia="en-GB"/>
                          </w:rPr>
                        </w:pPr>
                        <w:r>
                          <w:rPr>
                            <w:rFonts w:eastAsia="Arial Unicode MS"/>
                            <w:b/>
                            <w:sz w:val="22"/>
                            <w:szCs w:val="22"/>
                            <w:lang w:val="en-US" w:eastAsia="en-GB"/>
                          </w:rPr>
                          <w:t>Pagrdindinės organizacijos</w:t>
                        </w:r>
                      </w:p>
                    </w:tc>
                  </w:tr>
                  <w:tr>
                    <w:trPr>
                      <w:trHeight w:val="433"/>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Austrijos cM</w:t>
                        </w:r>
                      </w:p>
                      <w:p>
                        <w:pPr>
                          <w:widowControl w:val="0"/>
                          <w:spacing w:line="360" w:lineRule="auto"/>
                          <w:ind w:left="56"/>
                          <w:rPr>
                            <w:rFonts w:eastAsia="Arial Unicode MS"/>
                            <w:sz w:val="22"/>
                            <w:szCs w:val="22"/>
                            <w:lang w:val="en-US"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276" w:lineRule="auto"/>
                          <w:ind w:left="107"/>
                          <w:rPr>
                            <w:rFonts w:eastAsia="Arial Unicode MS"/>
                            <w:sz w:val="22"/>
                            <w:szCs w:val="22"/>
                            <w:lang w:val="de-AT" w:eastAsia="en-GB"/>
                          </w:rPr>
                        </w:pPr>
                        <w:r>
                          <w:rPr>
                            <w:rFonts w:eastAsia="Arial Unicode MS"/>
                            <w:sz w:val="22"/>
                            <w:szCs w:val="22"/>
                            <w:lang w:val="en-US" w:eastAsia="en-GB"/>
                          </w:rPr>
                          <w:t>Bundesministerium für Landesverteidigung</w:t>
                        </w:r>
                      </w:p>
                      <w:p>
                        <w:pPr>
                          <w:widowControl w:val="0"/>
                          <w:spacing w:line="276" w:lineRule="auto"/>
                          <w:ind w:left="107"/>
                          <w:rPr>
                            <w:rFonts w:eastAsia="Arial Unicode MS"/>
                            <w:sz w:val="22"/>
                            <w:szCs w:val="22"/>
                            <w:lang w:val="de-AT" w:eastAsia="en-GB"/>
                          </w:rPr>
                        </w:pPr>
                        <w:r>
                          <w:rPr>
                            <w:rFonts w:eastAsia="Arial Unicode MS"/>
                            <w:sz w:val="22"/>
                            <w:szCs w:val="22"/>
                            <w:lang w:val="en-US" w:eastAsia="en-GB"/>
                          </w:rPr>
                          <w:t>Generaldirektion für Landesverteidigung</w:t>
                        </w:r>
                      </w:p>
                      <w:p>
                        <w:pPr>
                          <w:widowControl w:val="0"/>
                          <w:spacing w:line="276" w:lineRule="auto"/>
                          <w:ind w:left="107"/>
                          <w:rPr>
                            <w:rFonts w:eastAsia="Arial Unicode MS"/>
                            <w:sz w:val="22"/>
                            <w:szCs w:val="22"/>
                            <w:lang w:val="de-AT" w:eastAsia="en-GB"/>
                          </w:rPr>
                        </w:pPr>
                        <w:r>
                          <w:rPr>
                            <w:rFonts w:eastAsia="Arial Unicode MS"/>
                            <w:sz w:val="22"/>
                            <w:szCs w:val="22"/>
                            <w:lang w:val="en-US" w:eastAsia="en-GB"/>
                          </w:rPr>
                          <w:t>Abteilung Rüstungsplanung</w:t>
                        </w:r>
                      </w:p>
                      <w:p>
                        <w:pPr>
                          <w:widowControl w:val="0"/>
                          <w:spacing w:line="276" w:lineRule="auto"/>
                          <w:ind w:left="107"/>
                          <w:rPr>
                            <w:rFonts w:eastAsia="Arial Unicode MS"/>
                            <w:sz w:val="22"/>
                            <w:szCs w:val="22"/>
                            <w:lang w:val="de-AT" w:eastAsia="en-GB"/>
                          </w:rPr>
                        </w:pPr>
                        <w:r>
                          <w:rPr>
                            <w:rFonts w:eastAsia="Arial Unicode MS"/>
                            <w:sz w:val="22"/>
                            <w:szCs w:val="22"/>
                            <w:lang w:val="en-US" w:eastAsia="en-GB"/>
                          </w:rPr>
                          <w:t>Rossauer Lände 1</w:t>
                        </w:r>
                        <w:r>
                          <w:rPr>
                            <w:rFonts w:eastAsia="Arial Unicode MS"/>
                            <w:sz w:val="22"/>
                            <w:szCs w:val="22"/>
                            <w:lang w:val="de-AT" w:eastAsia="en-GB"/>
                          </w:rPr>
                          <w:t xml:space="preserve"> </w:t>
                        </w:r>
                      </w:p>
                      <w:p>
                        <w:pPr>
                          <w:widowControl w:val="0"/>
                          <w:spacing w:line="360" w:lineRule="auto"/>
                          <w:ind w:left="107"/>
                          <w:rPr>
                            <w:rFonts w:eastAsia="Arial Unicode MS"/>
                            <w:sz w:val="22"/>
                            <w:szCs w:val="22"/>
                            <w:lang w:val="en-US" w:eastAsia="en-GB"/>
                          </w:rPr>
                        </w:pPr>
                        <w:r>
                          <w:rPr>
                            <w:rFonts w:eastAsia="Arial Unicode MS"/>
                            <w:sz w:val="22"/>
                            <w:szCs w:val="22"/>
                            <w:lang w:val="en-US" w:eastAsia="en-GB"/>
                          </w:rPr>
                          <w:t>A - 1090 Wien</w:t>
                        </w:r>
                      </w:p>
                    </w:tc>
                  </w:tr>
                  <w:tr>
                    <w:trPr>
                      <w:trHeight w:val="433"/>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Kroatijos cM</w:t>
                        </w:r>
                      </w:p>
                      <w:p>
                        <w:pPr>
                          <w:widowControl w:val="0"/>
                          <w:spacing w:line="360" w:lineRule="auto"/>
                          <w:ind w:left="56"/>
                          <w:rPr>
                            <w:rFonts w:eastAsia="Arial Unicode MS"/>
                            <w:b/>
                            <w:sz w:val="22"/>
                            <w:szCs w:val="22"/>
                            <w:u w:val="single"/>
                            <w:lang w:val="en-US"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Arial Unicode MS"/>
                            <w:sz w:val="22"/>
                            <w:szCs w:val="22"/>
                            <w:lang w:val="en-US" w:eastAsia="en-GB"/>
                          </w:rPr>
                        </w:pPr>
                      </w:p>
                    </w:tc>
                  </w:tr>
                  <w:tr>
                    <w:trPr>
                      <w:trHeight w:val="424"/>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Kipro cM</w:t>
                        </w:r>
                      </w:p>
                      <w:p>
                        <w:pPr>
                          <w:widowControl w:val="0"/>
                          <w:spacing w:line="360" w:lineRule="auto"/>
                          <w:ind w:left="56"/>
                          <w:rPr>
                            <w:rFonts w:eastAsia="Arial Unicode MS"/>
                            <w:b/>
                            <w:sz w:val="22"/>
                            <w:szCs w:val="22"/>
                            <w:u w:val="single"/>
                            <w:lang w:val="en-US"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Arial Unicode MS"/>
                            <w:sz w:val="22"/>
                            <w:szCs w:val="22"/>
                            <w:lang w:val="en-US" w:eastAsia="en-GB"/>
                          </w:rPr>
                        </w:pPr>
                      </w:p>
                    </w:tc>
                  </w:tr>
                  <w:tr>
                    <w:trPr>
                      <w:trHeight w:val="424"/>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Prancūzijos cM</w:t>
                        </w:r>
                      </w:p>
                      <w:p>
                        <w:pPr>
                          <w:widowControl w:val="0"/>
                          <w:spacing w:line="360" w:lineRule="auto"/>
                          <w:ind w:left="56"/>
                          <w:rPr>
                            <w:rFonts w:eastAsia="Arial Unicode MS"/>
                            <w:b/>
                            <w:sz w:val="22"/>
                            <w:szCs w:val="22"/>
                            <w:u w:val="single"/>
                            <w:lang w:val="en-US"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Arial Unicode MS"/>
                            <w:sz w:val="22"/>
                            <w:szCs w:val="22"/>
                            <w:lang w:val="en-US" w:eastAsia="en-GB"/>
                          </w:rPr>
                        </w:pPr>
                      </w:p>
                    </w:tc>
                  </w:tr>
                  <w:tr>
                    <w:trPr>
                      <w:trHeight w:val="424"/>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Graikijos cM</w:t>
                        </w:r>
                      </w:p>
                      <w:p>
                        <w:pPr>
                          <w:widowControl w:val="0"/>
                          <w:spacing w:line="360" w:lineRule="auto"/>
                          <w:rPr>
                            <w:rFonts w:eastAsia="Arial Unicode MS"/>
                            <w:sz w:val="22"/>
                            <w:szCs w:val="22"/>
                            <w:lang w:val="en-US"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rPr>
                            <w:rFonts w:eastAsia="Arial Unicode MS"/>
                            <w:sz w:val="22"/>
                            <w:szCs w:val="22"/>
                            <w:lang w:val="en-US" w:eastAsia="en-GB"/>
                          </w:rPr>
                        </w:pPr>
                      </w:p>
                    </w:tc>
                  </w:tr>
                  <w:tr>
                    <w:trPr>
                      <w:trHeight w:val="326"/>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Airijos cM</w:t>
                        </w:r>
                      </w:p>
                      <w:p>
                        <w:pPr>
                          <w:widowControl w:val="0"/>
                          <w:spacing w:line="360" w:lineRule="auto"/>
                          <w:rPr>
                            <w:rFonts w:eastAsia="Arial Unicode MS"/>
                            <w:sz w:val="22"/>
                            <w:szCs w:val="22"/>
                            <w:lang w:val="en-US"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rPr>
                            <w:rFonts w:eastAsia="Arial Unicode MS"/>
                            <w:sz w:val="22"/>
                            <w:szCs w:val="22"/>
                            <w:lang w:val="en-US" w:eastAsia="en-GB"/>
                          </w:rPr>
                        </w:pPr>
                      </w:p>
                    </w:tc>
                  </w:tr>
                  <w:tr>
                    <w:trPr>
                      <w:trHeight w:val="345"/>
                    </w:trPr>
                    <w:tc>
                      <w:tcPr>
                        <w:tcW w:w="294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Latvijos cM</w:t>
                        </w:r>
                      </w:p>
                      <w:p>
                        <w:pPr>
                          <w:widowControl w:val="0"/>
                          <w:spacing w:line="360" w:lineRule="auto"/>
                          <w:rPr>
                            <w:rFonts w:eastAsia="Arial Unicode MS"/>
                            <w:sz w:val="22"/>
                            <w:szCs w:val="22"/>
                            <w:lang w:val="en-US" w:eastAsia="en-GB"/>
                          </w:rPr>
                        </w:pPr>
                      </w:p>
                    </w:tc>
                    <w:tc>
                      <w:tcPr>
                        <w:tcW w:w="5973"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107"/>
                          <w:jc w:val="both"/>
                          <w:rPr>
                            <w:rFonts w:eastAsia="Arial Unicode MS"/>
                            <w:sz w:val="22"/>
                            <w:szCs w:val="22"/>
                            <w:lang w:val="en-US" w:eastAsia="en-GB"/>
                          </w:rPr>
                        </w:pPr>
                      </w:p>
                    </w:tc>
                  </w:tr>
                  <w:tr>
                    <w:trPr>
                      <w:trHeight w:val="371"/>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Lietuvos cM</w:t>
                        </w:r>
                      </w:p>
                      <w:p>
                        <w:pPr>
                          <w:widowControl w:val="0"/>
                          <w:spacing w:line="360" w:lineRule="auto"/>
                          <w:rPr>
                            <w:rFonts w:eastAsia="Arial Unicode MS"/>
                            <w:sz w:val="22"/>
                            <w:szCs w:val="22"/>
                            <w:lang w:val="en-US"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val="fr-FR" w:eastAsia="en-GB"/>
                          </w:rPr>
                        </w:pPr>
                      </w:p>
                    </w:tc>
                  </w:tr>
                  <w:tr>
                    <w:trPr>
                      <w:trHeight w:val="371"/>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Portugalijos cM</w:t>
                        </w:r>
                      </w:p>
                      <w:p>
                        <w:pPr>
                          <w:widowControl w:val="0"/>
                          <w:spacing w:line="360" w:lineRule="auto"/>
                          <w:rPr>
                            <w:rFonts w:eastAsia="Arial Unicode MS"/>
                            <w:sz w:val="22"/>
                            <w:szCs w:val="22"/>
                            <w:lang w:val="en-US"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val="fr-FR" w:eastAsia="en-GB"/>
                          </w:rPr>
                        </w:pPr>
                      </w:p>
                    </w:tc>
                  </w:tr>
                  <w:tr>
                    <w:trPr>
                      <w:trHeight w:val="386"/>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Rumunijos cM</w:t>
                        </w:r>
                      </w:p>
                      <w:p>
                        <w:pPr>
                          <w:widowControl w:val="0"/>
                          <w:spacing w:line="360" w:lineRule="auto"/>
                          <w:rPr>
                            <w:rFonts w:eastAsia="Arial Unicode MS"/>
                            <w:sz w:val="22"/>
                            <w:szCs w:val="22"/>
                            <w:lang w:val="en-US"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val="en-US" w:eastAsia="en-GB"/>
                          </w:rPr>
                        </w:pPr>
                        <w:r>
                          <w:rPr>
                            <w:rFonts w:eastAsia="Arial Unicode MS"/>
                            <w:sz w:val="22"/>
                            <w:szCs w:val="22"/>
                            <w:lang w:eastAsia="en-GB"/>
                          </w:rPr>
                          <w:t>Ginkluotės generalinis direktoratas</w:t>
                        </w:r>
                      </w:p>
                      <w:p>
                        <w:pPr>
                          <w:widowControl w:val="0"/>
                          <w:spacing w:line="360" w:lineRule="auto"/>
                          <w:ind w:left="107"/>
                          <w:jc w:val="both"/>
                          <w:rPr>
                            <w:rFonts w:eastAsia="Arial Unicode MS"/>
                            <w:sz w:val="22"/>
                            <w:szCs w:val="22"/>
                            <w:lang w:val="en-US" w:eastAsia="en-GB"/>
                          </w:rPr>
                        </w:pPr>
                        <w:r>
                          <w:rPr>
                            <w:rFonts w:eastAsia="Arial Unicode MS"/>
                            <w:sz w:val="22"/>
                            <w:szCs w:val="22"/>
                            <w:lang w:val="en-US" w:eastAsia="en-GB"/>
                          </w:rPr>
                          <w:t>Drumul Taberei 9-11 Sector 5 Bucharest</w:t>
                        </w:r>
                      </w:p>
                    </w:tc>
                  </w:tr>
                  <w:tr>
                    <w:trPr>
                      <w:trHeight w:val="386"/>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val="en-US" w:eastAsia="en-GB"/>
                          </w:rPr>
                          <w:t>Slovak cM</w:t>
                        </w:r>
                      </w:p>
                      <w:p>
                        <w:pPr>
                          <w:widowControl w:val="0"/>
                          <w:spacing w:line="360" w:lineRule="auto"/>
                          <w:rPr>
                            <w:rFonts w:eastAsia="Arial Unicode MS"/>
                            <w:sz w:val="22"/>
                            <w:szCs w:val="22"/>
                            <w:lang w:val="en-US"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val="en-US" w:eastAsia="en-GB"/>
                          </w:rPr>
                        </w:pPr>
                      </w:p>
                    </w:tc>
                  </w:tr>
                  <w:tr>
                    <w:trPr>
                      <w:trHeight w:val="392"/>
                    </w:trPr>
                    <w:tc>
                      <w:tcPr>
                        <w:tcW w:w="2943" w:type="dxa"/>
                        <w:tcBorders>
                          <w:top w:val="thinThickMediumGap" w:sz="6" w:space="0" w:color="C0C0C0"/>
                          <w:bottom w:val="thinThickMediumGap" w:sz="6" w:space="0" w:color="C0C0C0"/>
                          <w:right w:val="thickThinMediumGap" w:sz="6" w:space="0" w:color="C0C0C0"/>
                        </w:tcBorders>
                      </w:tcPr>
                      <w:p>
                        <w:pPr>
                          <w:widowControl w:val="0"/>
                          <w:spacing w:line="360" w:lineRule="auto"/>
                          <w:rPr>
                            <w:rFonts w:eastAsia="Arial Unicode MS"/>
                            <w:b/>
                            <w:sz w:val="22"/>
                            <w:szCs w:val="22"/>
                            <w:u w:val="single"/>
                            <w:lang w:val="en-US" w:eastAsia="en-GB"/>
                          </w:rPr>
                        </w:pPr>
                        <w:r>
                          <w:rPr>
                            <w:rFonts w:eastAsia="Arial Unicode MS"/>
                            <w:b/>
                            <w:sz w:val="22"/>
                            <w:szCs w:val="22"/>
                            <w:u w:val="single"/>
                            <w:lang w:eastAsia="en-GB"/>
                          </w:rPr>
                          <w:t>Švedijos cM</w:t>
                        </w:r>
                      </w:p>
                      <w:p>
                        <w:pPr>
                          <w:widowControl w:val="0"/>
                          <w:spacing w:line="360" w:lineRule="auto"/>
                          <w:rPr>
                            <w:rFonts w:eastAsia="Arial Unicode MS"/>
                            <w:sz w:val="22"/>
                            <w:szCs w:val="22"/>
                            <w:lang w:val="en-US" w:eastAsia="en-GB"/>
                          </w:rPr>
                        </w:pPr>
                      </w:p>
                    </w:tc>
                    <w:tc>
                      <w:tcPr>
                        <w:tcW w:w="5973"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107"/>
                          <w:jc w:val="both"/>
                          <w:rPr>
                            <w:rFonts w:eastAsia="Arial Unicode MS"/>
                            <w:sz w:val="22"/>
                            <w:szCs w:val="22"/>
                            <w:lang w:val="en-US" w:eastAsia="en-GB"/>
                          </w:rPr>
                        </w:pPr>
                      </w:p>
                    </w:tc>
                  </w:tr>
                </w:tbl>
                <w:p>
                  <w:pPr>
                    <w:spacing w:line="360" w:lineRule="auto"/>
                    <w:ind w:left="360"/>
                    <w:rPr>
                      <w:rFonts w:eastAsia="Arial Unicode MS"/>
                      <w:b/>
                      <w:sz w:val="22"/>
                      <w:szCs w:val="22"/>
                      <w:lang w:val="en-US" w:eastAsia="en-GB"/>
                    </w:rPr>
                  </w:pPr>
                </w:p>
                <w:p>
                  <w:pPr>
                    <w:rPr>
                      <w:sz w:val="10"/>
                      <w:szCs w:val="10"/>
                    </w:rPr>
                  </w:pPr>
                </w:p>
                <w:p>
                  <w:pPr>
                    <w:rPr>
                      <w:rFonts w:eastAsia="Arial Unicode MS"/>
                      <w:b/>
                      <w:sz w:val="22"/>
                      <w:szCs w:val="22"/>
                      <w:lang w:val="en-GB" w:eastAsia="en-GB"/>
                    </w:rPr>
                  </w:pPr>
                  <w:r>
                    <w:rPr>
                      <w:rFonts w:eastAsia="Arial Unicode MS"/>
                      <w:b/>
                      <w:sz w:val="22"/>
                      <w:szCs w:val="22"/>
                      <w:lang w:val="en-GB" w:eastAsia="en-GB"/>
                    </w:rPr>
                    <w:br w:type="page"/>
                  </w:r>
                </w:p>
                <w:p>
                  <w:pPr>
                    <w:spacing w:line="360" w:lineRule="auto"/>
                    <w:rPr>
                      <w:rFonts w:eastAsia="Arial Unicode MS"/>
                      <w:b/>
                      <w:sz w:val="22"/>
                      <w:szCs w:val="22"/>
                      <w:u w:val="single"/>
                      <w:lang w:val="en-US" w:eastAsia="en-GB"/>
                    </w:rPr>
                  </w:pPr>
                  <w:r>
                    <w:rPr>
                      <w:rFonts w:eastAsia="Arial Unicode MS"/>
                      <w:b/>
                      <w:sz w:val="22"/>
                      <w:szCs w:val="22"/>
                      <w:u w:val="single"/>
                      <w:lang w:eastAsia="en-GB"/>
                    </w:rPr>
                    <w:t>PRIEDAS Nr.2</w:t>
                  </w:r>
                </w:p>
              </w:sdtContent>
            </w:sdt>
            <w:sdt>
              <w:sdtPr>
                <w:alias w:val="poskyris"/>
                <w:tag w:val="part_7bdbeab38b39430887cb19f3e545063a"/>
                <w:lock w:val="sdtLocked"/>
                <w:richText/>
              </w:sdtPr>
              <w:sdtContent>
                <w:p>
                  <w:pPr>
                    <w:spacing w:line="360" w:lineRule="auto"/>
                    <w:ind w:left="360" w:right="948"/>
                    <w:rPr>
                      <w:rFonts w:eastAsia="Arial Unicode MS"/>
                      <w:b/>
                      <w:sz w:val="22"/>
                      <w:szCs w:val="22"/>
                      <w:lang w:val="en-GB" w:eastAsia="en-GB"/>
                    </w:rPr>
                  </w:pPr>
                  <w:sdt>
                    <w:sdtPr>
                      <w:alias w:val="Pavadinimas"/>
                      <w:tag w:val="title_7bdbeab38b39430887cb19f3e545063a"/>
                      <w:lock w:val="sdtLocked"/>
                      <w:richText/>
                    </w:sdtPr>
                    <w:sdtContent>
                      <w:r>
                        <w:rPr>
                          <w:rFonts w:eastAsia="Arial Unicode MS"/>
                          <w:b/>
                          <w:sz w:val="22"/>
                          <w:szCs w:val="22"/>
                          <w:lang w:eastAsia="en-GB"/>
                        </w:rPr>
                        <w:t>PAMG NARYSTĖ</w:t>
                      </w:r>
                    </w:sdtContent>
                  </w:sdt>
                </w:p>
                <w:tbl>
                  <w:tblPr>
                    <w:tblW w:w="0" w:type="auto"/>
                    <w:tblInd w:w="819" w:type="dxa"/>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3373"/>
                    <w:gridCol w:w="5620"/>
                  </w:tblGrid>
                  <w:tr>
                    <w:trPr>
                      <w:trHeight w:val="526"/>
                    </w:trPr>
                    <w:tc>
                      <w:tcPr>
                        <w:tcW w:w="3373" w:type="dxa"/>
                        <w:tcBorders>
                          <w:bottom w:val="thickThinMediumGap" w:sz="6" w:space="0" w:color="C0C0C0"/>
                          <w:right w:val="thickThinMediumGap" w:sz="6" w:space="0" w:color="C0C0C0"/>
                        </w:tcBorders>
                      </w:tcPr>
                      <w:p>
                        <w:pPr>
                          <w:widowControl w:val="0"/>
                          <w:spacing w:line="360" w:lineRule="auto"/>
                          <w:ind w:left="1429" w:right="1439"/>
                          <w:jc w:val="center"/>
                          <w:rPr>
                            <w:rFonts w:eastAsia="Arial Unicode MS"/>
                            <w:b/>
                            <w:sz w:val="22"/>
                            <w:szCs w:val="22"/>
                            <w:lang w:val="en-US" w:eastAsia="en-GB"/>
                          </w:rPr>
                        </w:pPr>
                        <w:r>
                          <w:rPr>
                            <w:rFonts w:eastAsia="Arial Unicode MS"/>
                            <w:b/>
                            <w:sz w:val="22"/>
                            <w:szCs w:val="22"/>
                            <w:lang w:val="en-US" w:eastAsia="en-GB"/>
                          </w:rPr>
                          <w:t>cMs</w:t>
                        </w:r>
                      </w:p>
                    </w:tc>
                    <w:tc>
                      <w:tcPr>
                        <w:tcW w:w="5620" w:type="dxa"/>
                        <w:tcBorders>
                          <w:left w:val="thinThickMediumGap" w:sz="6" w:space="0" w:color="C0C0C0"/>
                          <w:bottom w:val="thickThinMediumGap" w:sz="6" w:space="0" w:color="C0C0C0"/>
                          <w:right w:val="single" w:sz="6" w:space="0" w:color="C0C0C0"/>
                        </w:tcBorders>
                      </w:tcPr>
                      <w:p>
                        <w:pPr>
                          <w:widowControl w:val="0"/>
                          <w:spacing w:line="360" w:lineRule="auto"/>
                          <w:ind w:left="1327"/>
                          <w:rPr>
                            <w:rFonts w:eastAsia="Arial Unicode MS"/>
                            <w:b/>
                            <w:sz w:val="22"/>
                            <w:szCs w:val="22"/>
                            <w:lang w:val="en-US" w:eastAsia="en-GB"/>
                          </w:rPr>
                        </w:pPr>
                        <w:r>
                          <w:rPr>
                            <w:rFonts w:eastAsia="Arial Unicode MS"/>
                            <w:b/>
                            <w:sz w:val="22"/>
                            <w:szCs w:val="22"/>
                            <w:lang w:val="en-US" w:eastAsia="en-GB"/>
                          </w:rPr>
                          <w:t>PAMG</w:t>
                        </w:r>
                        <w:r>
                          <w:rPr>
                            <w:rFonts w:eastAsia="Arial Unicode MS"/>
                            <w:b/>
                            <w:spacing w:val="-6"/>
                            <w:sz w:val="22"/>
                            <w:szCs w:val="22"/>
                            <w:lang w:val="en-US" w:eastAsia="en-GB"/>
                          </w:rPr>
                          <w:t xml:space="preserve"> atstovai</w:t>
                        </w:r>
                      </w:p>
                    </w:tc>
                  </w:tr>
                  <w:tr>
                    <w:trPr>
                      <w:trHeight w:val="1010"/>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Austrijos cM</w:t>
                        </w:r>
                      </w:p>
                      <w:p>
                        <w:pPr>
                          <w:widowControl w:val="0"/>
                          <w:spacing w:line="360" w:lineRule="auto"/>
                          <w:rPr>
                            <w:rFonts w:eastAsia="Arial Unicode MS"/>
                            <w:b/>
                            <w:sz w:val="22"/>
                            <w:szCs w:val="22"/>
                            <w:lang w:val="en-US"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276" w:lineRule="auto"/>
                          <w:ind w:left="312"/>
                          <w:rPr>
                            <w:rFonts w:eastAsia="Arial Unicode MS"/>
                            <w:sz w:val="22"/>
                            <w:szCs w:val="22"/>
                            <w:lang w:val="sl-SI" w:eastAsia="en-GB"/>
                          </w:rPr>
                        </w:pPr>
                        <w:r>
                          <w:rPr>
                            <w:rFonts w:eastAsia="Arial Unicode MS"/>
                            <w:sz w:val="22"/>
                            <w:szCs w:val="22"/>
                            <w:lang w:val="en-US" w:eastAsia="en-GB"/>
                          </w:rPr>
                          <w:t>ObstdG Markus KOHLWEG</w:t>
                        </w:r>
                      </w:p>
                      <w:p>
                        <w:pPr>
                          <w:spacing w:line="276" w:lineRule="auto"/>
                          <w:ind w:left="312"/>
                          <w:rPr>
                            <w:rFonts w:eastAsia="Arial Unicode MS"/>
                            <w:sz w:val="22"/>
                            <w:szCs w:val="22"/>
                            <w:lang w:val="sl-SI" w:eastAsia="en-GB"/>
                          </w:rPr>
                        </w:pPr>
                        <w:r>
                          <w:rPr>
                            <w:rFonts w:eastAsia="Arial Unicode MS"/>
                            <w:sz w:val="22"/>
                            <w:szCs w:val="22"/>
                            <w:lang w:val="en-US" w:eastAsia="en-GB"/>
                          </w:rPr>
                          <w:t>markus.kohlweg@bmlv.gv.at</w:t>
                        </w:r>
                      </w:p>
                      <w:p>
                        <w:pPr>
                          <w:widowControl w:val="0"/>
                          <w:spacing w:line="360" w:lineRule="auto"/>
                          <w:ind w:left="91" w:firstLine="57"/>
                          <w:rPr>
                            <w:rFonts w:eastAsia="Arial Unicode MS"/>
                            <w:sz w:val="22"/>
                            <w:szCs w:val="22"/>
                            <w:lang w:val="en-US" w:eastAsia="en-GB"/>
                          </w:rPr>
                        </w:pPr>
                        <w:r>
                          <w:rPr>
                            <w:rFonts w:eastAsia="Arial Unicode MS"/>
                            <w:sz w:val="22"/>
                            <w:szCs w:val="22"/>
                            <w:lang w:val="sl-SI" w:eastAsia="en-GB"/>
                          </w:rPr>
                          <w:t xml:space="preserve">0032 479760065 </w:t>
                        </w:r>
                      </w:p>
                    </w:tc>
                  </w:tr>
                  <w:tr>
                    <w:trPr>
                      <w:trHeight w:val="1010"/>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KroatijoscM</w:t>
                        </w:r>
                      </w:p>
                      <w:p>
                        <w:pPr>
                          <w:widowControl w:val="0"/>
                          <w:spacing w:line="360" w:lineRule="auto"/>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en-US" w:eastAsia="en-GB"/>
                          </w:rPr>
                        </w:pPr>
                      </w:p>
                    </w:tc>
                  </w:tr>
                  <w:tr>
                    <w:trPr>
                      <w:trHeight w:val="1067"/>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Kipro cM</w:t>
                        </w:r>
                      </w:p>
                      <w:p>
                        <w:pPr>
                          <w:widowControl w:val="0"/>
                          <w:spacing w:line="360" w:lineRule="auto"/>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en-US" w:eastAsia="en-GB"/>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Graikijos cM</w:t>
                        </w:r>
                      </w:p>
                      <w:p>
                        <w:pPr>
                          <w:widowControl w:val="0"/>
                          <w:spacing w:line="360" w:lineRule="auto"/>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en-US" w:eastAsia="en-GB"/>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Prancūzijos cM</w:t>
                        </w:r>
                      </w:p>
                      <w:p>
                        <w:pPr>
                          <w:widowControl w:val="0"/>
                          <w:spacing w:line="360" w:lineRule="auto"/>
                          <w:ind w:left="56"/>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rFonts w:eastAsia="Arial Unicode MS"/>
                            <w:sz w:val="22"/>
                            <w:szCs w:val="22"/>
                            <w:lang w:val="en-US" w:eastAsia="en-GB"/>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Airijos cM</w:t>
                        </w:r>
                      </w:p>
                      <w:p>
                        <w:pPr>
                          <w:widowControl w:val="0"/>
                          <w:spacing w:line="360" w:lineRule="auto"/>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en-US" w:eastAsia="en-GB"/>
                          </w:rPr>
                        </w:pPr>
                      </w:p>
                    </w:tc>
                  </w:tr>
                  <w:tr>
                    <w:trPr>
                      <w:trHeight w:val="1011"/>
                    </w:trPr>
                    <w:tc>
                      <w:tcPr>
                        <w:tcW w:w="3373" w:type="dxa"/>
                        <w:tcBorders>
                          <w:top w:val="thinThickMediumGap" w:sz="6" w:space="0" w:color="C0C0C0"/>
                          <w:bottom w:val="thickThin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Latvijos cM</w:t>
                        </w:r>
                      </w:p>
                      <w:p>
                        <w:pPr>
                          <w:widowControl w:val="0"/>
                          <w:spacing w:line="360" w:lineRule="auto"/>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ckThin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en-US" w:eastAsia="en-GB"/>
                          </w:rPr>
                        </w:pP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Lietuvos cM</w:t>
                        </w:r>
                      </w:p>
                      <w:p>
                        <w:pPr>
                          <w:widowControl w:val="0"/>
                          <w:spacing w:line="360" w:lineRule="auto"/>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en-US" w:eastAsia="en-GB"/>
                          </w:rPr>
                        </w:pP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Portugalijos cM</w:t>
                        </w:r>
                      </w:p>
                      <w:p>
                        <w:pPr>
                          <w:widowControl w:val="0"/>
                          <w:spacing w:line="360" w:lineRule="auto"/>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en-US" w:eastAsia="en-GB"/>
                          </w:rPr>
                        </w:pP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eastAsia="en-GB"/>
                          </w:rPr>
                          <w:t>Rumunijos cM</w:t>
                        </w:r>
                      </w:p>
                      <w:p>
                        <w:pPr>
                          <w:widowControl w:val="0"/>
                          <w:spacing w:line="360" w:lineRule="auto"/>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fr-BE" w:eastAsia="en-GB"/>
                          </w:rPr>
                        </w:pPr>
                        <w:r>
                          <w:rPr>
                            <w:rFonts w:eastAsia="Arial Unicode MS"/>
                            <w:sz w:val="22"/>
                            <w:szCs w:val="22"/>
                            <w:lang w:val="en-US" w:eastAsia="en-GB"/>
                          </w:rPr>
                          <w:t>Marian MIHALCEA</w:t>
                        </w:r>
                        <w:r>
                          <w:rPr>
                            <w:rFonts w:eastAsia="Arial Unicode MS"/>
                            <w:sz w:val="22"/>
                            <w:szCs w:val="22"/>
                            <w:lang w:val="fr-BE" w:eastAsia="en-GB"/>
                          </w:rPr>
                          <w:t xml:space="preserve"> </w:t>
                        </w:r>
                      </w:p>
                      <w:p>
                        <w:pPr>
                          <w:widowControl w:val="0"/>
                          <w:spacing w:line="360" w:lineRule="auto"/>
                          <w:ind w:left="91"/>
                          <w:rPr>
                            <w:rFonts w:eastAsia="Arial Unicode MS"/>
                            <w:sz w:val="22"/>
                            <w:szCs w:val="22"/>
                            <w:lang w:val="fr-BE" w:eastAsia="en-GB"/>
                          </w:rPr>
                        </w:pPr>
                        <w:r>
                          <w:rPr>
                            <w:rFonts w:eastAsia="Arial Unicode MS"/>
                            <w:sz w:val="22"/>
                            <w:szCs w:val="22"/>
                            <w:lang w:val="en-US" w:eastAsia="en-GB"/>
                          </w:rPr>
                          <w:t>marian.mihalcea@dpa.ro,</w:t>
                        </w:r>
                        <w:r>
                          <w:rPr>
                            <w:rFonts w:eastAsia="Arial Unicode MS"/>
                            <w:sz w:val="22"/>
                            <w:szCs w:val="22"/>
                            <w:lang w:val="fr-BE" w:eastAsia="en-GB"/>
                          </w:rPr>
                          <w:t xml:space="preserve"> </w:t>
                        </w:r>
                      </w:p>
                      <w:p>
                        <w:pPr>
                          <w:widowControl w:val="0"/>
                          <w:spacing w:line="360" w:lineRule="auto"/>
                          <w:ind w:left="91"/>
                          <w:rPr>
                            <w:rFonts w:eastAsia="Arial Unicode MS"/>
                            <w:sz w:val="22"/>
                            <w:szCs w:val="22"/>
                            <w:lang w:val="en-US" w:eastAsia="en-GB"/>
                          </w:rPr>
                        </w:pPr>
                        <w:r>
                          <w:rPr>
                            <w:rFonts w:eastAsia="Arial Unicode MS"/>
                            <w:sz w:val="22"/>
                            <w:szCs w:val="22"/>
                            <w:lang w:val="fr-BE" w:eastAsia="en-GB"/>
                          </w:rPr>
                          <w:t>+40724359538</w:t>
                        </w:r>
                      </w:p>
                    </w:tc>
                  </w:tr>
                  <w:tr>
                    <w:trPr>
                      <w:trHeight w:val="1014"/>
                    </w:trPr>
                    <w:tc>
                      <w:tcPr>
                        <w:tcW w:w="3373" w:type="dxa"/>
                        <w:tcBorders>
                          <w:top w:val="thinThickMediumGap" w:sz="6" w:space="0" w:color="C0C0C0"/>
                          <w:bottom w:val="thinThickMediumGap" w:sz="6" w:space="0" w:color="C0C0C0"/>
                          <w:right w:val="thickThinMediumGap" w:sz="6" w:space="0" w:color="C0C0C0"/>
                        </w:tcBorders>
                      </w:tcPr>
                      <w:p>
                        <w:pPr>
                          <w:widowControl w:val="0"/>
                          <w:spacing w:line="360" w:lineRule="auto"/>
                          <w:ind w:left="56"/>
                          <w:rPr>
                            <w:rFonts w:eastAsia="Arial Unicode MS"/>
                            <w:b/>
                            <w:sz w:val="22"/>
                            <w:szCs w:val="22"/>
                            <w:u w:val="single"/>
                            <w:lang w:val="en-US" w:eastAsia="en-GB"/>
                          </w:rPr>
                        </w:pPr>
                        <w:r>
                          <w:rPr>
                            <w:rFonts w:eastAsia="Arial Unicode MS"/>
                            <w:b/>
                            <w:sz w:val="22"/>
                            <w:szCs w:val="22"/>
                            <w:u w:val="single"/>
                            <w:lang w:val="en-US" w:eastAsia="en-GB"/>
                          </w:rPr>
                          <w:t>Slovak cM</w:t>
                        </w:r>
                      </w:p>
                      <w:p>
                        <w:pPr>
                          <w:widowControl w:val="0"/>
                          <w:spacing w:line="360" w:lineRule="auto"/>
                          <w:ind w:left="56"/>
                          <w:rPr>
                            <w:rFonts w:eastAsia="Arial Unicode MS"/>
                            <w:b/>
                            <w:sz w:val="22"/>
                            <w:szCs w:val="22"/>
                            <w:u w:val="single"/>
                            <w:lang w:val="en-US" w:eastAsia="en-GB"/>
                          </w:rPr>
                        </w:pPr>
                      </w:p>
                    </w:tc>
                    <w:tc>
                      <w:tcPr>
                        <w:tcW w:w="5620" w:type="dxa"/>
                        <w:tcBorders>
                          <w:top w:val="thinThickMediumGap" w:sz="6" w:space="0" w:color="C0C0C0"/>
                          <w:left w:val="thinThickMediumGap" w:sz="6" w:space="0" w:color="C0C0C0"/>
                          <w:bottom w:val="thinThickMediumGap"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en-US" w:eastAsia="en-GB"/>
                          </w:rPr>
                        </w:pPr>
                      </w:p>
                    </w:tc>
                  </w:tr>
                  <w:tr>
                    <w:trPr>
                      <w:trHeight w:val="1014"/>
                    </w:trPr>
                    <w:tc>
                      <w:tcPr>
                        <w:tcW w:w="3373" w:type="dxa"/>
                        <w:tcBorders>
                          <w:top w:val="thinThickMediumGap" w:sz="6" w:space="0" w:color="C0C0C0"/>
                          <w:bottom w:val="single" w:sz="6" w:space="0" w:color="C0C0C0"/>
                          <w:right w:val="thickThinMediumGap" w:sz="6" w:space="0" w:color="C0C0C0"/>
                        </w:tcBorders>
                      </w:tcPr>
                      <w:p>
                        <w:pPr>
                          <w:widowControl w:val="0"/>
                          <w:spacing w:line="360" w:lineRule="auto"/>
                          <w:ind w:firstLine="57"/>
                          <w:rPr>
                            <w:rFonts w:eastAsia="Arial Unicode MS"/>
                            <w:b/>
                            <w:sz w:val="22"/>
                            <w:szCs w:val="22"/>
                            <w:u w:val="single"/>
                            <w:lang w:val="en-US" w:eastAsia="en-GB"/>
                          </w:rPr>
                        </w:pPr>
                        <w:r>
                          <w:rPr>
                            <w:rFonts w:eastAsia="Arial Unicode MS"/>
                            <w:b/>
                            <w:sz w:val="22"/>
                            <w:szCs w:val="22"/>
                            <w:u w:val="single"/>
                            <w:lang w:eastAsia="en-GB"/>
                          </w:rPr>
                          <w:t>Švedijos cM</w:t>
                        </w:r>
                      </w:p>
                    </w:tc>
                    <w:tc>
                      <w:tcPr>
                        <w:tcW w:w="5620" w:type="dxa"/>
                        <w:tcBorders>
                          <w:top w:val="thinThickMediumGap" w:sz="6" w:space="0" w:color="C0C0C0"/>
                          <w:left w:val="thinThickMediumGap" w:sz="6" w:space="0" w:color="C0C0C0"/>
                          <w:bottom w:val="single" w:sz="6" w:space="0" w:color="C0C0C0"/>
                          <w:right w:val="single" w:sz="6" w:space="0" w:color="C0C0C0"/>
                        </w:tcBorders>
                      </w:tcPr>
                      <w:p>
                        <w:pPr>
                          <w:widowControl w:val="0"/>
                          <w:spacing w:line="360" w:lineRule="auto"/>
                          <w:ind w:left="91"/>
                          <w:rPr>
                            <w:rFonts w:eastAsia="Arial Unicode MS"/>
                            <w:sz w:val="22"/>
                            <w:szCs w:val="22"/>
                            <w:lang w:val="en-US" w:eastAsia="en-GB"/>
                          </w:rPr>
                        </w:pPr>
                        <w:r>
                          <w:rPr>
                            <w:rFonts w:eastAsia="Arial Unicode MS"/>
                            <w:sz w:val="22"/>
                            <w:szCs w:val="22"/>
                            <w:lang w:eastAsia="en-GB"/>
                          </w:rPr>
                          <w:t>Atstovas:</w:t>
                        </w:r>
                      </w:p>
                      <w:p>
                        <w:pPr>
                          <w:widowControl w:val="0"/>
                          <w:spacing w:line="360" w:lineRule="auto"/>
                          <w:ind w:left="91"/>
                          <w:rPr>
                            <w:rFonts w:eastAsia="Arial Unicode MS"/>
                            <w:sz w:val="22"/>
                            <w:szCs w:val="22"/>
                            <w:lang w:val="en-US" w:eastAsia="en-GB"/>
                          </w:rPr>
                        </w:pPr>
                      </w:p>
                    </w:tc>
                  </w:tr>
                </w:tbl>
                <w:p>
                  <w:pPr>
                    <w:spacing w:line="360" w:lineRule="auto"/>
                    <w:ind w:right="951"/>
                    <w:rPr>
                      <w:rFonts w:eastAsia="Arial Unicode MS"/>
                      <w:b/>
                      <w:sz w:val="22"/>
                      <w:szCs w:val="22"/>
                      <w:lang w:val="en-GB" w:eastAsia="en-GB"/>
                    </w:rPr>
                    <w:sectPr>
                      <w:headerReference w:type="default" r:id="rId19"/>
                      <w:pgSz w:w="11910" w:h="16840" w:code="9"/>
                      <w:pgMar w:top="1420" w:right="580" w:bottom="940" w:left="560" w:header="568" w:footer="756" w:gutter="0"/>
                      <w:cols w:space="720"/>
                      <w:rtlGutter/>
                      <w:docGrid w:linePitch="326"/>
                    </w:sectPr>
                  </w:pPr>
                  <w:r>
                    <w:rPr>
                      <w:rFonts w:eastAsia="Arial Unicode MS"/>
                      <w:sz w:val="22"/>
                      <w:szCs w:val="22"/>
                      <w:lang w:val="en-US"/>
                    </w:rPr>
                    <mc:AlternateContent>
                      <mc:Choice Requires="wpg">
                        <w:drawing>
                          <wp:anchor distT="0" distB="0" distL="0" distR="0" simplePos="0" relativeHeight="251657728" behindDoc="1" locked="0" layoutInCell="1" allowOverlap="1" wp14:anchorId="223EA320" wp14:editId="5804B9EC">
                            <wp:simplePos x="0" y="0"/>
                            <wp:positionH relativeFrom="page">
                              <wp:posOffset>819150</wp:posOffset>
                            </wp:positionH>
                            <wp:positionV relativeFrom="paragraph">
                              <wp:posOffset>149225</wp:posOffset>
                            </wp:positionV>
                            <wp:extent cx="5827395" cy="1651635"/>
                            <wp:effectExtent l="0" t="0" r="1905" b="635"/>
                            <wp:wrapTopAndBottom/>
                            <wp:docPr id="5" name="docshapegroup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7395" cy="1651635"/>
                                      <a:chOff x="1291" y="235"/>
                                      <a:chExt cx="9177" cy="2648"/>
                                    </a:xfrm>
                                  </wpg:grpSpPr>
                                  <wps:wsp>
                                    <wps:cNvPr id="6" name="docshape70"/>
                                    <wps:cNvSpPr>
                                      <a:spLocks/>
                                    </wps:cNvSpPr>
                                    <wps:spPr bwMode="auto">
                                      <a:xfrm>
                                        <a:off x="1291" y="235"/>
                                        <a:ext cx="9177" cy="2648"/>
                                      </a:xfrm>
                                      <a:custGeom>
                                        <a:avLst/>
                                        <a:gdLst>
                                          <a:gd name="G0" fmla="+- 0 0 0"/>
                                          <a:gd name="G1" fmla="+- 0 0 0"/>
                                          <a:gd name="G2" fmla="+- 0 0 0"/>
                                          <a:gd name="G3" fmla="+- 10800 0 0"/>
                                          <a:gd name="G4" fmla="+- 0 0 0"/>
                                          <a:gd name="T0" fmla="*/ 360 256 1"/>
                                          <a:gd name="T1" fmla="*/ 0 256 1"/>
                                          <a:gd name="G5" fmla="+- G2 T0 T1"/>
                                          <a:gd name="G6" fmla="?: G2 G2 G5"/>
                                          <a:gd name="G7" fmla="+- 0 0 G6"/>
                                          <a:gd name="G8" fmla="+- 0 0 0"/>
                                          <a:gd name="G9" fmla="+- 0 0 0"/>
                                          <a:gd name="G10" fmla="+- 0 0 2700"/>
                                          <a:gd name="G11" fmla="cos G10 0"/>
                                          <a:gd name="G12" fmla="sin G10 0"/>
                                          <a:gd name="G13" fmla="cos 13500 0"/>
                                          <a:gd name="G14" fmla="sin 13500 0"/>
                                          <a:gd name="G15" fmla="+- G11 10800 0"/>
                                          <a:gd name="G16" fmla="+- G12 10800 0"/>
                                          <a:gd name="G17" fmla="+- G13 10800 0"/>
                                          <a:gd name="G18" fmla="+- G14 10800 0"/>
                                          <a:gd name="G19" fmla="*/ 0 1 2"/>
                                          <a:gd name="G20" fmla="+- G19 5400 0"/>
                                          <a:gd name="G21" fmla="cos G20 0"/>
                                          <a:gd name="G22" fmla="sin G20 0"/>
                                          <a:gd name="G23" fmla="+- G21 10800 0"/>
                                          <a:gd name="G24" fmla="+- G12 G23 G22"/>
                                          <a:gd name="G25" fmla="+- G22 G23 G11"/>
                                          <a:gd name="G26" fmla="cos 10800 0"/>
                                          <a:gd name="G27" fmla="sin 10800 0"/>
                                          <a:gd name="G28" fmla="cos 0 0"/>
                                          <a:gd name="G29" fmla="sin 0 0"/>
                                          <a:gd name="G30" fmla="+- G26 10800 0"/>
                                          <a:gd name="G31" fmla="+- G27 10800 0"/>
                                          <a:gd name="G32" fmla="+- G28 10800 0"/>
                                          <a:gd name="G33" fmla="+- G29 10800 0"/>
                                          <a:gd name="G34" fmla="+- G19 5400 0"/>
                                          <a:gd name="G35" fmla="cos G34 0"/>
                                          <a:gd name="G36" fmla="sin G34 0"/>
                                          <a:gd name="G37" fmla="+/ 0 0 2"/>
                                          <a:gd name="T2" fmla="*/ 180 256 1"/>
                                          <a:gd name="T3" fmla="*/ 0 256 1"/>
                                          <a:gd name="G38" fmla="+- G37 T2 T3"/>
                                          <a:gd name="G39" fmla="?: G2 G37 G38"/>
                                          <a:gd name="G40" fmla="cos 10800 G39"/>
                                          <a:gd name="G41" fmla="sin 10800 G39"/>
                                          <a:gd name="G42" fmla="cos 0 G39"/>
                                          <a:gd name="G43" fmla="sin 0 G39"/>
                                          <a:gd name="G44" fmla="+- G40 10800 0"/>
                                          <a:gd name="G45" fmla="+- G41 10800 0"/>
                                          <a:gd name="G46" fmla="+- G42 10800 0"/>
                                          <a:gd name="G47" fmla="+- G43 10800 0"/>
                                          <a:gd name="G48" fmla="+- G35 10800 0"/>
                                          <a:gd name="G49" fmla="+- G36 10800 0"/>
                                          <a:gd name="T4" fmla="*/ 103 w 9177"/>
                                          <a:gd name="T5" fmla="*/ 2854 h 2648"/>
                                          <a:gd name="T6" fmla="*/ 14 w 9177"/>
                                          <a:gd name="T7" fmla="*/ 2779 h 2648"/>
                                          <a:gd name="T8" fmla="*/ 0 w 9177"/>
                                          <a:gd name="T9" fmla="*/ 341 h 2648"/>
                                          <a:gd name="T10" fmla="*/ 0 w 9177"/>
                                          <a:gd name="T11" fmla="*/ 2854 h 2648"/>
                                          <a:gd name="T12" fmla="*/ 14 w 9177"/>
                                          <a:gd name="T13" fmla="*/ 2883 h 2648"/>
                                          <a:gd name="T14" fmla="*/ 9073 w 9177"/>
                                          <a:gd name="T15" fmla="*/ 2883 h 2648"/>
                                          <a:gd name="T16" fmla="*/ 9073 w 9177"/>
                                          <a:gd name="T17" fmla="*/ 2779 h 2648"/>
                                          <a:gd name="T18" fmla="*/ 103 w 9177"/>
                                          <a:gd name="T19" fmla="*/ 341 h 2648"/>
                                          <a:gd name="T20" fmla="*/ 74 w 9177"/>
                                          <a:gd name="T21" fmla="*/ 2779 h 2648"/>
                                          <a:gd name="T22" fmla="*/ 103 w 9177"/>
                                          <a:gd name="T23" fmla="*/ 2794 h 2648"/>
                                          <a:gd name="T24" fmla="*/ 9073 w 9177"/>
                                          <a:gd name="T25" fmla="*/ 2779 h 2648"/>
                                          <a:gd name="T26" fmla="*/ 103 w 9177"/>
                                          <a:gd name="T27" fmla="*/ 309 h 2648"/>
                                          <a:gd name="T28" fmla="*/ 74 w 9177"/>
                                          <a:gd name="T29" fmla="*/ 338 h 2648"/>
                                          <a:gd name="T30" fmla="*/ 103 w 9177"/>
                                          <a:gd name="T31" fmla="*/ 341 h 2648"/>
                                          <a:gd name="T32" fmla="*/ 9073 w 9177"/>
                                          <a:gd name="T33" fmla="*/ 338 h 2648"/>
                                          <a:gd name="T34" fmla="*/ 9073 w 9177"/>
                                          <a:gd name="T35" fmla="*/ 235 h 2648"/>
                                          <a:gd name="T36" fmla="*/ 14 w 9177"/>
                                          <a:gd name="T37" fmla="*/ 235 h 2648"/>
                                          <a:gd name="T38" fmla="*/ 0 w 9177"/>
                                          <a:gd name="T39" fmla="*/ 249 h 2648"/>
                                          <a:gd name="T40" fmla="*/ 14 w 9177"/>
                                          <a:gd name="T41" fmla="*/ 341 h 2648"/>
                                          <a:gd name="T42" fmla="*/ 103 w 9177"/>
                                          <a:gd name="T43" fmla="*/ 249 h 2648"/>
                                          <a:gd name="T44" fmla="*/ 9073 w 9177"/>
                                          <a:gd name="T45" fmla="*/ 235 h 2648"/>
                                          <a:gd name="T46" fmla="*/ 9073 w 9177"/>
                                          <a:gd name="T47" fmla="*/ 341 h 2648"/>
                                          <a:gd name="T48" fmla="*/ 9073 w 9177"/>
                                          <a:gd name="T49" fmla="*/ 2794 h 2648"/>
                                          <a:gd name="T50" fmla="*/ 9088 w 9177"/>
                                          <a:gd name="T51" fmla="*/ 2779 h 2648"/>
                                          <a:gd name="T52" fmla="*/ 9088 w 9177"/>
                                          <a:gd name="T53" fmla="*/ 309 h 2648"/>
                                          <a:gd name="T54" fmla="*/ 9073 w 9177"/>
                                          <a:gd name="T55" fmla="*/ 338 h 2648"/>
                                          <a:gd name="T56" fmla="*/ 9088 w 9177"/>
                                          <a:gd name="T57" fmla="*/ 341 h 2648"/>
                                          <a:gd name="T58" fmla="*/ 9088 w 9177"/>
                                          <a:gd name="T59" fmla="*/ 309 h 2648"/>
                                          <a:gd name="T60" fmla="*/ 9148 w 9177"/>
                                          <a:gd name="T61" fmla="*/ 341 h 2648"/>
                                          <a:gd name="T62" fmla="*/ 9148 w 9177"/>
                                          <a:gd name="T63" fmla="*/ 2854 h 2648"/>
                                          <a:gd name="T64" fmla="*/ 9073 w 9177"/>
                                          <a:gd name="T65" fmla="*/ 2883 h 2648"/>
                                          <a:gd name="T66" fmla="*/ 9176 w 9177"/>
                                          <a:gd name="T67" fmla="*/ 2883 h 2648"/>
                                          <a:gd name="T68" fmla="*/ 9176 w 9177"/>
                                          <a:gd name="T69" fmla="*/ 2779 h 2648"/>
                                          <a:gd name="T70" fmla="*/ 9176 w 9177"/>
                                          <a:gd name="T71" fmla="*/ 235 h 2648"/>
                                          <a:gd name="T72" fmla="*/ 9148 w 9177"/>
                                          <a:gd name="T73" fmla="*/ 235 h 2648"/>
                                          <a:gd name="T74" fmla="*/ 9073 w 9177"/>
                                          <a:gd name="T75" fmla="*/ 249 h 2648"/>
                                          <a:gd name="T76" fmla="*/ 9148 w 9177"/>
                                          <a:gd name="T77" fmla="*/ 341 h 2648"/>
                                          <a:gd name="T78" fmla="*/ 9176 w 9177"/>
                                          <a:gd name="T79" fmla="*/ 235 h 2648"/>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3163 w 9177"/>
                                          <a:gd name="T119" fmla="*/ 3163 h 2648"/>
                                          <a:gd name="T120" fmla="*/ 18437 w 9177"/>
                                          <a:gd name="T121" fmla="*/ 18437 h 2648"/>
                                        </a:gdLst>
                                        <a:ahLst/>
                                        <a:cxnLst>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 ang="T117">
                                            <a:pos x="T78" y="T79"/>
                                          </a:cxn>
                                        </a:cxnLst>
                                        <a:rect l="T118" t="T119" r="T120" b="T121"/>
                                        <a:pathLst>
                                          <a:path w="9177" h="2648">
                                            <a:moveTo>
                                              <a:pt x="9073" y="2619"/>
                                            </a:moveTo>
                                            <a:lnTo>
                                              <a:pt x="103" y="2619"/>
                                            </a:lnTo>
                                            <a:lnTo>
                                              <a:pt x="14" y="2619"/>
                                            </a:lnTo>
                                            <a:lnTo>
                                              <a:pt x="14" y="2544"/>
                                            </a:lnTo>
                                            <a:lnTo>
                                              <a:pt x="14" y="106"/>
                                            </a:lnTo>
                                            <a:lnTo>
                                              <a:pt x="0" y="106"/>
                                            </a:lnTo>
                                            <a:lnTo>
                                              <a:pt x="0" y="2544"/>
                                            </a:lnTo>
                                            <a:lnTo>
                                              <a:pt x="0" y="2619"/>
                                            </a:lnTo>
                                            <a:lnTo>
                                              <a:pt x="0" y="2648"/>
                                            </a:lnTo>
                                            <a:lnTo>
                                              <a:pt x="14" y="2648"/>
                                            </a:lnTo>
                                            <a:lnTo>
                                              <a:pt x="103" y="2648"/>
                                            </a:lnTo>
                                            <a:lnTo>
                                              <a:pt x="9073" y="2648"/>
                                            </a:lnTo>
                                            <a:lnTo>
                                              <a:pt x="9073" y="2619"/>
                                            </a:lnTo>
                                            <a:close/>
                                            <a:moveTo>
                                              <a:pt x="9073" y="2544"/>
                                            </a:moveTo>
                                            <a:lnTo>
                                              <a:pt x="103" y="2544"/>
                                            </a:lnTo>
                                            <a:lnTo>
                                              <a:pt x="103" y="106"/>
                                            </a:lnTo>
                                            <a:lnTo>
                                              <a:pt x="74" y="106"/>
                                            </a:lnTo>
                                            <a:lnTo>
                                              <a:pt x="74" y="2544"/>
                                            </a:lnTo>
                                            <a:lnTo>
                                              <a:pt x="74" y="2559"/>
                                            </a:lnTo>
                                            <a:lnTo>
                                              <a:pt x="103" y="2559"/>
                                            </a:lnTo>
                                            <a:lnTo>
                                              <a:pt x="9073" y="2559"/>
                                            </a:lnTo>
                                            <a:lnTo>
                                              <a:pt x="9073" y="2544"/>
                                            </a:lnTo>
                                            <a:close/>
                                            <a:moveTo>
                                              <a:pt x="9073" y="74"/>
                                            </a:moveTo>
                                            <a:lnTo>
                                              <a:pt x="103" y="74"/>
                                            </a:lnTo>
                                            <a:lnTo>
                                              <a:pt x="74" y="74"/>
                                            </a:lnTo>
                                            <a:lnTo>
                                              <a:pt x="74" y="103"/>
                                            </a:lnTo>
                                            <a:lnTo>
                                              <a:pt x="74" y="106"/>
                                            </a:lnTo>
                                            <a:lnTo>
                                              <a:pt x="103" y="106"/>
                                            </a:lnTo>
                                            <a:lnTo>
                                              <a:pt x="103" y="103"/>
                                            </a:lnTo>
                                            <a:lnTo>
                                              <a:pt x="9073" y="103"/>
                                            </a:lnTo>
                                            <a:lnTo>
                                              <a:pt x="9073" y="74"/>
                                            </a:lnTo>
                                            <a:close/>
                                            <a:moveTo>
                                              <a:pt x="9073" y="0"/>
                                            </a:moveTo>
                                            <a:lnTo>
                                              <a:pt x="103" y="0"/>
                                            </a:lnTo>
                                            <a:lnTo>
                                              <a:pt x="14" y="0"/>
                                            </a:lnTo>
                                            <a:lnTo>
                                              <a:pt x="0" y="0"/>
                                            </a:lnTo>
                                            <a:lnTo>
                                              <a:pt x="0" y="14"/>
                                            </a:lnTo>
                                            <a:lnTo>
                                              <a:pt x="0" y="106"/>
                                            </a:lnTo>
                                            <a:lnTo>
                                              <a:pt x="14" y="106"/>
                                            </a:lnTo>
                                            <a:lnTo>
                                              <a:pt x="14" y="14"/>
                                            </a:lnTo>
                                            <a:lnTo>
                                              <a:pt x="103" y="14"/>
                                            </a:lnTo>
                                            <a:lnTo>
                                              <a:pt x="9073" y="14"/>
                                            </a:lnTo>
                                            <a:lnTo>
                                              <a:pt x="9073" y="0"/>
                                            </a:lnTo>
                                            <a:close/>
                                            <a:moveTo>
                                              <a:pt x="9088" y="106"/>
                                            </a:moveTo>
                                            <a:lnTo>
                                              <a:pt x="9073" y="106"/>
                                            </a:lnTo>
                                            <a:lnTo>
                                              <a:pt x="9073" y="2544"/>
                                            </a:lnTo>
                                            <a:lnTo>
                                              <a:pt x="9073" y="2559"/>
                                            </a:lnTo>
                                            <a:lnTo>
                                              <a:pt x="9088" y="2559"/>
                                            </a:lnTo>
                                            <a:lnTo>
                                              <a:pt x="9088" y="2544"/>
                                            </a:lnTo>
                                            <a:lnTo>
                                              <a:pt x="9088" y="106"/>
                                            </a:lnTo>
                                            <a:close/>
                                            <a:moveTo>
                                              <a:pt x="9088" y="74"/>
                                            </a:moveTo>
                                            <a:lnTo>
                                              <a:pt x="9073" y="74"/>
                                            </a:lnTo>
                                            <a:lnTo>
                                              <a:pt x="9073" y="103"/>
                                            </a:lnTo>
                                            <a:lnTo>
                                              <a:pt x="9073" y="106"/>
                                            </a:lnTo>
                                            <a:lnTo>
                                              <a:pt x="9088" y="106"/>
                                            </a:lnTo>
                                            <a:lnTo>
                                              <a:pt x="9088" y="103"/>
                                            </a:lnTo>
                                            <a:lnTo>
                                              <a:pt x="9088" y="74"/>
                                            </a:lnTo>
                                            <a:close/>
                                            <a:moveTo>
                                              <a:pt x="9176" y="106"/>
                                            </a:moveTo>
                                            <a:lnTo>
                                              <a:pt x="9148" y="106"/>
                                            </a:lnTo>
                                            <a:lnTo>
                                              <a:pt x="9148" y="2544"/>
                                            </a:lnTo>
                                            <a:lnTo>
                                              <a:pt x="9148" y="2619"/>
                                            </a:lnTo>
                                            <a:lnTo>
                                              <a:pt x="9073" y="2619"/>
                                            </a:lnTo>
                                            <a:lnTo>
                                              <a:pt x="9073" y="2648"/>
                                            </a:lnTo>
                                            <a:lnTo>
                                              <a:pt x="9148" y="2648"/>
                                            </a:lnTo>
                                            <a:lnTo>
                                              <a:pt x="9176" y="2648"/>
                                            </a:lnTo>
                                            <a:lnTo>
                                              <a:pt x="9176" y="2544"/>
                                            </a:lnTo>
                                            <a:lnTo>
                                              <a:pt x="9176" y="106"/>
                                            </a:lnTo>
                                            <a:close/>
                                            <a:moveTo>
                                              <a:pt x="9176" y="0"/>
                                            </a:moveTo>
                                            <a:lnTo>
                                              <a:pt x="9176" y="0"/>
                                            </a:lnTo>
                                            <a:lnTo>
                                              <a:pt x="9148" y="0"/>
                                            </a:lnTo>
                                            <a:lnTo>
                                              <a:pt x="9073" y="0"/>
                                            </a:lnTo>
                                            <a:lnTo>
                                              <a:pt x="9073" y="14"/>
                                            </a:lnTo>
                                            <a:lnTo>
                                              <a:pt x="9148" y="14"/>
                                            </a:lnTo>
                                            <a:lnTo>
                                              <a:pt x="9148" y="106"/>
                                            </a:lnTo>
                                            <a:lnTo>
                                              <a:pt x="9176" y="106"/>
                                            </a:lnTo>
                                            <a:lnTo>
                                              <a:pt x="9176" y="0"/>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docshape71"/>
                                    <wps:cNvSpPr txBox="1">
                                      <a:spLocks noChangeArrowheads="1"/>
                                    </wps:cNvSpPr>
                                    <wps:spPr bwMode="auto">
                                      <a:xfrm>
                                        <a:off x="1394" y="338"/>
                                        <a:ext cx="8971" cy="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left="21"/>
                                            <w:rPr>
                                              <w:rFonts w:eastAsia="Arial Unicode MS"/>
                                              <w:szCs w:val="24"/>
                                              <w:lang w:val="fr-BE" w:eastAsia="en-GB"/>
                                            </w:rPr>
                                          </w:pPr>
                                          <w:r>
                                            <w:rPr>
                                              <w:rFonts w:eastAsia="Arial Unicode MS"/>
                                              <w:szCs w:val="24"/>
                                              <w:u w:val="single"/>
                                              <w:lang w:val="fr-BE" w:eastAsia="en-GB"/>
                                            </w:rPr>
                                            <w:t>EDA</w:t>
                                          </w:r>
                                          <w:r>
                                            <w:rPr>
                                              <w:rFonts w:eastAsia="Arial Unicode MS"/>
                                              <w:spacing w:val="-2"/>
                                              <w:szCs w:val="24"/>
                                              <w:u w:val="single"/>
                                              <w:lang w:val="fr-BE" w:eastAsia="en-GB"/>
                                            </w:rPr>
                                            <w:t xml:space="preserve"> </w:t>
                                          </w:r>
                                          <w:r>
                                            <w:rPr>
                                              <w:rFonts w:eastAsia="Arial Unicode MS"/>
                                              <w:szCs w:val="24"/>
                                              <w:u w:val="single"/>
                                              <w:lang w:val="fr-BE" w:eastAsia="en-GB"/>
                                            </w:rPr>
                                            <w:t>POC</w:t>
                                          </w:r>
                                        </w:p>
                                        <w:p>
                                          <w:pPr>
                                            <w:rPr>
                                              <w:sz w:val="20"/>
                                            </w:rPr>
                                          </w:pPr>
                                        </w:p>
                                        <w:p>
                                          <w:pPr>
                                            <w:ind w:left="21"/>
                                            <w:rPr>
                                              <w:rFonts w:eastAsia="Arial Unicode MS"/>
                                              <w:szCs w:val="24"/>
                                              <w:lang w:val="fr-BE" w:eastAsia="en-GB"/>
                                            </w:rPr>
                                          </w:pPr>
                                          <w:r>
                                            <w:rPr>
                                              <w:rFonts w:eastAsia="Arial Unicode MS"/>
                                              <w:szCs w:val="24"/>
                                              <w:lang w:val="fr-BE" w:eastAsia="en-GB"/>
                                            </w:rPr>
                                            <w:t>Friedrich AFLENZER</w:t>
                                          </w:r>
                                        </w:p>
                                        <w:p>
                                          <w:pPr>
                                            <w:ind w:left="21" w:right="5142"/>
                                            <w:rPr>
                                              <w:rFonts w:eastAsia="Arial Unicode MS"/>
                                              <w:szCs w:val="24"/>
                                              <w:lang w:val="en-GB" w:eastAsia="en-GB"/>
                                            </w:rPr>
                                          </w:pPr>
                                          <w:r>
                                            <w:rPr>
                                              <w:rFonts w:eastAsia="Arial Unicode MS"/>
                                              <w:szCs w:val="24"/>
                                              <w:lang w:val="en-GB" w:eastAsia="en-GB"/>
                                            </w:rPr>
                                            <w:t>Europos gynybos agentūra</w:t>
                                          </w:r>
                                        </w:p>
                                        <w:p>
                                          <w:pPr>
                                            <w:ind w:left="21" w:right="6361"/>
                                            <w:rPr>
                                              <w:rFonts w:eastAsia="Arial Unicode MS"/>
                                              <w:szCs w:val="24"/>
                                              <w:lang w:val="fr-BE" w:eastAsia="en-GB"/>
                                            </w:rPr>
                                          </w:pPr>
                                          <w:r>
                                            <w:rPr>
                                              <w:rFonts w:eastAsia="Arial Unicode MS"/>
                                              <w:szCs w:val="24"/>
                                              <w:lang w:val="en-GB" w:eastAsia="en-GB"/>
                                            </w:rPr>
                                            <w:t>Agency</w:t>
                                          </w:r>
                                          <w:r>
                                            <w:rPr>
                                              <w:rFonts w:eastAsia="Arial Unicode MS"/>
                                              <w:spacing w:val="-57"/>
                                              <w:szCs w:val="24"/>
                                              <w:lang w:val="en-GB" w:eastAsia="en-GB"/>
                                            </w:rPr>
                                            <w:t xml:space="preserve"> </w:t>
                                          </w:r>
                                          <w:r>
                                            <w:rPr>
                                              <w:rFonts w:eastAsia="Arial Unicode MS"/>
                                              <w:szCs w:val="24"/>
                                              <w:lang w:val="en-GB" w:eastAsia="en-GB"/>
                                            </w:rPr>
                                            <w:t>Rue des Drapiers 17-23</w:t>
                                          </w:r>
                                          <w:r>
                                            <w:rPr>
                                              <w:rFonts w:eastAsia="Arial Unicode MS"/>
                                              <w:spacing w:val="1"/>
                                              <w:szCs w:val="24"/>
                                              <w:lang w:val="en-GB" w:eastAsia="en-GB"/>
                                            </w:rPr>
                                            <w:t xml:space="preserve"> </w:t>
                                          </w:r>
                                          <w:r>
                                            <w:rPr>
                                              <w:rFonts w:eastAsia="Arial Unicode MS"/>
                                              <w:szCs w:val="24"/>
                                              <w:lang w:val="en-GB" w:eastAsia="en-GB"/>
                                            </w:rPr>
                                            <w:t>1050</w:t>
                                          </w:r>
                                          <w:r>
                                            <w:rPr>
                                              <w:rFonts w:eastAsia="Arial Unicode MS"/>
                                              <w:spacing w:val="-1"/>
                                              <w:szCs w:val="24"/>
                                              <w:lang w:val="en-GB" w:eastAsia="en-GB"/>
                                            </w:rPr>
                                            <w:t xml:space="preserve"> </w:t>
                                          </w:r>
                                          <w:r>
                                            <w:rPr>
                                              <w:rFonts w:eastAsia="Arial Unicode MS"/>
                                              <w:szCs w:val="24"/>
                                              <w:lang w:val="en-GB" w:eastAsia="en-GB"/>
                                            </w:rPr>
                                            <w:t>Brussels</w:t>
                                          </w:r>
                                        </w:p>
                                        <w:p>
                                          <w:pPr>
                                            <w:ind w:left="21"/>
                                            <w:rPr>
                                              <w:rFonts w:eastAsia="Arial Unicode MS"/>
                                              <w:szCs w:val="24"/>
                                              <w:lang w:val="fr-BE" w:eastAsia="en-GB"/>
                                            </w:rPr>
                                          </w:pPr>
                                          <w:r>
                                            <w:rPr>
                                              <w:rFonts w:eastAsia="Arial Unicode MS"/>
                                              <w:szCs w:val="24"/>
                                              <w:lang w:val="fr-BE" w:eastAsia="en-GB"/>
                                            </w:rPr>
                                            <w:t>Belgija</w:t>
                                          </w:r>
                                        </w:p>
                                        <w:p>
                                          <w:pPr>
                                            <w:ind w:left="21"/>
                                            <w:rPr>
                                              <w:rFonts w:ascii="Arial" w:eastAsia="Arial Unicode MS" w:hAnsi="Arial"/>
                                              <w:i/>
                                              <w:sz w:val="20"/>
                                              <w:szCs w:val="24"/>
                                              <w:lang w:val="fr-BE" w:eastAsia="en-GB"/>
                                            </w:rPr>
                                          </w:pPr>
                                          <w:r>
                                            <w:rPr>
                                              <w:rFonts w:eastAsia="Arial Unicode MS"/>
                                              <w:szCs w:val="24"/>
                                              <w:lang w:val="fr-BE" w:eastAsia="en-GB"/>
                                            </w:rPr>
                                            <w:t>El.p.:</w:t>
                                          </w:r>
                                          <w:r>
                                            <w:rPr>
                                              <w:rFonts w:eastAsia="Arial Unicode MS"/>
                                              <w:spacing w:val="-11"/>
                                              <w:szCs w:val="24"/>
                                              <w:lang w:val="fr-BE" w:eastAsia="en-GB"/>
                                            </w:rPr>
                                            <w:t xml:space="preserve"> </w:t>
                                          </w:r>
                                          <w:r>
                                            <w:rPr>
                                              <w:rFonts w:ascii="Arial" w:eastAsia="Arial Unicode MS" w:hAnsi="Arial"/>
                                              <w:i/>
                                              <w:sz w:val="20"/>
                                              <w:szCs w:val="24"/>
                                              <w:lang w:val="fr-BE" w:eastAsia="en-GB"/>
                                            </w:rPr>
                                            <w:t>Friedrich.Aflenzer@eda.europa.eu</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3EA320" id="docshapegroup69" o:spid="_x0000_s1026" style="position:absolute;margin-left:64.5pt;margin-top:11.75pt;width:458.85pt;height:130.05pt;z-index:-251658752;mso-wrap-distance-left:0;mso-wrap-distance-right:0;mso-position-horizontal-relative:page" coordorigin="1291,235" coordsize="9177,2648"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N09BgAsAANE4AAAOAAAAZHJzL2Uyb0RvYy54bWzUW9uO47gRfQ+QfxD8mEWPRd1lTM9gpnva CDDZXWCdD1Db8gWxLUdyT/ckyL+nijeRsoriXhAgs4uWunVYqjqnWBQp8f3Ht9Mx+Fa33aE538/Y u3AW1Od1szmcd/ezv6+e7opZ0F2r86Y6Nuf6fva97mYfP/z5T+9fL4s6avbNcVO3ARg5d4vXy/1s f71eFvN5t97Xp6p711zqM1zcNu2pusKv7W6+aatXsH46zqMwzOavTbu5tM267jr466O4OPvA7W+3 9fr603bb1dfgeD8D3678Z8t/PuPP+Yf31WLXVpf9YS3dqH6DF6fqcIabalOP1bUKXtrDjanTYd02 XbO9vls3p3mz3R7WNY8BomHhIJpl27xceCy7xevuomkCagc8/Waz6x+//dwGh839LJ0F5+oEEm2a dbevLvUO756VSNHrZbcA5LK9/HL5uRVxwunXZv2PDi7Ph9fx950AB8+vf2s2YLZ6uTacordte0IT EHzwxpX4rpWo367BGv6YFlEel+DSGq6xLGVZnAqt1nsQFNuxqGSzAC5H/aUvsnnJ8ly0jbKkwIbz aiHuy32VvmFgkHZdz2z3+5j9BXnjgnXIl2Q2GzKb87zDewNIMdqZdBpXENYB65NE3hKi2HTQUS3W L911WTdckurb1+4qusQGzrjQG5kWS+g+29MRescPd0GI/8nOowEghxsQTQFiA8DCIhy9TWKAxgAr 7ehf5kGchUGUZgEbOLvSzgJoHLKE9NPxLKNgFQbQSrKjSAFtBebjIgAM/i8Tdad5gVTUdtDhZTa0 AkXSQtxQW04BmA5aqhPl4Y0VpoNeN12wZGMaao2gnBIQrRJaYXGKMg0jYloltEOBLIYZC6TmN8Y0 yxDckkUkzmR6yWISZ/K9ZAmJ07TzJGFBNPQsMmlfsjJIkzE2Ipv4aISwyCZ+FKKJRxoikq5Icy/p WkYx4G+dt+iPMHsBB0kyyPFI088FF/3yBqS554ITIE08WhpjQTOOVkYAsUV4BB17/E6xZpxzlZM4 TTvHFSTO5r4kcTb3VELAkCV7PO+JcXLbg2LNOu+JoxDN+Q9YxKCMDVRZ6egggVkxXudWOjS6FMZa OKQpzoMV1MN4cLdlrNWT1RCAS2g6yKdEa9jnE7YdwrSEfUaNwXSMIqfGIDpCkVVjEEu3JKT0TbRw SERC9sFEq8dxZMlKegnRHlmy4CmmHyKWcUr6pyXgQlH9Y6XDxcQI4+A14A8JtgQrHSygoiJNgn2g HqjgUVcNcCsdKxpLCFs6ULSV5yVhS8cJsJAwpWMETAwajHvVD4kOU/2QiG7RITKdZYAjY2Q60bi1 IqZcM+kvw5zin9kC0PZMBVz2PEVgpgp0ejA/IfpBEljJqfzox0jkjk6QfqBEJcjUjSwp8pLK3X6w BHMO6iJLCod7phQO90wl4pDqDZEpBE2dpUNcEFnXj51O5vqhE2B094rNHuEgLjaFiGnnPLtEP3KC dzD1o2K1ZKByLjZVcBgzVaCKUj/4oWMJpWg/+KEIlGOJHvucGiSmBnSyJaYEDtc8JejHQKcE/RAI MEeC9EOgO1ZTBJc5szNEdMdP9VMId68oiMEmNaVw1KXU1KIMaXumGHTPTz3FSM26RHev1OwPLu/M HkF3/tQWgw7WFIMONrO0YAmlRWZqQXuXWVI4zJlSOAb/zFOLzNQiKsjhOrPEYHlGpF5miuGyZ6nh sGeq4UhlWJ+SD5vYNWh7uSkHXT5zTzlySw6ytOeeauSWGmRBzm0xyNzDFUWxSOMsU7mnFrmlBRls YUoRBlkI/4IsTWF2OHhWL0wx3EhTDzfSVMSNNEVxI01Z3EhTGTfS1MaNNOVxI02BnMjSWyNcsdY5 5LbprVHprVHprRGuvHv66a1R6a1R6a1R6a0Rg9VQz5BY6K0SC71lgqczfwe8hWKht1Is9JaKhd5a wfKbf1j+ag3m7o6yx6wZvLNPMWsSPwH1V6tf6oaBYcKqv1rMXy3mr5Y1sY/hrRrx5MHsqT0CiUUW a3LPigSW/MbXkpg1wRfI3ia8n9upV07VXr2FWr+d5WsoOAsqfKe8ghER30tdYAEZ3gLiQha8A4SV KhgOwQjg8KoBZxYcWEV4TsIjCw7JjXC+NjlqPbbgmLaIF2voow0SuwHUD96Ar6WONkjtBjJeWBmi As7sBjJiSBKqQW43kDFDBlANCqsBZgDGAPpSDUq7gQwalmiIBjCimhrjGg2/Axk0DKxWAxl0RAZd 2jrjOgu/Axk0DLPmHXAtBRvAYgkVg600LpfwBnTQttKxDFq83R5LjdJWGl8Y8DvQQdtK46I+b0AH bSuNaxfYAFYnqKBtpXF9gjcgg8Zx2eQ1kVHDGgNxCxyerRYybFhGIFvYYuNaOveKjBsHa/MeuFaA LWAtgLyHLTeuBvAWjshtvXHCz1s4IrcFxzk9b+GI3FYcp+28hSNyW3KcmWMLmHmTkdua4+Sbt6Aj hzJpsovTa96CjhwKqtVCRg4TZMorGOutFjJy8T3LWG9isHhvtsBJMHoFk1zyHrbmOM/lLRyR25rj VJa3cERua46zVd7CEbmtOU5IeQtLc8GAHFxb+EwKP5CCcQvA8I0UnMCzGnwmtWJY3eFLKTjhPMDA W11xfOZUwWnwej8T35fs4VMc/NoGr5yab/Wq4ZgrDtO4XsfdiDI9rvSY49nE8idl8NiAKoA6XrhR fPD6NbgUiouQUtlRR8sePii7YCIv/FDR1D2FsclQFUx/zKQ8V0crAvWODkRW19VR4nAywqmbMGjo 5o/UCqubro9NVwOlrrzoiZrMix6qbqCOdnRTEsne5wmblFKai9JU9TTlljra7k0Ce/KnTBrImxz3 IB88Fwk/Rb0GqojUUUQmGfBDYTd3dTNpbEodVS38ce7baiqn/NPAm3A9GOffS0H3nCJc4RTP6igz SRRAN0iUDh8M1FOXIH51TxblSTmE6xO31OK6PdNSTJjTuCEbLsUKMX72AVGaaes9VMmljkI2DZws KQZyoqjgKx1R0qdrhUbe1IqhnzexK4AHYbpbTPKlkcq6Og7o8u6R0wKQgQ1vrYFTVUMCb2JxMAUv VrhkvbskVfAOawBVjqqj5EoBp1NLI/snMmVLHQf8Tz6l9Onaf3WtbKnj0M9ppGRp8qEGX1TJLjCV 2ArZM6/c85BLFQ9aLOmHAirb6jigYAKmnpw9YVMlUMnujZt4Gtas33I5jJegRVEOwyHOLfgynp5k 4DzF+EC9a46HzdPheMSHya7dPT8c2+BbBXOXAr4DhaVBMYBZsCNfETw32EyNb9gcvo6X8xj8Tp5v 1vh3yaIk/ByVd09Zkd8lT0l6V+ZhcRey8nOZhUmZPD79B2c4LFnsD5tNff56ONdq4whL/LYPyC0s YssH3zrCZ1EpfGPE4yKDxLd/sGAyEiTs1Thv4O/VYl9Xmy/y/FodjuJ8bnvMSYaw1ZETAVsjxFYD sS/iudl8h20HbQMTQhj7YZMPnOyb9l+z4BU2zNzPun++VG09C45/PcO+iZIluD505b8kaY4Tx9a8 8mxeqc5rMHU/u85gWRdPH67wGzR5ubSH3R7uJGb85+YT7BvZHnBXAvdPeCV/ga0b/6M9HLDEbu+O EcsCxh6O4Pr2ucF9KUJDsZsjODcPe1i3rj+1bfOK0gBTYkHBaCpi8NvkEeNbPJi6wacemAc8jfmW maLE1/G4XyaChX2ZI2qvzaUVmzwCPLmf4YSfu6k2fGDfkxC0qTsLTiCtPwBQ/GW094Tll+JLkdwl UfblLgkfH+8+PT0kd9kTy9PH+PHh4ZHZvQf75O/vPeih1eWtyvDE/912GqNLiIoCsfEuITj9Py8I p8MVNtYdDycsjapq/IHV4fr2/Ab5h1n8KwuFLhK6QMCJKA5w8gcWBr7VC/bN8SIn9/jhxjzzd15I +p2IH/4LAAD//wMAUEsDBBQABgAIAAAAIQDz7a0T4gAAAAsBAAAPAAAAZHJzL2Rvd25yZXYueG1s TI/NTsMwEITvSLyDtUjcqPNDQxviVFUFnCokWiTUm5tsk6jxOordJH17tic4zuxo9ptsNZlWDNi7 xpKCcBaAQCps2VCl4Hv//rQA4bymUreWUMEVHazy+7tMp6Ud6QuHna8El5BLtYLa+y6V0hU1Gu1m tkPi28n2RnuWfSXLXo9cbloZBUEijW6IP9S6w02NxXl3MQo+Rj2u4/Bt2J5Pm+thP//82Yao1OPD tH4F4XHyf2G44TM65Mx0tBcqnWhZR0ve4hVE8RzELRA8Jy8gjuws4gRknsn/G/JfAAAA//8DAFBL AQItABQABgAIAAAAIQC2gziS/gAAAOEBAAATAAAAAAAAAAAAAAAAAAAAAABbQ29udGVudF9UeXBl c10ueG1sUEsBAi0AFAAGAAgAAAAhADj9If/WAAAAlAEAAAsAAAAAAAAAAAAAAAAALwEAAF9yZWxz Ly5yZWxzUEsBAi0AFAAGAAgAAAAhAGY3T0GACwAA0TgAAA4AAAAAAAAAAAAAAAAALgIAAGRycy9l Mm9Eb2MueG1sUEsBAi0AFAAGAAgAAAAhAPPtrRPiAAAACwEAAA8AAAAAAAAAAAAAAAAA2g0AAGRy cy9kb3ducmV2LnhtbFBLBQYAAAAABAAEAPMAAADpDgAAAAA= ">
                            <v:shape id="docshape70" o:spid="_x0000_s1027" style="position:absolute;left:1291;top:235;width:9177;height:2648;visibility:visible;mso-wrap-style:square;v-text-anchor:top" coordsize="9177,264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LYrpvwwAAANoAAAAPAAAAZHJzL2Rvd25yZXYueG1sRI9Bi8Iw FITvwv6H8AQvsqZ6KLYaRRYLiid197C3Z/O2Ldu8lCbV+u+NIHgcZuYbZrnuTS2u1LrKsoLpJAJB nFtdcaHg+5x9zkE4j6yxtkwK7uRgvfoYLDHV9sZHup58IQKEXYoKSu+bVEqXl2TQTWxDHLw/2xr0 QbaF1C3eAtzUchZFsTRYcVgosaGvkvL/U2cUjJPkMOvibdHtf+NkG2U/l8zWSo2G/WYBwlPv3+FX e6cVxPC8Em6AXD0AAAD//wMAUEsBAi0AFAAGAAgAAAAhANvh9svuAAAAhQEAABMAAAAAAAAAAAAA AAAAAAAAAFtDb250ZW50X1R5cGVzXS54bWxQSwECLQAUAAYACAAAACEAWvQsW78AAAAVAQAACwAA AAAAAAAAAAAAAAAfAQAAX3JlbHMvLnJlbHNQSwECLQAUAAYACAAAACEAC2K6b8MAAADaAAAADwAA AAAAAAAAAAAAAAAHAgAAZHJzL2Rvd25yZXYueG1sUEsFBgAAAAADAAMAtwAAAPcCAAAAAA== " path="m9073,2619r-8970,l14,2619r,-75l14,106,,106,,2544r,75l,2648r14,l103,2648r8970,l9073,2619xm9073,2544r-8970,l103,106r-29,l74,2544r,15l103,2559r8970,l9073,2544xm9073,74l103,74r-29,l74,103r,3l103,106r,-3l9073,103r,-29xm9073,l103,,14,,,,,14r,92l14,106r,-92l103,14r8970,l9073,xm9088,106r-15,l9073,2544r,15l9088,2559r,-15l9088,106xm9088,74r-15,l9073,103r,3l9088,106r,-3l9088,74xm9176,106r-28,l9148,2544r,75l9073,2619r,29l9148,2648r28,l9176,2544r,-2438xm9176,r,l9148,r-75,l9073,14r75,l9148,106r28,l9176,xe" fillcolor="gray" stroked="f">
                              <v:path arrowok="t" o:connecttype="custom" o:connectlocs="103,2854;14,2779;0,341;0,2854;14,2883;9073,2883;9073,2779;103,341;74,2779;103,2794;9073,2779;103,309;74,338;103,341;9073,338;9073,235;14,235;0,249;14,341;103,249;9073,235;9073,341;9073,2794;9088,2779;9088,309;9073,338;9088,341;9088,309;9148,341;9148,2854;9073,2883;9176,2883;9176,2779;9176,235;9148,235;9073,249;9148,341;9176,235" o:connectangles="0,0,0,0,0,0,0,0,0,0,0,0,0,0,0,0,0,0,0,0,0,0,0,0,0,0,0,0,0,0,0,0,0,0,0,0,0,0" textboxrect="3163,3163,18437,18437"/>
                            </v:shape>
                            <v:shapetype id="_x0000_t202" coordsize="21600,21600" o:spt="202" path="m,l,21600r21600,l21600,xe">
                              <v:stroke joinstyle="miter"/>
                              <v:path gradientshapeok="t" o:connecttype="rect"/>
                            </v:shapetype>
                            <v:shape id="docshape71" o:spid="_x0000_s1028" type="#_x0000_t202" style="position:absolute;left:1394;top:338;width:8971;height:2316;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I+TTDwwAAANoAAAAPAAAAZHJzL2Rvd25yZXYueG1sRI9Ba8JA FITvBf/D8oTe6kYPto2uIqIgFMQYDx6f2WeymH0bs6vGf98VCj0OM/MNM513thZ3ar1xrGA4SEAQ F04bLhUc8vXHFwgfkDXWjknBkzzMZ723KabaPTij+z6UIkLYp6igCqFJpfRFRRb9wDXE0Tu71mKI si2lbvER4baWoyQZS4uG40KFDS0rKi77m1WwOHK2MtftaZedM5Pn3wn/jC9Kvfe7xQREoC78h//a G63gE15X4g2Qs18AAAD//wMAUEsBAi0AFAAGAAgAAAAhANvh9svuAAAAhQEAABMAAAAAAAAAAAAA AAAAAAAAAFtDb250ZW50X1R5cGVzXS54bWxQSwECLQAUAAYACAAAACEAWvQsW78AAAAVAQAACwAA AAAAAAAAAAAAAAAfAQAAX3JlbHMvLnJlbHNQSwECLQAUAAYACAAAACEAyPk0w8MAAADaAAAADwAA AAAAAAAAAAAAAAAHAgAAZHJzL2Rvd25yZXYueG1sUEsFBgAAAAADAAMAtwAAAPcCAAAAAA== " filled="f" stroked="f">
                              <v:textbox inset="0,0,0,0">
                                <w:txbxContent>
                                  <w:p w14:paraId="163B0617" w14:textId="77777777">
                                    <w:pPr>
                                      <w:pBdr>
                                        <w:bar w:val="none" w:color="auto"/>
                                      </w:pBdr>
                                      <w:ind w:left="21"/>
                                      <w:rPr>
                                        <w:rFonts w:ascii="Times New Roman" w:hAnsi="Times New Roman" w:eastAsia="Arial Unicode MS" w:cs="Times New Roman"/>
                                        <w:szCs w:val="24"/>
                                        <w:lang w:val="fr-BE" w:eastAsia="en-GB"/>
                                      </w:rPr>
                                    </w:pPr>
                                    <w:r>
                                      <w:rPr>
                                        <w:rFonts w:ascii="Times New Roman" w:hAnsi="Times New Roman" w:eastAsia="Arial Unicode MS" w:cs="Times New Roman"/>
                                        <w:szCs w:val="24"/>
                                        <w:u w:val="single"/>
                                        <w:lang w:val="fr-BE" w:eastAsia="en-GB"/>
                                      </w:rPr>
                                      <w:t>EDA</w:t>
                                    </w:r>
                                    <w:r>
                                      <w:rPr>
                                        <w:rFonts w:ascii="Times New Roman" w:hAnsi="Times New Roman" w:eastAsia="Arial Unicode MS" w:cs="Times New Roman"/>
                                        <w:spacing w:val="-2"/>
                                        <w:szCs w:val="24"/>
                                        <w:u w:val="single"/>
                                        <w:lang w:val="fr-BE" w:eastAsia="en-GB"/>
                                      </w:rPr>
                                      <w:t xml:space="preserve"> </w:t>
                                    </w:r>
                                    <w:r>
                                      <w:rPr>
                                        <w:rFonts w:ascii="Times New Roman" w:hAnsi="Times New Roman" w:eastAsia="Arial Unicode MS" w:cs="Times New Roman"/>
                                        <w:szCs w:val="24"/>
                                        <w:u w:val="single"/>
                                        <w:lang w:val="fr-BE" w:eastAsia="en-GB"/>
                                      </w:rPr>
                                      <w:t>POC</w:t>
                                    </w:r>
                                  </w:p>
                                  <w:p>
                                    <w:pPr>
                                      <w:rPr>
                                        <w:sz w:val="20"/>
                                        <w:szCs w:val="20"/>
                                      </w:rPr>
                                    </w:pPr>
                                  </w:p>
                                  <w:p w14:paraId="71656BE1" w14:textId="77777777">
                                    <w:pPr>
                                      <w:pBdr>
                                        <w:bar w:val="none" w:color="auto"/>
                                      </w:pBdr>
                                      <w:ind w:left="21"/>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fr-BE" w:eastAsia="en-GB"/>
                                      </w:rPr>
                                      <w:t>Friedrich AFLENZER</w:t>
                                    </w:r>
                                  </w:p>
                                  <w:p w14:paraId="5AE89A89" w14:textId="77777777">
                                    <w:pPr>
                                      <w:pBdr>
                                        <w:bar w:val="none" w:color="auto"/>
                                      </w:pBdr>
                                      <w:ind w:left="21" w:right="5142"/>
                                      <w:rPr>
                                        <w:rFonts w:ascii="Times New Roman" w:hAnsi="Times New Roman" w:eastAsia="Arial Unicode MS" w:cs="Times New Roman"/>
                                        <w:szCs w:val="24"/>
                                        <w:lang w:val="en-GB" w:eastAsia="en-GB"/>
                                      </w:rPr>
                                    </w:pPr>
                                    <w:r>
                                      <w:rPr>
                                        <w:rFonts w:ascii="Times New Roman" w:hAnsi="Times New Roman" w:eastAsia="Arial Unicode MS" w:cs="Times New Roman"/>
                                        <w:szCs w:val="24"/>
                                        <w:lang w:val="en-GB" w:eastAsia="en-GB"/>
                                      </w:rPr>
                                      <w:t>Europos gynybos agentūra</w:t>
                                    </w:r>
                                  </w:p>
                                  <w:p w14:paraId="287D6717" w14:textId="77777777">
                                    <w:pPr>
                                      <w:pBdr>
                                        <w:bar w:val="none" w:color="auto"/>
                                      </w:pBdr>
                                      <w:ind w:left="21" w:right="6361"/>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en-GB" w:eastAsia="en-GB"/>
                                      </w:rPr>
                                      <w:t>Agency</w:t>
                                    </w:r>
                                    <w:r>
                                      <w:rPr>
                                        <w:rFonts w:ascii="Times New Roman" w:hAnsi="Times New Roman" w:eastAsia="Arial Unicode MS" w:cs="Times New Roman"/>
                                        <w:spacing w:val="-57"/>
                                        <w:szCs w:val="24"/>
                                        <w:lang w:val="en-GB" w:eastAsia="en-GB"/>
                                      </w:rPr>
                                      <w:t xml:space="preserve"> </w:t>
                                    </w:r>
                                    <w:r>
                                      <w:rPr>
                                        <w:rFonts w:ascii="Times New Roman" w:hAnsi="Times New Roman" w:eastAsia="Arial Unicode MS" w:cs="Times New Roman"/>
                                        <w:szCs w:val="24"/>
                                        <w:lang w:val="en-GB" w:eastAsia="en-GB"/>
                                      </w:rPr>
                                      <w:t>Rue des Drapiers 17-23</w:t>
                                    </w:r>
                                    <w:r>
                                      <w:rPr>
                                        <w:rFonts w:ascii="Times New Roman" w:hAnsi="Times New Roman" w:eastAsia="Arial Unicode MS" w:cs="Times New Roman"/>
                                        <w:spacing w:val="1"/>
                                        <w:szCs w:val="24"/>
                                        <w:lang w:val="en-GB" w:eastAsia="en-GB"/>
                                      </w:rPr>
                                      <w:t xml:space="preserve"> </w:t>
                                    </w:r>
                                    <w:r>
                                      <w:rPr>
                                        <w:rFonts w:ascii="Times New Roman" w:hAnsi="Times New Roman" w:eastAsia="Arial Unicode MS" w:cs="Times New Roman"/>
                                        <w:szCs w:val="24"/>
                                        <w:lang w:val="en-GB" w:eastAsia="en-GB"/>
                                      </w:rPr>
                                      <w:t>1050</w:t>
                                    </w:r>
                                    <w:r>
                                      <w:rPr>
                                        <w:rFonts w:ascii="Times New Roman" w:hAnsi="Times New Roman" w:eastAsia="Arial Unicode MS" w:cs="Times New Roman"/>
                                        <w:spacing w:val="-1"/>
                                        <w:szCs w:val="24"/>
                                        <w:lang w:val="en-GB" w:eastAsia="en-GB"/>
                                      </w:rPr>
                                      <w:t xml:space="preserve"> </w:t>
                                    </w:r>
                                    <w:r>
                                      <w:rPr>
                                        <w:rFonts w:ascii="Times New Roman" w:hAnsi="Times New Roman" w:eastAsia="Arial Unicode MS" w:cs="Times New Roman"/>
                                        <w:szCs w:val="24"/>
                                        <w:lang w:val="en-GB" w:eastAsia="en-GB"/>
                                      </w:rPr>
                                      <w:t>Brussels</w:t>
                                    </w:r>
                                  </w:p>
                                  <w:p w14:paraId="6DE8B7B7" w14:textId="77777777">
                                    <w:pPr>
                                      <w:pBdr>
                                        <w:bar w:val="none" w:color="auto"/>
                                      </w:pBdr>
                                      <w:ind w:left="21"/>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fr-BE" w:eastAsia="en-GB"/>
                                      </w:rPr>
                                      <w:t>Belgija</w:t>
                                    </w:r>
                                  </w:p>
                                  <w:p w14:paraId="13DCE9EF" w14:textId="77777777">
                                    <w:pPr>
                                      <w:pBdr>
                                        <w:bar w:val="none" w:color="auto"/>
                                      </w:pBdr>
                                      <w:ind w:left="21"/>
                                      <w:rPr>
                                        <w:rFonts w:ascii="Arial" w:hAnsi="Arial" w:eastAsia="Arial Unicode MS" w:cs="Times New Roman"/>
                                        <w:i/>
                                        <w:sz w:val="20"/>
                                        <w:szCs w:val="24"/>
                                        <w:lang w:val="fr-BE" w:eastAsia="en-GB"/>
                                      </w:rPr>
                                    </w:pPr>
                                    <w:r>
                                      <w:rPr>
                                        <w:rFonts w:ascii="Times New Roman" w:hAnsi="Times New Roman" w:eastAsia="Arial Unicode MS" w:cs="Times New Roman"/>
                                        <w:szCs w:val="24"/>
                                        <w:lang w:val="fr-BE" w:eastAsia="en-GB"/>
                                      </w:rPr>
                                      <w:t>El.p.:</w:t>
                                    </w:r>
                                    <w:r>
                                      <w:rPr>
                                        <w:rFonts w:ascii="Times New Roman" w:hAnsi="Times New Roman" w:eastAsia="Arial Unicode MS" w:cs="Times New Roman"/>
                                        <w:spacing w:val="-11"/>
                                        <w:szCs w:val="24"/>
                                        <w:lang w:val="fr-BE" w:eastAsia="en-GB"/>
                                      </w:rPr>
                                      <w:t xml:space="preserve"> </w:t>
                                    </w:r>
                                    <w:r>
                                      <w:rPr>
                                        <w:rFonts w:ascii="Arial" w:hAnsi="Arial" w:eastAsia="Arial Unicode MS" w:cs="Times New Roman"/>
                                        <w:i/>
                                        <w:sz w:val="20"/>
                                        <w:szCs w:val="24"/>
                                        <w:lang w:val="fr-BE" w:eastAsia="en-GB"/>
                                      </w:rPr>
                                      <w:t>Friedrich.Aflenzer@eda.europa.eu</w:t>
                                    </w:r>
                                  </w:p>
                                </w:txbxContent>
                              </v:textbox>
                            </v:shape>
                            <w10:wrap type="topAndBottom" anchorx="page"/>
                          </v:group>
                        </w:pict>
                      </mc:Fallback>
                    </mc:AlternateContent>
                  </w:r>
                </w:p>
                <w:p>
                  <w:pPr>
                    <w:spacing w:line="360" w:lineRule="auto"/>
                    <w:rPr>
                      <w:rFonts w:eastAsia="Arial Unicode MS"/>
                      <w:b/>
                      <w:sz w:val="22"/>
                      <w:szCs w:val="22"/>
                      <w:u w:val="single"/>
                      <w:lang w:val="en-US" w:eastAsia="en-GB"/>
                    </w:rPr>
                  </w:pPr>
                  <w:r>
                    <w:rPr>
                      <w:rFonts w:eastAsia="Arial Unicode MS"/>
                      <w:b/>
                      <w:sz w:val="22"/>
                      <w:szCs w:val="22"/>
                      <w:u w:val="single"/>
                      <w:lang w:eastAsia="en-GB"/>
                    </w:rPr>
                    <w:t>3 PRIEDAS</w:t>
                  </w:r>
                </w:p>
                <w:p>
                  <w:pPr>
                    <w:spacing w:line="360" w:lineRule="auto"/>
                    <w:rPr>
                      <w:rFonts w:eastAsia="Arial Unicode MS"/>
                      <w:b/>
                      <w:sz w:val="22"/>
                      <w:szCs w:val="22"/>
                      <w:lang w:val="en-US" w:eastAsia="en-GB"/>
                    </w:rPr>
                  </w:pPr>
                  <w:r>
                    <w:rPr>
                      <w:rFonts w:eastAsia="Arial Unicode MS"/>
                      <w:sz w:val="22"/>
                      <w:szCs w:val="22"/>
                      <w:lang w:eastAsia="en-GB"/>
                    </w:rPr>
                    <w:t>[Šablonas]</w:t>
                  </w:r>
                  <w:r>
                    <w:rPr>
                      <w:rFonts w:eastAsia="Arial Unicode MS"/>
                      <w:b/>
                      <w:sz w:val="22"/>
                      <w:szCs w:val="22"/>
                      <w:lang w:val="en-US" w:eastAsia="en-GB"/>
                    </w:rPr>
                    <w:t xml:space="preserve"> </w:t>
                  </w:r>
                </w:p>
              </w:sdtContent>
            </w:sdt>
            <w:sdt>
              <w:sdtPr>
                <w:alias w:val="poskyris"/>
                <w:tag w:val="part_18f6e2ed759b45b187c2c31aee36ed20"/>
                <w:lock w:val="sdtLocked"/>
                <w:richText/>
              </w:sdtPr>
              <w:sdtContent>
                <w:p>
                  <w:pPr>
                    <w:spacing w:line="360" w:lineRule="auto"/>
                    <w:jc w:val="center"/>
                    <w:rPr>
                      <w:rFonts w:eastAsia="Arial Unicode MS"/>
                      <w:b/>
                      <w:sz w:val="22"/>
                      <w:szCs w:val="22"/>
                      <w:lang w:val="en-US" w:eastAsia="en-GB"/>
                    </w:rPr>
                  </w:pPr>
                  <w:sdt>
                    <w:sdtPr>
                      <w:alias w:val="Pavadinimas"/>
                      <w:tag w:val="title_18f6e2ed759b45b187c2c31aee36ed20"/>
                      <w:lock w:val="sdtLocked"/>
                      <w:richText/>
                    </w:sdtPr>
                    <w:sdtContent>
                      <w:r>
                        <w:rPr>
                          <w:rFonts w:eastAsia="Arial Unicode MS"/>
                          <w:b/>
                          <w:sz w:val="22"/>
                          <w:szCs w:val="22"/>
                          <w:lang w:eastAsia="en-GB"/>
                        </w:rPr>
                        <w:t>Rašytinis įsakymas (WO)</w:t>
                      </w:r>
                    </w:sdtContent>
                  </w:sdt>
                </w:p>
                <w:p>
                  <w:pPr>
                    <w:spacing w:line="360" w:lineRule="auto"/>
                    <w:jc w:val="center"/>
                    <w:rPr>
                      <w:rFonts w:eastAsia="Arial Unicode MS"/>
                      <w:b/>
                      <w:sz w:val="22"/>
                      <w:szCs w:val="22"/>
                      <w:lang w:val="en-US" w:eastAsia="en-GB"/>
                    </w:rPr>
                  </w:pPr>
                  <w:r>
                    <w:rPr>
                      <w:rFonts w:eastAsia="Arial Unicode MS"/>
                      <w:sz w:val="22"/>
                      <w:szCs w:val="22"/>
                      <w:lang w:eastAsia="en-GB"/>
                    </w:rPr>
                    <w:t>pagal projekto susitarimą Nr. B.PRJ.CAP.1268 ir</w:t>
                  </w:r>
                </w:p>
                <w:p>
                  <w:pPr>
                    <w:spacing w:line="360" w:lineRule="auto"/>
                    <w:jc w:val="center"/>
                    <w:rPr>
                      <w:rFonts w:eastAsia="Arial Unicode MS"/>
                      <w:sz w:val="22"/>
                      <w:szCs w:val="22"/>
                      <w:lang w:val="en-US" w:eastAsia="en-GB"/>
                    </w:rPr>
                  </w:pPr>
                  <w:r>
                    <w:rPr>
                      <w:rFonts w:eastAsia="Arial Unicode MS"/>
                      <w:sz w:val="22"/>
                      <w:szCs w:val="22"/>
                      <w:lang w:eastAsia="en-GB"/>
                    </w:rPr>
                    <w:t>EGA ir ____ pasirašytas bendrasis susitarimas Nr. _____</w:t>
                  </w:r>
                  <w:r>
                    <w:rPr>
                      <w:rFonts w:eastAsia="Arial Unicode MS"/>
                      <w:sz w:val="22"/>
                      <w:szCs w:val="22"/>
                      <w:lang w:val="en-US" w:eastAsia="en-GB"/>
                    </w:rPr>
                    <w:t xml:space="preserve"> </w:t>
                  </w:r>
                  <w:r>
                    <w:rPr>
                      <w:rFonts w:eastAsia="Arial Unicode MS"/>
                      <w:sz w:val="22"/>
                      <w:szCs w:val="22"/>
                      <w:lang w:eastAsia="en-GB"/>
                    </w:rPr>
                    <w:t>[rangovo pavadinimas]</w:t>
                  </w:r>
                </w:p>
                <w:p>
                  <w:pPr>
                    <w:spacing w:line="360" w:lineRule="auto"/>
                    <w:jc w:val="center"/>
                    <w:rPr>
                      <w:rFonts w:eastAsia="Arial Unicode MS"/>
                      <w:b/>
                      <w:sz w:val="22"/>
                      <w:szCs w:val="22"/>
                      <w:lang w:val="en-US" w:eastAsia="en-GB"/>
                    </w:rPr>
                  </w:pPr>
                </w:p>
                <w:p>
                  <w:pPr>
                    <w:jc w:val="both"/>
                    <w:rPr>
                      <w:rFonts w:eastAsia="Arial Unicode MS"/>
                      <w:b/>
                      <w:sz w:val="22"/>
                      <w:szCs w:val="22"/>
                      <w:lang w:val="en-US" w:eastAsia="en-GB"/>
                    </w:rPr>
                  </w:pPr>
                </w:p>
                <w:p>
                  <w:pPr>
                    <w:jc w:val="both"/>
                    <w:rPr>
                      <w:rFonts w:eastAsia="Arial Unicode MS"/>
                      <w:sz w:val="22"/>
                      <w:szCs w:val="22"/>
                      <w:lang w:val="en-US" w:eastAsia="en-GB"/>
                    </w:rPr>
                  </w:pPr>
                  <w:r>
                    <w:rPr>
                      <w:rFonts w:eastAsia="Arial Unicode MS"/>
                      <w:b/>
                      <w:sz w:val="22"/>
                      <w:szCs w:val="22"/>
                      <w:lang w:eastAsia="en-GB"/>
                    </w:rPr>
                    <w:t>Tema:</w:t>
                  </w:r>
                  <w:r>
                    <w:rPr>
                      <w:rFonts w:eastAsia="Arial Unicode MS"/>
                      <w:sz w:val="22"/>
                      <w:szCs w:val="22"/>
                      <w:lang w:val="en-US" w:eastAsia="en-GB"/>
                    </w:rPr>
                    <w:t xml:space="preserve"> Ordering … pursuant to section 5 of the Project Arrangement N</w:t>
                  </w:r>
                  <w:r>
                    <w:rPr>
                      <w:rFonts w:eastAsia="Arial Unicode MS"/>
                      <w:sz w:val="22"/>
                      <w:szCs w:val="22"/>
                      <w:vertAlign w:val="superscript"/>
                      <w:lang w:val="en-US" w:eastAsia="en-GB"/>
                    </w:rPr>
                    <w:t>o</w:t>
                  </w:r>
                  <w:r>
                    <w:rPr>
                      <w:rFonts w:eastAsia="Arial Unicode MS"/>
                      <w:sz w:val="22"/>
                      <w:szCs w:val="22"/>
                      <w:lang w:val="en-US" w:eastAsia="en-GB"/>
                    </w:rPr>
                    <w:t xml:space="preserve"> B.PRJ.CAP.1268 </w:t>
                  </w:r>
                </w:p>
                <w:p>
                  <w:pPr>
                    <w:jc w:val="both"/>
                    <w:rPr>
                      <w:rFonts w:eastAsia="Arial Unicode MS"/>
                      <w:sz w:val="22"/>
                      <w:szCs w:val="22"/>
                      <w:lang w:val="en-US" w:eastAsia="en-GB"/>
                    </w:rPr>
                  </w:pPr>
                </w:p>
                <w:p>
                  <w:pPr>
                    <w:spacing w:line="360" w:lineRule="auto"/>
                    <w:jc w:val="both"/>
                    <w:rPr>
                      <w:rFonts w:eastAsia="Arial Unicode MS"/>
                      <w:sz w:val="22"/>
                      <w:szCs w:val="22"/>
                      <w:lang w:val="en-US" w:eastAsia="en-GB"/>
                    </w:rPr>
                  </w:pPr>
                  <w:r>
                    <w:rPr>
                      <w:rFonts w:eastAsia="Arial Unicode MS"/>
                      <w:sz w:val="22"/>
                      <w:szCs w:val="22"/>
                      <w:lang w:eastAsia="en-GB"/>
                    </w:rPr>
                    <w:t>Prašymą teikianti prisidedanti narė (cM):</w:t>
                  </w:r>
                  <w:r>
                    <w:rPr>
                      <w:rFonts w:eastAsia="Arial Unicode MS"/>
                      <w:sz w:val="22"/>
                      <w:szCs w:val="22"/>
                      <w:lang w:val="en-US" w:eastAsia="en-GB"/>
                    </w:rPr>
                    <w:t xml:space="preserve"> …………….. </w:t>
                  </w:r>
                  <w:r>
                    <w:rPr>
                      <w:rFonts w:eastAsia="Arial Unicode MS"/>
                      <w:sz w:val="22"/>
                      <w:szCs w:val="22"/>
                      <w:lang w:eastAsia="en-GB"/>
                    </w:rPr>
                    <w:t>(pavadinimas)</w:t>
                  </w:r>
                </w:p>
                <w:p>
                  <w:pPr>
                    <w:spacing w:line="360" w:lineRule="auto"/>
                    <w:jc w:val="both"/>
                    <w:rPr>
                      <w:rFonts w:eastAsia="Arial Unicode MS"/>
                      <w:sz w:val="22"/>
                      <w:szCs w:val="22"/>
                      <w:lang w:val="en-US" w:eastAsia="en-GB"/>
                    </w:rPr>
                  </w:pPr>
                  <w:r>
                    <w:rPr>
                      <w:rFonts w:eastAsia="Arial Unicode MS"/>
                      <w:b/>
                      <w:sz w:val="22"/>
                      <w:szCs w:val="22"/>
                      <w:lang w:eastAsia="en-GB"/>
                    </w:rPr>
                    <w:t>cM pagrindinė organizacija:</w:t>
                  </w:r>
                  <w:r>
                    <w:rPr>
                      <w:rFonts w:eastAsia="Arial Unicode MS"/>
                      <w:sz w:val="22"/>
                      <w:szCs w:val="22"/>
                      <w:lang w:val="en-US" w:eastAsia="en-GB"/>
                    </w:rPr>
                    <w:t xml:space="preserve"> ………………… </w:t>
                  </w:r>
                  <w:r>
                    <w:rPr>
                      <w:rFonts w:eastAsia="Arial Unicode MS"/>
                      <w:sz w:val="22"/>
                      <w:szCs w:val="22"/>
                      <w:lang w:eastAsia="en-GB"/>
                    </w:rPr>
                    <w:t>(pilnas pavadinimas, pvz., Gynybos ministerija, Sausumos pajėgos, Pirkimų departamentas)</w:t>
                  </w:r>
                </w:p>
                <w:p>
                  <w:pPr>
                    <w:spacing w:line="360" w:lineRule="auto"/>
                    <w:jc w:val="both"/>
                    <w:rPr>
                      <w:rFonts w:eastAsia="Arial Unicode MS"/>
                      <w:sz w:val="22"/>
                      <w:szCs w:val="22"/>
                      <w:u w:val="single"/>
                      <w:lang w:val="en-US" w:eastAsia="en-GB"/>
                    </w:rPr>
                  </w:pPr>
                  <w:r>
                    <w:rPr>
                      <w:rFonts w:eastAsia="Arial Unicode MS"/>
                      <w:b/>
                      <w:sz w:val="22"/>
                      <w:szCs w:val="22"/>
                      <w:lang w:eastAsia="en-GB"/>
                    </w:rPr>
                    <w:t>Kam:</w:t>
                  </w:r>
                  <w:r>
                    <w:rPr>
                      <w:rFonts w:eastAsia="Arial Unicode MS"/>
                      <w:sz w:val="22"/>
                      <w:szCs w:val="22"/>
                      <w:lang w:val="en-US" w:eastAsia="en-GB"/>
                    </w:rPr>
                    <w:t xml:space="preserve"> </w:t>
                  </w:r>
                  <w:r>
                    <w:rPr>
                      <w:rFonts w:eastAsia="Arial Unicode MS"/>
                      <w:sz w:val="22"/>
                      <w:szCs w:val="22"/>
                      <w:lang w:eastAsia="en-GB"/>
                    </w:rPr>
                    <w:t>Europos gynybos agentūra (EGA)</w:t>
                  </w:r>
                </w:p>
                <w:p>
                  <w:pPr>
                    <w:jc w:val="both"/>
                    <w:rPr>
                      <w:rFonts w:eastAsia="Arial Unicode MS"/>
                      <w:b/>
                      <w:sz w:val="22"/>
                      <w:szCs w:val="22"/>
                      <w:u w:val="single"/>
                      <w:lang w:val="en-US" w:eastAsia="en-GB"/>
                    </w:rPr>
                  </w:pPr>
                </w:p>
                <w:p>
                  <w:pPr>
                    <w:jc w:val="both"/>
                    <w:rPr>
                      <w:rFonts w:eastAsia="Arial Unicode MS"/>
                      <w:sz w:val="22"/>
                      <w:szCs w:val="22"/>
                      <w:lang w:val="en-US" w:eastAsia="en-GB"/>
                    </w:rPr>
                  </w:pPr>
                  <w:r>
                    <w:rPr>
                      <w:rFonts w:eastAsia="Arial Unicode MS"/>
                      <w:b/>
                      <w:sz w:val="22"/>
                      <w:szCs w:val="22"/>
                      <w:lang w:val="en-US" w:eastAsia="en-GB"/>
                    </w:rPr>
                    <w:t xml:space="preserve">The following quantity of … must be ordered under this WO: </w:t>
                  </w:r>
                  <w:r>
                    <w:rPr>
                      <w:rFonts w:eastAsia="Arial Unicode MS"/>
                      <w:sz w:val="22"/>
                      <w:szCs w:val="22"/>
                      <w:lang w:val="en-US" w:eastAsia="en-GB"/>
                    </w:rPr>
                    <w:t>…[</w:t>
                  </w:r>
                  <w:r>
                    <w:rPr>
                      <w:rFonts w:eastAsia="Arial Unicode MS"/>
                      <w:b/>
                      <w:sz w:val="22"/>
                      <w:szCs w:val="22"/>
                      <w:lang w:val="en-US" w:eastAsia="en-GB"/>
                    </w:rPr>
                    <w:t>AA]</w:t>
                  </w:r>
                  <w:r>
                    <w:rPr>
                      <w:rFonts w:eastAsia="Arial Unicode MS"/>
                      <w:sz w:val="22"/>
                      <w:szCs w:val="22"/>
                      <w:lang w:val="en-US" w:eastAsia="en-GB"/>
                    </w:rPr>
                    <w:t xml:space="preserve">….. </w:t>
                  </w:r>
                  <w:r>
                    <w:rPr>
                      <w:rFonts w:eastAsia="Arial Unicode MS"/>
                      <w:sz w:val="22"/>
                      <w:szCs w:val="22"/>
                      <w:lang w:eastAsia="en-GB"/>
                    </w:rPr>
                    <w:t>[Iš viso], kaip parodyta toliau:</w:t>
                  </w:r>
                </w:p>
                <w:p>
                  <w:pPr>
                    <w:rPr>
                      <w:rFonts w:eastAsia="Arial Unicode MS"/>
                      <w:b/>
                      <w:sz w:val="22"/>
                      <w:szCs w:val="22"/>
                      <w:lang w:val="en-US"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sz w:val="22"/>
                            <w:szCs w:val="22"/>
                            <w:lang w:val="en-US" w:eastAsia="en-GB"/>
                          </w:rPr>
                        </w:pPr>
                        <w:r>
                          <w:rPr>
                            <w:rFonts w:eastAsia="Arial Unicode MS"/>
                            <w:b/>
                            <w:sz w:val="22"/>
                            <w:szCs w:val="22"/>
                            <w:lang w:eastAsia="en-GB"/>
                          </w:rPr>
                          <w:t>ChBRB dujokaukė</w:t>
                        </w:r>
                        <w:r>
                          <w:rPr>
                            <w:rFonts w:eastAsia="Arial Unicode MS"/>
                            <w:b/>
                            <w:sz w:val="22"/>
                            <w:szCs w:val="22"/>
                            <w:lang w:val="en-US" w:eastAsia="en-GB"/>
                          </w:rPr>
                          <w:t xml:space="preserve"> </w:t>
                        </w:r>
                      </w:p>
                    </w:tc>
                  </w:tr>
                  <w:tr>
                    <w:tc>
                      <w:tcPr>
                        <w:tcW w:w="4150" w:type="dxa"/>
                        <w:gridSpan w:val="3"/>
                      </w:tcPr>
                      <w:p>
                        <w:pPr>
                          <w:jc w:val="center"/>
                          <w:rPr>
                            <w:rFonts w:eastAsia="Arial Unicode MS"/>
                            <w:b/>
                            <w:sz w:val="22"/>
                            <w:szCs w:val="22"/>
                            <w:lang w:val="en-US" w:eastAsia="en-GB"/>
                          </w:rPr>
                        </w:pPr>
                        <w:r>
                          <w:rPr>
                            <w:rFonts w:eastAsia="Arial Unicode MS"/>
                            <w:b/>
                            <w:sz w:val="22"/>
                            <w:szCs w:val="22"/>
                            <w:lang w:eastAsia="en-GB"/>
                          </w:rPr>
                          <w:t>Pavadinamas</w:t>
                        </w:r>
                      </w:p>
                    </w:tc>
                    <w:tc>
                      <w:tcPr>
                        <w:tcW w:w="2737" w:type="dxa"/>
                      </w:tcPr>
                      <w:p>
                        <w:pPr>
                          <w:jc w:val="center"/>
                          <w:rPr>
                            <w:rFonts w:eastAsia="Arial Unicode MS"/>
                            <w:b/>
                            <w:sz w:val="22"/>
                            <w:szCs w:val="22"/>
                            <w:lang w:val="en-US" w:eastAsia="en-GB"/>
                          </w:rPr>
                        </w:pPr>
                        <w:r>
                          <w:rPr>
                            <w:rFonts w:eastAsia="Arial Unicode MS"/>
                            <w:b/>
                            <w:sz w:val="22"/>
                            <w:szCs w:val="22"/>
                            <w:lang w:eastAsia="en-GB"/>
                          </w:rPr>
                          <w:t>Tipas</w:t>
                        </w:r>
                      </w:p>
                    </w:tc>
                    <w:tc>
                      <w:tcPr>
                        <w:tcW w:w="2291" w:type="dxa"/>
                      </w:tcPr>
                      <w:p>
                        <w:pPr>
                          <w:rPr>
                            <w:rFonts w:eastAsia="Arial Unicode MS"/>
                            <w:b/>
                            <w:sz w:val="22"/>
                            <w:szCs w:val="22"/>
                            <w:lang w:val="en-US" w:eastAsia="en-GB"/>
                          </w:rPr>
                        </w:pPr>
                        <w:r>
                          <w:rPr>
                            <w:rFonts w:eastAsia="Arial Unicode MS"/>
                            <w:b/>
                            <w:sz w:val="22"/>
                            <w:szCs w:val="22"/>
                            <w:lang w:eastAsia="en-GB"/>
                          </w:rPr>
                          <w:t>NATO atsargų numeris (NSN)</w:t>
                        </w:r>
                      </w:p>
                    </w:tc>
                    <w:tc>
                      <w:tcPr>
                        <w:tcW w:w="1276" w:type="dxa"/>
                      </w:tcPr>
                      <w:p>
                        <w:pPr>
                          <w:rPr>
                            <w:rFonts w:eastAsia="Arial Unicode MS"/>
                            <w:b/>
                            <w:sz w:val="22"/>
                            <w:szCs w:val="22"/>
                            <w:lang w:val="en-US" w:eastAsia="en-GB"/>
                          </w:rPr>
                        </w:pPr>
                        <w:r>
                          <w:rPr>
                            <w:rFonts w:eastAsia="Arial Unicode MS"/>
                            <w:b/>
                            <w:sz w:val="22"/>
                            <w:szCs w:val="22"/>
                            <w:lang w:eastAsia="en-GB"/>
                          </w:rPr>
                          <w:t>Kiekis</w:t>
                        </w:r>
                      </w:p>
                      <w:p>
                        <w:pPr>
                          <w:rPr>
                            <w:rFonts w:eastAsia="Arial Unicode MS"/>
                            <w:sz w:val="22"/>
                            <w:szCs w:val="22"/>
                            <w:lang w:val="en-US" w:eastAsia="en-GB"/>
                          </w:rPr>
                        </w:pPr>
                      </w:p>
                    </w:tc>
                  </w:tr>
                  <w:tr>
                    <w:tc>
                      <w:tcPr>
                        <w:tcW w:w="1624" w:type="dxa"/>
                      </w:tcPr>
                      <w:p>
                        <w:pPr>
                          <w:rPr>
                            <w:rFonts w:eastAsia="Arial Unicode MS"/>
                            <w:sz w:val="22"/>
                            <w:szCs w:val="22"/>
                            <w:lang w:val="en-US" w:eastAsia="en-GB"/>
                          </w:rPr>
                        </w:pPr>
                      </w:p>
                    </w:tc>
                    <w:tc>
                      <w:tcPr>
                        <w:tcW w:w="1298" w:type="dxa"/>
                      </w:tcPr>
                      <w:p>
                        <w:pPr>
                          <w:rPr>
                            <w:rFonts w:eastAsia="Arial Unicode MS"/>
                            <w:sz w:val="22"/>
                            <w:szCs w:val="22"/>
                            <w:lang w:val="en-US" w:eastAsia="en-GB"/>
                          </w:rPr>
                        </w:pPr>
                      </w:p>
                    </w:tc>
                    <w:tc>
                      <w:tcPr>
                        <w:tcW w:w="1228" w:type="dxa"/>
                      </w:tcPr>
                      <w:p>
                        <w:pPr>
                          <w:rPr>
                            <w:rFonts w:eastAsia="Arial Unicode MS"/>
                            <w:sz w:val="22"/>
                            <w:szCs w:val="22"/>
                            <w:lang w:val="en-US" w:eastAsia="en-GB"/>
                          </w:rPr>
                        </w:pPr>
                      </w:p>
                    </w:tc>
                    <w:tc>
                      <w:tcPr>
                        <w:tcW w:w="2737" w:type="dxa"/>
                      </w:tcPr>
                      <w:p>
                        <w:pPr>
                          <w:rPr>
                            <w:rFonts w:eastAsia="Arial Unicode MS"/>
                            <w:sz w:val="22"/>
                            <w:szCs w:val="22"/>
                            <w:lang w:val="en-US" w:eastAsia="en-GB"/>
                          </w:rPr>
                        </w:pPr>
                      </w:p>
                    </w:tc>
                    <w:tc>
                      <w:tcPr>
                        <w:tcW w:w="2291" w:type="dxa"/>
                      </w:tcPr>
                      <w:p>
                        <w:pPr>
                          <w:rPr>
                            <w:rFonts w:eastAsia="Arial Unicode MS"/>
                            <w:sz w:val="22"/>
                            <w:szCs w:val="22"/>
                            <w:lang w:val="en-US" w:eastAsia="en-GB"/>
                          </w:rPr>
                        </w:pPr>
                      </w:p>
                    </w:tc>
                    <w:tc>
                      <w:tcPr>
                        <w:tcW w:w="1276" w:type="dxa"/>
                      </w:tcPr>
                      <w:p>
                        <w:pPr>
                          <w:rPr>
                            <w:rFonts w:eastAsia="Arial Unicode MS"/>
                            <w:sz w:val="22"/>
                            <w:szCs w:val="22"/>
                            <w:lang w:val="en-US" w:eastAsia="en-GB"/>
                          </w:rPr>
                        </w:pPr>
                      </w:p>
                    </w:tc>
                  </w:tr>
                  <w:tr>
                    <w:trPr>
                      <w:trHeight w:val="70"/>
                    </w:trPr>
                    <w:tc>
                      <w:tcPr>
                        <w:tcW w:w="9178" w:type="dxa"/>
                        <w:gridSpan w:val="5"/>
                      </w:tcPr>
                      <w:p>
                        <w:pPr>
                          <w:jc w:val="right"/>
                          <w:rPr>
                            <w:rFonts w:eastAsia="Arial Unicode MS"/>
                            <w:b/>
                            <w:sz w:val="22"/>
                            <w:szCs w:val="22"/>
                            <w:lang w:val="en-US" w:eastAsia="en-GB"/>
                          </w:rPr>
                        </w:pPr>
                        <w:r>
                          <w:rPr>
                            <w:rFonts w:eastAsia="Arial Unicode MS"/>
                            <w:b/>
                            <w:sz w:val="22"/>
                            <w:szCs w:val="22"/>
                            <w:lang w:eastAsia="en-GB"/>
                          </w:rPr>
                          <w:t>Iš viso</w:t>
                        </w:r>
                      </w:p>
                    </w:tc>
                    <w:tc>
                      <w:tcPr>
                        <w:tcW w:w="1276" w:type="dxa"/>
                      </w:tcPr>
                      <w:p>
                        <w:pPr>
                          <w:rPr>
                            <w:rFonts w:eastAsia="Arial Unicode MS"/>
                            <w:b/>
                            <w:sz w:val="22"/>
                            <w:szCs w:val="22"/>
                            <w:lang w:val="en-US" w:eastAsia="en-GB"/>
                          </w:rPr>
                        </w:pPr>
                        <w:r>
                          <w:rPr>
                            <w:rFonts w:eastAsia="Arial Unicode MS"/>
                            <w:b/>
                            <w:sz w:val="22"/>
                            <w:szCs w:val="22"/>
                            <w:lang w:val="en-US" w:eastAsia="en-GB"/>
                          </w:rPr>
                          <w:t>[AA]</w:t>
                        </w:r>
                      </w:p>
                    </w:tc>
                  </w:tr>
                </w:tbl>
                <w:p>
                  <w:pPr>
                    <w:rPr>
                      <w:rFonts w:eastAsia="Arial Unicode MS"/>
                      <w:b/>
                      <w:sz w:val="22"/>
                      <w:szCs w:val="22"/>
                      <w:lang w:val="en-US"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sz w:val="22"/>
                            <w:szCs w:val="22"/>
                            <w:lang w:val="en-US" w:eastAsia="en-GB"/>
                          </w:rPr>
                        </w:pPr>
                        <w:r>
                          <w:rPr>
                            <w:rFonts w:eastAsia="Arial Unicode MS"/>
                            <w:b/>
                            <w:sz w:val="22"/>
                            <w:szCs w:val="22"/>
                            <w:lang w:eastAsia="en-GB"/>
                          </w:rPr>
                          <w:t>ChBRB filtras</w:t>
                        </w:r>
                        <w:r>
                          <w:rPr>
                            <w:rFonts w:eastAsia="Arial Unicode MS"/>
                            <w:b/>
                            <w:sz w:val="22"/>
                            <w:szCs w:val="22"/>
                            <w:lang w:val="en-US" w:eastAsia="en-GB"/>
                          </w:rPr>
                          <w:t xml:space="preserve"> </w:t>
                        </w:r>
                      </w:p>
                    </w:tc>
                  </w:tr>
                  <w:tr>
                    <w:tc>
                      <w:tcPr>
                        <w:tcW w:w="4150" w:type="dxa"/>
                        <w:gridSpan w:val="3"/>
                      </w:tcPr>
                      <w:p>
                        <w:pPr>
                          <w:jc w:val="center"/>
                          <w:rPr>
                            <w:rFonts w:eastAsia="Arial Unicode MS"/>
                            <w:b/>
                            <w:sz w:val="22"/>
                            <w:szCs w:val="22"/>
                            <w:lang w:val="en-US" w:eastAsia="en-GB"/>
                          </w:rPr>
                        </w:pPr>
                        <w:r>
                          <w:rPr>
                            <w:rFonts w:eastAsia="Arial Unicode MS"/>
                            <w:b/>
                            <w:sz w:val="22"/>
                            <w:szCs w:val="22"/>
                            <w:lang w:eastAsia="en-GB"/>
                          </w:rPr>
                          <w:t>Pavadinamas</w:t>
                        </w:r>
                      </w:p>
                    </w:tc>
                    <w:tc>
                      <w:tcPr>
                        <w:tcW w:w="2737" w:type="dxa"/>
                      </w:tcPr>
                      <w:p>
                        <w:pPr>
                          <w:jc w:val="center"/>
                          <w:rPr>
                            <w:rFonts w:eastAsia="Arial Unicode MS"/>
                            <w:b/>
                            <w:sz w:val="22"/>
                            <w:szCs w:val="22"/>
                            <w:lang w:val="en-US" w:eastAsia="en-GB"/>
                          </w:rPr>
                        </w:pPr>
                        <w:r>
                          <w:rPr>
                            <w:rFonts w:eastAsia="Arial Unicode MS"/>
                            <w:b/>
                            <w:sz w:val="22"/>
                            <w:szCs w:val="22"/>
                            <w:lang w:eastAsia="en-GB"/>
                          </w:rPr>
                          <w:t>Tipas</w:t>
                        </w:r>
                      </w:p>
                    </w:tc>
                    <w:tc>
                      <w:tcPr>
                        <w:tcW w:w="2291" w:type="dxa"/>
                      </w:tcPr>
                      <w:p>
                        <w:pPr>
                          <w:rPr>
                            <w:rFonts w:eastAsia="Arial Unicode MS"/>
                            <w:b/>
                            <w:sz w:val="22"/>
                            <w:szCs w:val="22"/>
                            <w:lang w:val="en-US" w:eastAsia="en-GB"/>
                          </w:rPr>
                        </w:pPr>
                        <w:r>
                          <w:rPr>
                            <w:rFonts w:eastAsia="Arial Unicode MS"/>
                            <w:b/>
                            <w:sz w:val="22"/>
                            <w:szCs w:val="22"/>
                            <w:lang w:eastAsia="en-GB"/>
                          </w:rPr>
                          <w:t>NATO atsargų numeris (NSN)</w:t>
                        </w:r>
                      </w:p>
                    </w:tc>
                    <w:tc>
                      <w:tcPr>
                        <w:tcW w:w="1276" w:type="dxa"/>
                      </w:tcPr>
                      <w:p>
                        <w:pPr>
                          <w:rPr>
                            <w:rFonts w:eastAsia="Arial Unicode MS"/>
                            <w:b/>
                            <w:sz w:val="22"/>
                            <w:szCs w:val="22"/>
                            <w:lang w:val="en-US" w:eastAsia="en-GB"/>
                          </w:rPr>
                        </w:pPr>
                        <w:r>
                          <w:rPr>
                            <w:rFonts w:eastAsia="Arial Unicode MS"/>
                            <w:b/>
                            <w:sz w:val="22"/>
                            <w:szCs w:val="22"/>
                            <w:lang w:eastAsia="en-GB"/>
                          </w:rPr>
                          <w:t>Kiekis</w:t>
                        </w:r>
                      </w:p>
                      <w:p>
                        <w:pPr>
                          <w:rPr>
                            <w:rFonts w:eastAsia="Arial Unicode MS"/>
                            <w:sz w:val="22"/>
                            <w:szCs w:val="22"/>
                            <w:lang w:val="en-US" w:eastAsia="en-GB"/>
                          </w:rPr>
                        </w:pPr>
                      </w:p>
                    </w:tc>
                  </w:tr>
                  <w:tr>
                    <w:tc>
                      <w:tcPr>
                        <w:tcW w:w="1624" w:type="dxa"/>
                      </w:tcPr>
                      <w:p>
                        <w:pPr>
                          <w:rPr>
                            <w:rFonts w:eastAsia="Arial Unicode MS"/>
                            <w:sz w:val="22"/>
                            <w:szCs w:val="22"/>
                            <w:lang w:val="en-US" w:eastAsia="en-GB"/>
                          </w:rPr>
                        </w:pPr>
                      </w:p>
                    </w:tc>
                    <w:tc>
                      <w:tcPr>
                        <w:tcW w:w="1298" w:type="dxa"/>
                      </w:tcPr>
                      <w:p>
                        <w:pPr>
                          <w:rPr>
                            <w:rFonts w:eastAsia="Arial Unicode MS"/>
                            <w:sz w:val="22"/>
                            <w:szCs w:val="22"/>
                            <w:lang w:val="en-US" w:eastAsia="en-GB"/>
                          </w:rPr>
                        </w:pPr>
                      </w:p>
                    </w:tc>
                    <w:tc>
                      <w:tcPr>
                        <w:tcW w:w="1228" w:type="dxa"/>
                      </w:tcPr>
                      <w:p>
                        <w:pPr>
                          <w:rPr>
                            <w:rFonts w:eastAsia="Arial Unicode MS"/>
                            <w:sz w:val="22"/>
                            <w:szCs w:val="22"/>
                            <w:lang w:val="en-US" w:eastAsia="en-GB"/>
                          </w:rPr>
                        </w:pPr>
                      </w:p>
                    </w:tc>
                    <w:tc>
                      <w:tcPr>
                        <w:tcW w:w="2737" w:type="dxa"/>
                      </w:tcPr>
                      <w:p>
                        <w:pPr>
                          <w:rPr>
                            <w:rFonts w:eastAsia="Arial Unicode MS"/>
                            <w:sz w:val="22"/>
                            <w:szCs w:val="22"/>
                            <w:lang w:val="en-US" w:eastAsia="en-GB"/>
                          </w:rPr>
                        </w:pPr>
                      </w:p>
                    </w:tc>
                    <w:tc>
                      <w:tcPr>
                        <w:tcW w:w="2291" w:type="dxa"/>
                      </w:tcPr>
                      <w:p>
                        <w:pPr>
                          <w:rPr>
                            <w:rFonts w:eastAsia="Arial Unicode MS"/>
                            <w:sz w:val="22"/>
                            <w:szCs w:val="22"/>
                            <w:lang w:val="en-US" w:eastAsia="en-GB"/>
                          </w:rPr>
                        </w:pPr>
                      </w:p>
                    </w:tc>
                    <w:tc>
                      <w:tcPr>
                        <w:tcW w:w="1276" w:type="dxa"/>
                      </w:tcPr>
                      <w:p>
                        <w:pPr>
                          <w:rPr>
                            <w:rFonts w:eastAsia="Arial Unicode MS"/>
                            <w:sz w:val="22"/>
                            <w:szCs w:val="22"/>
                            <w:lang w:val="en-US" w:eastAsia="en-GB"/>
                          </w:rPr>
                        </w:pPr>
                      </w:p>
                    </w:tc>
                  </w:tr>
                  <w:tr>
                    <w:trPr>
                      <w:trHeight w:val="70"/>
                    </w:trPr>
                    <w:tc>
                      <w:tcPr>
                        <w:tcW w:w="9178" w:type="dxa"/>
                        <w:gridSpan w:val="5"/>
                      </w:tcPr>
                      <w:p>
                        <w:pPr>
                          <w:jc w:val="right"/>
                          <w:rPr>
                            <w:rFonts w:eastAsia="Arial Unicode MS"/>
                            <w:b/>
                            <w:sz w:val="22"/>
                            <w:szCs w:val="22"/>
                            <w:lang w:val="en-US" w:eastAsia="en-GB"/>
                          </w:rPr>
                        </w:pPr>
                        <w:r>
                          <w:rPr>
                            <w:rFonts w:eastAsia="Arial Unicode MS"/>
                            <w:b/>
                            <w:sz w:val="22"/>
                            <w:szCs w:val="22"/>
                            <w:lang w:eastAsia="en-GB"/>
                          </w:rPr>
                          <w:t>Iš viso</w:t>
                        </w:r>
                      </w:p>
                    </w:tc>
                    <w:tc>
                      <w:tcPr>
                        <w:tcW w:w="1276" w:type="dxa"/>
                      </w:tcPr>
                      <w:p>
                        <w:pPr>
                          <w:rPr>
                            <w:rFonts w:eastAsia="Arial Unicode MS"/>
                            <w:b/>
                            <w:sz w:val="22"/>
                            <w:szCs w:val="22"/>
                            <w:lang w:val="en-US" w:eastAsia="en-GB"/>
                          </w:rPr>
                        </w:pPr>
                        <w:r>
                          <w:rPr>
                            <w:rFonts w:eastAsia="Arial Unicode MS"/>
                            <w:b/>
                            <w:sz w:val="22"/>
                            <w:szCs w:val="22"/>
                            <w:lang w:val="en-US" w:eastAsia="en-GB"/>
                          </w:rPr>
                          <w:t>[AA]</w:t>
                        </w:r>
                      </w:p>
                    </w:tc>
                  </w:tr>
                </w:tbl>
                <w:p>
                  <w:pPr>
                    <w:rPr>
                      <w:rFonts w:eastAsia="Arial Unicode MS"/>
                      <w:b/>
                      <w:sz w:val="22"/>
                      <w:szCs w:val="22"/>
                      <w:u w:val="single"/>
                      <w:lang w:val="en-US"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4"/>
                    <w:gridCol w:w="1298"/>
                    <w:gridCol w:w="1228"/>
                    <w:gridCol w:w="2737"/>
                    <w:gridCol w:w="2291"/>
                    <w:gridCol w:w="1276"/>
                  </w:tblGrid>
                  <w:tr>
                    <w:tc>
                      <w:tcPr>
                        <w:tcW w:w="10454" w:type="dxa"/>
                        <w:gridSpan w:val="6"/>
                      </w:tcPr>
                      <w:p>
                        <w:pPr>
                          <w:rPr>
                            <w:rFonts w:eastAsia="Arial Unicode MS"/>
                            <w:b/>
                            <w:sz w:val="22"/>
                            <w:szCs w:val="22"/>
                            <w:lang w:val="en-US" w:eastAsia="en-GB"/>
                          </w:rPr>
                        </w:pPr>
                        <w:r>
                          <w:rPr>
                            <w:rFonts w:eastAsia="Arial Unicode MS"/>
                            <w:b/>
                            <w:sz w:val="22"/>
                            <w:szCs w:val="22"/>
                            <w:lang w:eastAsia="en-GB"/>
                          </w:rPr>
                          <w:t>ChBRB individualios apsaugos įranga</w:t>
                        </w:r>
                        <w:r>
                          <w:rPr>
                            <w:rFonts w:eastAsia="Arial Unicode MS"/>
                            <w:b/>
                            <w:sz w:val="22"/>
                            <w:szCs w:val="22"/>
                            <w:lang w:val="en-US" w:eastAsia="en-GB"/>
                          </w:rPr>
                          <w:t xml:space="preserve"> </w:t>
                        </w:r>
                      </w:p>
                    </w:tc>
                  </w:tr>
                  <w:tr>
                    <w:tc>
                      <w:tcPr>
                        <w:tcW w:w="4150" w:type="dxa"/>
                        <w:gridSpan w:val="3"/>
                      </w:tcPr>
                      <w:p>
                        <w:pPr>
                          <w:jc w:val="center"/>
                          <w:rPr>
                            <w:rFonts w:eastAsia="Arial Unicode MS"/>
                            <w:b/>
                            <w:sz w:val="22"/>
                            <w:szCs w:val="22"/>
                            <w:lang w:val="en-US" w:eastAsia="en-GB"/>
                          </w:rPr>
                        </w:pPr>
                        <w:r>
                          <w:rPr>
                            <w:rFonts w:eastAsia="Arial Unicode MS"/>
                            <w:b/>
                            <w:sz w:val="22"/>
                            <w:szCs w:val="22"/>
                            <w:lang w:eastAsia="en-GB"/>
                          </w:rPr>
                          <w:t>Pavadinamas</w:t>
                        </w:r>
                      </w:p>
                    </w:tc>
                    <w:tc>
                      <w:tcPr>
                        <w:tcW w:w="2737" w:type="dxa"/>
                      </w:tcPr>
                      <w:p>
                        <w:pPr>
                          <w:jc w:val="center"/>
                          <w:rPr>
                            <w:rFonts w:eastAsia="Arial Unicode MS"/>
                            <w:b/>
                            <w:sz w:val="22"/>
                            <w:szCs w:val="22"/>
                            <w:lang w:val="en-US" w:eastAsia="en-GB"/>
                          </w:rPr>
                        </w:pPr>
                        <w:r>
                          <w:rPr>
                            <w:rFonts w:eastAsia="Arial Unicode MS"/>
                            <w:b/>
                            <w:sz w:val="22"/>
                            <w:szCs w:val="22"/>
                            <w:lang w:eastAsia="en-GB"/>
                          </w:rPr>
                          <w:t>Tipas</w:t>
                        </w:r>
                      </w:p>
                    </w:tc>
                    <w:tc>
                      <w:tcPr>
                        <w:tcW w:w="2291" w:type="dxa"/>
                      </w:tcPr>
                      <w:p>
                        <w:pPr>
                          <w:rPr>
                            <w:rFonts w:eastAsia="Arial Unicode MS"/>
                            <w:b/>
                            <w:sz w:val="22"/>
                            <w:szCs w:val="22"/>
                            <w:lang w:val="en-US" w:eastAsia="en-GB"/>
                          </w:rPr>
                        </w:pPr>
                        <w:r>
                          <w:rPr>
                            <w:rFonts w:eastAsia="Arial Unicode MS"/>
                            <w:b/>
                            <w:sz w:val="22"/>
                            <w:szCs w:val="22"/>
                            <w:lang w:eastAsia="en-GB"/>
                          </w:rPr>
                          <w:t>NATO atsargų numeris (NSN)</w:t>
                        </w:r>
                      </w:p>
                    </w:tc>
                    <w:tc>
                      <w:tcPr>
                        <w:tcW w:w="1276" w:type="dxa"/>
                      </w:tcPr>
                      <w:p>
                        <w:pPr>
                          <w:rPr>
                            <w:rFonts w:eastAsia="Arial Unicode MS"/>
                            <w:b/>
                            <w:sz w:val="22"/>
                            <w:szCs w:val="22"/>
                            <w:lang w:val="en-US" w:eastAsia="en-GB"/>
                          </w:rPr>
                        </w:pPr>
                        <w:r>
                          <w:rPr>
                            <w:rFonts w:eastAsia="Arial Unicode MS"/>
                            <w:b/>
                            <w:sz w:val="22"/>
                            <w:szCs w:val="22"/>
                            <w:lang w:eastAsia="en-GB"/>
                          </w:rPr>
                          <w:t>Kiekis</w:t>
                        </w:r>
                      </w:p>
                      <w:p>
                        <w:pPr>
                          <w:rPr>
                            <w:rFonts w:eastAsia="Arial Unicode MS"/>
                            <w:sz w:val="22"/>
                            <w:szCs w:val="22"/>
                            <w:lang w:val="en-US" w:eastAsia="en-GB"/>
                          </w:rPr>
                        </w:pPr>
                      </w:p>
                    </w:tc>
                  </w:tr>
                  <w:tr>
                    <w:tc>
                      <w:tcPr>
                        <w:tcW w:w="1624" w:type="dxa"/>
                      </w:tcPr>
                      <w:p>
                        <w:pPr>
                          <w:rPr>
                            <w:rFonts w:eastAsia="Arial Unicode MS"/>
                            <w:sz w:val="22"/>
                            <w:szCs w:val="22"/>
                            <w:lang w:val="en-US" w:eastAsia="en-GB"/>
                          </w:rPr>
                        </w:pPr>
                      </w:p>
                    </w:tc>
                    <w:tc>
                      <w:tcPr>
                        <w:tcW w:w="1298" w:type="dxa"/>
                      </w:tcPr>
                      <w:p>
                        <w:pPr>
                          <w:rPr>
                            <w:rFonts w:eastAsia="Arial Unicode MS"/>
                            <w:sz w:val="22"/>
                            <w:szCs w:val="22"/>
                            <w:lang w:val="en-US" w:eastAsia="en-GB"/>
                          </w:rPr>
                        </w:pPr>
                      </w:p>
                    </w:tc>
                    <w:tc>
                      <w:tcPr>
                        <w:tcW w:w="1228" w:type="dxa"/>
                      </w:tcPr>
                      <w:p>
                        <w:pPr>
                          <w:rPr>
                            <w:rFonts w:eastAsia="Arial Unicode MS"/>
                            <w:sz w:val="22"/>
                            <w:szCs w:val="22"/>
                            <w:lang w:val="en-US" w:eastAsia="en-GB"/>
                          </w:rPr>
                        </w:pPr>
                      </w:p>
                    </w:tc>
                    <w:tc>
                      <w:tcPr>
                        <w:tcW w:w="2737" w:type="dxa"/>
                      </w:tcPr>
                      <w:p>
                        <w:pPr>
                          <w:rPr>
                            <w:rFonts w:eastAsia="Arial Unicode MS"/>
                            <w:sz w:val="22"/>
                            <w:szCs w:val="22"/>
                            <w:lang w:val="en-US" w:eastAsia="en-GB"/>
                          </w:rPr>
                        </w:pPr>
                      </w:p>
                    </w:tc>
                    <w:tc>
                      <w:tcPr>
                        <w:tcW w:w="2291" w:type="dxa"/>
                      </w:tcPr>
                      <w:p>
                        <w:pPr>
                          <w:rPr>
                            <w:rFonts w:eastAsia="Arial Unicode MS"/>
                            <w:sz w:val="22"/>
                            <w:szCs w:val="22"/>
                            <w:lang w:val="en-US" w:eastAsia="en-GB"/>
                          </w:rPr>
                        </w:pPr>
                      </w:p>
                    </w:tc>
                    <w:tc>
                      <w:tcPr>
                        <w:tcW w:w="1276" w:type="dxa"/>
                      </w:tcPr>
                      <w:p>
                        <w:pPr>
                          <w:rPr>
                            <w:rFonts w:eastAsia="Arial Unicode MS"/>
                            <w:sz w:val="22"/>
                            <w:szCs w:val="22"/>
                            <w:lang w:val="en-US" w:eastAsia="en-GB"/>
                          </w:rPr>
                        </w:pPr>
                      </w:p>
                    </w:tc>
                  </w:tr>
                  <w:tr>
                    <w:trPr>
                      <w:trHeight w:val="70"/>
                    </w:trPr>
                    <w:tc>
                      <w:tcPr>
                        <w:tcW w:w="9178" w:type="dxa"/>
                        <w:gridSpan w:val="5"/>
                      </w:tcPr>
                      <w:p>
                        <w:pPr>
                          <w:jc w:val="right"/>
                          <w:rPr>
                            <w:rFonts w:eastAsia="Arial Unicode MS"/>
                            <w:b/>
                            <w:sz w:val="22"/>
                            <w:szCs w:val="22"/>
                            <w:lang w:val="en-US" w:eastAsia="en-GB"/>
                          </w:rPr>
                        </w:pPr>
                        <w:r>
                          <w:rPr>
                            <w:rFonts w:eastAsia="Arial Unicode MS"/>
                            <w:b/>
                            <w:sz w:val="22"/>
                            <w:szCs w:val="22"/>
                            <w:lang w:eastAsia="en-GB"/>
                          </w:rPr>
                          <w:t>Iš viso</w:t>
                        </w:r>
                      </w:p>
                    </w:tc>
                    <w:tc>
                      <w:tcPr>
                        <w:tcW w:w="1276" w:type="dxa"/>
                      </w:tcPr>
                      <w:p>
                        <w:pPr>
                          <w:rPr>
                            <w:rFonts w:eastAsia="Arial Unicode MS"/>
                            <w:b/>
                            <w:sz w:val="22"/>
                            <w:szCs w:val="22"/>
                            <w:lang w:val="en-US" w:eastAsia="en-GB"/>
                          </w:rPr>
                        </w:pPr>
                        <w:r>
                          <w:rPr>
                            <w:rFonts w:eastAsia="Arial Unicode MS"/>
                            <w:b/>
                            <w:sz w:val="22"/>
                            <w:szCs w:val="22"/>
                            <w:lang w:val="en-US" w:eastAsia="en-GB"/>
                          </w:rPr>
                          <w:t>[AA]</w:t>
                        </w:r>
                      </w:p>
                    </w:tc>
                  </w:tr>
                </w:tbl>
                <w:p>
                  <w:pPr>
                    <w:rPr>
                      <w:rFonts w:eastAsia="Arial Unicode MS"/>
                      <w:b/>
                      <w:sz w:val="22"/>
                      <w:szCs w:val="22"/>
                      <w:u w:val="single"/>
                      <w:lang w:val="en-US" w:eastAsia="en-GB"/>
                    </w:rPr>
                  </w:pPr>
                </w:p>
                <w:p>
                  <w:pPr>
                    <w:rPr>
                      <w:rFonts w:eastAsia="Arial Unicode MS"/>
                      <w:sz w:val="22"/>
                      <w:szCs w:val="22"/>
                      <w:lang w:val="en-US" w:eastAsia="en-GB"/>
                    </w:rPr>
                  </w:pPr>
                  <w:r>
                    <w:rPr>
                      <w:rFonts w:eastAsia="Arial Unicode MS"/>
                      <w:sz w:val="22"/>
                      <w:szCs w:val="22"/>
                      <w:lang w:eastAsia="en-GB"/>
                    </w:rPr>
                    <w:t>Pristatymo vieta:</w:t>
                  </w:r>
                  <w:r>
                    <w:rPr>
                      <w:rFonts w:eastAsia="Arial Unicode MS"/>
                      <w:sz w:val="22"/>
                      <w:szCs w:val="22"/>
                      <w:lang w:val="en-US" w:eastAsia="en-GB"/>
                    </w:rPr>
                    <w:t xml:space="preserve"> …………[cM name], ……. …………..[depot postal address]</w:t>
                  </w:r>
                </w:p>
                <w:p>
                  <w:pPr>
                    <w:rPr>
                      <w:rFonts w:eastAsia="Arial Unicode MS"/>
                      <w:b/>
                      <w:sz w:val="22"/>
                      <w:szCs w:val="22"/>
                      <w:u w:val="single"/>
                      <w:lang w:val="en-US" w:eastAsia="en-GB"/>
                    </w:rPr>
                  </w:pPr>
                </w:p>
                <w:p>
                  <w:pPr>
                    <w:rPr>
                      <w:rFonts w:eastAsia="Arial Unicode MS"/>
                      <w:sz w:val="22"/>
                      <w:szCs w:val="22"/>
                      <w:lang w:val="en-US" w:eastAsia="en-GB"/>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5"/>
                    <w:gridCol w:w="2441"/>
                    <w:gridCol w:w="5325"/>
                  </w:tblGrid>
                  <w:tr>
                    <w:trPr>
                      <w:trHeight w:val="657"/>
                    </w:trPr>
                    <w:tc>
                      <w:tcPr>
                        <w:tcW w:w="2435" w:type="dxa"/>
                      </w:tcPr>
                      <w:p>
                        <w:pPr>
                          <w:rPr>
                            <w:rFonts w:eastAsia="Arial Unicode MS"/>
                            <w:sz w:val="22"/>
                            <w:szCs w:val="22"/>
                            <w:lang w:val="en-US" w:eastAsia="en-GB"/>
                          </w:rPr>
                        </w:pPr>
                      </w:p>
                      <w:p>
                        <w:pPr>
                          <w:rPr>
                            <w:rFonts w:eastAsia="Arial Unicode MS"/>
                            <w:sz w:val="22"/>
                            <w:szCs w:val="22"/>
                            <w:lang w:val="en-US" w:eastAsia="en-GB"/>
                          </w:rPr>
                        </w:pPr>
                        <w:r>
                          <w:rPr>
                            <w:rFonts w:eastAsia="Arial Unicode MS"/>
                            <w:sz w:val="22"/>
                            <w:szCs w:val="22"/>
                            <w:lang w:val="en-US" w:eastAsia="en-GB"/>
                          </w:rPr>
                          <w:t xml:space="preserve">……………. </w:t>
                        </w:r>
                        <w:r>
                          <w:rPr>
                            <w:rFonts w:eastAsia="Arial Unicode MS"/>
                            <w:sz w:val="22"/>
                            <w:szCs w:val="22"/>
                            <w:lang w:eastAsia="en-GB"/>
                          </w:rPr>
                          <w:t>[pavadinimas]</w:t>
                        </w:r>
                      </w:p>
                      <w:p>
                        <w:pPr>
                          <w:rPr>
                            <w:rFonts w:eastAsia="Arial Unicode MS"/>
                            <w:sz w:val="22"/>
                            <w:szCs w:val="22"/>
                            <w:lang w:val="en-US" w:eastAsia="en-GB"/>
                          </w:rPr>
                        </w:pPr>
                      </w:p>
                    </w:tc>
                    <w:tc>
                      <w:tcPr>
                        <w:tcW w:w="2441" w:type="dxa"/>
                      </w:tcPr>
                      <w:p>
                        <w:pPr>
                          <w:rPr>
                            <w:rFonts w:eastAsia="Arial Unicode MS"/>
                            <w:sz w:val="22"/>
                            <w:szCs w:val="22"/>
                            <w:lang w:val="en-US" w:eastAsia="en-GB"/>
                          </w:rPr>
                        </w:pPr>
                      </w:p>
                      <w:p>
                        <w:pPr>
                          <w:rPr>
                            <w:rFonts w:eastAsia="Arial Unicode MS"/>
                            <w:sz w:val="22"/>
                            <w:szCs w:val="22"/>
                            <w:lang w:val="en-US" w:eastAsia="en-GB"/>
                          </w:rPr>
                        </w:pPr>
                        <w:r>
                          <w:rPr>
                            <w:rFonts w:eastAsia="Arial Unicode MS"/>
                            <w:sz w:val="22"/>
                            <w:szCs w:val="22"/>
                            <w:lang w:val="en-US" w:eastAsia="en-GB"/>
                          </w:rPr>
                          <w:t xml:space="preserve">….. </w:t>
                        </w:r>
                        <w:r>
                          <w:rPr>
                            <w:rFonts w:eastAsia="Arial Unicode MS"/>
                            <w:sz w:val="22"/>
                            <w:szCs w:val="22"/>
                            <w:lang w:eastAsia="en-GB"/>
                          </w:rPr>
                          <w:t>[antspaudas]</w:t>
                        </w:r>
                      </w:p>
                    </w:tc>
                    <w:tc>
                      <w:tcPr>
                        <w:tcW w:w="5325" w:type="dxa"/>
                      </w:tcPr>
                      <w:p>
                        <w:pPr>
                          <w:rPr>
                            <w:rFonts w:eastAsia="Arial Unicode MS"/>
                            <w:sz w:val="22"/>
                            <w:szCs w:val="22"/>
                            <w:lang w:val="en-US" w:eastAsia="en-GB"/>
                          </w:rPr>
                        </w:pPr>
                        <w:r>
                          <w:rPr>
                            <w:rFonts w:eastAsia="Arial Unicode MS"/>
                            <w:sz w:val="22"/>
                            <w:szCs w:val="22"/>
                            <w:lang w:val="en-US" w:eastAsia="en-GB"/>
                          </w:rPr>
                          <w:t xml:space="preserve">…………….. </w:t>
                        </w:r>
                      </w:p>
                      <w:p>
                        <w:pPr>
                          <w:rPr>
                            <w:rFonts w:eastAsia="Arial Unicode MS"/>
                            <w:sz w:val="22"/>
                            <w:szCs w:val="22"/>
                            <w:lang w:val="en-US" w:eastAsia="en-GB"/>
                          </w:rPr>
                        </w:pPr>
                        <w:r>
                          <w:rPr>
                            <w:rFonts w:eastAsia="Arial Unicode MS"/>
                            <w:sz w:val="22"/>
                            <w:szCs w:val="22"/>
                            <w:lang w:eastAsia="en-GB"/>
                          </w:rPr>
                          <w:t>[Rangas, įgalioto asmens vardas, pavardė ir parašas]</w:t>
                        </w:r>
                      </w:p>
                      <w:p>
                        <w:pPr>
                          <w:rPr>
                            <w:rFonts w:eastAsia="Arial Unicode MS"/>
                            <w:sz w:val="22"/>
                            <w:szCs w:val="22"/>
                            <w:lang w:val="en-US" w:eastAsia="en-GB"/>
                          </w:rPr>
                        </w:pPr>
                      </w:p>
                    </w:tc>
                  </w:tr>
                </w:tbl>
                <w:p>
                  <w:pPr>
                    <w:rPr>
                      <w:rFonts w:eastAsia="Arial Unicode MS"/>
                      <w:b/>
                      <w:sz w:val="22"/>
                      <w:szCs w:val="22"/>
                      <w:lang w:val="en-US" w:eastAsia="en-GB"/>
                    </w:rPr>
                  </w:pPr>
                </w:p>
                <w:p>
                  <w:pPr>
                    <w:rPr>
                      <w:rFonts w:eastAsia="Arial Unicode MS"/>
                      <w:sz w:val="22"/>
                      <w:szCs w:val="22"/>
                      <w:lang w:val="en-US" w:eastAsia="en-GB"/>
                    </w:rPr>
                    <w:sectPr>
                      <w:headerReference w:type="default" r:id="rId20"/>
                      <w:headerReference w:type="first" r:id="rId21"/>
                      <w:pgSz w:w="11900" w:h="16840"/>
                      <w:pgMar w:top="1304" w:right="701" w:bottom="851" w:left="709" w:header="454" w:footer="273" w:gutter="0"/>
                      <w:cols w:space="720"/>
                      <w:titlePg/>
                      <w:rtlGutter/>
                      <w:docGrid w:linePitch="326"/>
                    </w:sectPr>
                  </w:pPr>
                  <w:r>
                    <w:rPr>
                      <w:rFonts w:eastAsia="Arial Unicode MS"/>
                      <w:b/>
                      <w:sz w:val="22"/>
                      <w:szCs w:val="22"/>
                      <w:lang w:eastAsia="en-GB"/>
                    </w:rPr>
                    <w:t>Data:</w:t>
                  </w:r>
                  <w:r>
                    <w:rPr>
                      <w:rFonts w:eastAsia="Arial Unicode MS"/>
                      <w:sz w:val="22"/>
                      <w:szCs w:val="22"/>
                      <w:lang w:val="en-US" w:eastAsia="en-GB"/>
                    </w:rPr>
                    <w:t xml:space="preserve"> …………………………</w:t>
                  </w:r>
                </w:p>
                <w:p>
                  <w:pPr>
                    <w:tabs>
                      <w:tab w:val="center" w:pos="4536"/>
                      <w:tab w:val="right" w:pos="9072"/>
                    </w:tabs>
                    <w:rPr>
                      <w:rFonts w:eastAsia="Arial Unicode MS"/>
                      <w:szCs w:val="24"/>
                      <w:lang w:val="en-US" w:eastAsia="en-GB"/>
                    </w:rPr>
                  </w:pPr>
                </w:p>
                <w:p>
                  <w:pPr>
                    <w:spacing w:line="360" w:lineRule="auto"/>
                    <w:rPr>
                      <w:rFonts w:eastAsia="Arial Unicode MS"/>
                      <w:b/>
                      <w:sz w:val="22"/>
                      <w:szCs w:val="22"/>
                      <w:lang w:val="en-US" w:eastAsia="en-GB"/>
                    </w:rPr>
                  </w:pPr>
                  <w:r>
                    <w:rPr>
                      <w:rFonts w:eastAsia="Arial Unicode MS"/>
                      <w:b/>
                      <w:sz w:val="22"/>
                      <w:szCs w:val="22"/>
                      <w:u w:val="single"/>
                      <w:lang w:eastAsia="en-GB"/>
                    </w:rPr>
                    <w:t>4 PRIEDAS</w:t>
                  </w:r>
                </w:p>
                <w:p>
                  <w:pPr>
                    <w:spacing w:line="276" w:lineRule="auto"/>
                    <w:rPr>
                      <w:rFonts w:eastAsia="Arial Unicode MS"/>
                      <w:b/>
                      <w:sz w:val="22"/>
                      <w:szCs w:val="22"/>
                      <w:lang w:val="en-US" w:eastAsia="en-GB"/>
                    </w:rPr>
                  </w:pPr>
                </w:p>
                <w:p>
                  <w:pPr>
                    <w:rPr>
                      <w:sz w:val="10"/>
                      <w:szCs w:val="10"/>
                    </w:rPr>
                  </w:pPr>
                </w:p>
              </w:sdtContent>
            </w:sdt>
            <w:sdt>
              <w:sdtPr>
                <w:alias w:val="poskyris"/>
                <w:tag w:val="part_af6d86c56d6b47c8abcef719f01cd2ae"/>
                <w:lock w:val="sdtLocked"/>
                <w:richText/>
              </w:sdtPr>
              <w:sdtContent>
                <w:p>
                  <w:pPr>
                    <w:spacing w:line="276" w:lineRule="auto"/>
                    <w:ind w:left="520"/>
                    <w:rPr>
                      <w:rFonts w:eastAsia="Arial Unicode MS"/>
                      <w:b/>
                      <w:sz w:val="22"/>
                      <w:szCs w:val="22"/>
                      <w:lang w:val="en-US" w:eastAsia="en-GB"/>
                    </w:rPr>
                  </w:pPr>
                  <w:sdt>
                    <w:sdtPr>
                      <w:alias w:val="Pavadinimas"/>
                      <w:tag w:val="title_af6d86c56d6b47c8abcef719f01cd2ae"/>
                      <w:lock w:val="sdtLocked"/>
                      <w:richText/>
                    </w:sdtPr>
                    <w:sdtContent>
                      <w:r>
                        <w:rPr>
                          <w:rFonts w:eastAsia="Arial Unicode MS"/>
                          <w:b/>
                          <w:sz w:val="22"/>
                          <w:szCs w:val="22"/>
                          <w:lang w:eastAsia="en-GB"/>
                        </w:rPr>
                        <w:t>Prisijungimo pareiškimas dėl naujos CM priėmimo</w:t>
                      </w:r>
                    </w:sdtContent>
                  </w:sdt>
                </w:p>
                <w:p>
                  <w:pPr>
                    <w:spacing w:line="276" w:lineRule="auto"/>
                    <w:rPr>
                      <w:rFonts w:eastAsia="Arial Unicode MS"/>
                      <w:b/>
                      <w:sz w:val="22"/>
                      <w:szCs w:val="22"/>
                      <w:lang w:val="en-US" w:eastAsia="en-GB"/>
                    </w:rPr>
                  </w:pPr>
                </w:p>
                <w:p>
                  <w:pPr>
                    <w:rPr>
                      <w:sz w:val="10"/>
                      <w:szCs w:val="10"/>
                    </w:rPr>
                  </w:pPr>
                </w:p>
                <w:p>
                  <w:pPr>
                    <w:spacing w:line="276" w:lineRule="auto"/>
                    <w:ind w:left="520"/>
                    <w:rPr>
                      <w:rFonts w:eastAsia="Arial Unicode MS"/>
                      <w:sz w:val="22"/>
                      <w:szCs w:val="22"/>
                      <w:lang w:val="en-US" w:eastAsia="en-GB"/>
                    </w:rPr>
                  </w:pPr>
                  <w:r>
                    <w:rPr>
                      <w:rFonts w:eastAsia="Arial Unicode MS"/>
                      <w:sz w:val="22"/>
                      <w:szCs w:val="22"/>
                      <w:lang w:eastAsia="en-GB"/>
                    </w:rPr>
                    <w:t>Šiame pareiškime apibrėžtos sąvokos turi tą pačią reikšmę kaip ir Projekto susitarime (Nr. B.PRJ.CAP.1268).</w:t>
                  </w:r>
                </w:p>
                <w:p>
                  <w:pPr>
                    <w:spacing w:line="276" w:lineRule="auto"/>
                    <w:rPr>
                      <w:rFonts w:eastAsia="Arial Unicode MS"/>
                      <w:sz w:val="22"/>
                      <w:szCs w:val="22"/>
                      <w:lang w:val="en-US" w:eastAsia="en-GB"/>
                    </w:rPr>
                  </w:pPr>
                </w:p>
                <w:p>
                  <w:pPr>
                    <w:rPr>
                      <w:sz w:val="10"/>
                      <w:szCs w:val="10"/>
                    </w:rPr>
                  </w:pPr>
                </w:p>
                <w:p>
                  <w:pPr>
                    <w:tabs>
                      <w:tab w:val="left" w:leader="dot" w:pos="8272"/>
                    </w:tabs>
                    <w:spacing w:line="276" w:lineRule="auto"/>
                    <w:ind w:left="520"/>
                    <w:rPr>
                      <w:rFonts w:eastAsia="Arial Unicode MS"/>
                      <w:sz w:val="22"/>
                      <w:szCs w:val="22"/>
                      <w:lang w:val="en-US" w:eastAsia="en-GB"/>
                    </w:rPr>
                  </w:pPr>
                  <w:r>
                    <w:rPr>
                      <w:rFonts w:eastAsia="Arial Unicode MS"/>
                      <w:sz w:val="22"/>
                      <w:szCs w:val="22"/>
                      <w:lang w:eastAsia="en-GB"/>
                    </w:rPr>
                    <w:t>Respublika / Karalystė / Vyriausybė / Ministerija / Ministras</w:t>
                  </w:r>
                  <w:r>
                    <w:rPr>
                      <w:rFonts w:eastAsia="Arial Unicode MS"/>
                      <w:sz w:val="22"/>
                      <w:szCs w:val="22"/>
                      <w:lang w:val="en-US" w:eastAsia="en-GB"/>
                    </w:rPr>
                    <w:t xml:space="preserve"> ________________________</w:t>
                  </w:r>
                </w:p>
                <w:p>
                  <w:pPr>
                    <w:spacing w:line="276" w:lineRule="auto"/>
                    <w:rPr>
                      <w:rFonts w:eastAsia="Arial Unicode MS"/>
                      <w:sz w:val="22"/>
                      <w:szCs w:val="22"/>
                      <w:lang w:val="en-US" w:eastAsia="en-GB"/>
                    </w:rPr>
                  </w:pPr>
                </w:p>
                <w:p>
                  <w:pPr>
                    <w:rPr>
                      <w:sz w:val="10"/>
                      <w:szCs w:val="10"/>
                    </w:rPr>
                  </w:pPr>
                </w:p>
                <w:p>
                  <w:pPr>
                    <w:spacing w:line="276" w:lineRule="auto"/>
                    <w:ind w:left="520"/>
                    <w:rPr>
                      <w:rFonts w:eastAsia="Arial Unicode MS"/>
                      <w:sz w:val="22"/>
                      <w:szCs w:val="22"/>
                      <w:lang w:val="en-US" w:eastAsia="en-GB"/>
                    </w:rPr>
                  </w:pPr>
                  <w:r>
                    <w:rPr>
                      <w:rFonts w:eastAsia="Arial Unicode MS"/>
                      <w:sz w:val="22"/>
                      <w:szCs w:val="22"/>
                      <w:lang w:eastAsia="en-GB"/>
                    </w:rPr>
                    <w:t>Atstovaujamas</w:t>
                  </w:r>
                </w:p>
                <w:p>
                  <w:pPr>
                    <w:spacing w:line="276" w:lineRule="auto"/>
                    <w:rPr>
                      <w:rFonts w:eastAsia="Arial Unicode MS"/>
                      <w:sz w:val="22"/>
                      <w:szCs w:val="22"/>
                      <w:lang w:val="en-US" w:eastAsia="en-GB"/>
                    </w:rPr>
                  </w:pPr>
                </w:p>
                <w:p>
                  <w:pPr>
                    <w:rPr>
                      <w:sz w:val="10"/>
                      <w:szCs w:val="10"/>
                    </w:rPr>
                  </w:pPr>
                </w:p>
                <w:p>
                  <w:pPr>
                    <w:spacing w:line="276" w:lineRule="auto"/>
                    <w:ind w:left="520"/>
                    <w:rPr>
                      <w:rFonts w:eastAsia="Arial Unicode MS"/>
                      <w:sz w:val="22"/>
                      <w:szCs w:val="22"/>
                      <w:lang w:val="en-US" w:eastAsia="en-GB"/>
                    </w:rPr>
                  </w:pPr>
                  <w:r>
                    <w:rPr>
                      <w:rFonts w:eastAsia="Arial Unicode MS"/>
                      <w:sz w:val="22"/>
                      <w:szCs w:val="22"/>
                      <w:lang w:val="en-US" w:eastAsia="en-GB"/>
                    </w:rPr>
                    <w:t>Kas ________________________________________________</w:t>
                  </w:r>
                </w:p>
                <w:p>
                  <w:pPr>
                    <w:spacing w:line="276" w:lineRule="auto"/>
                    <w:rPr>
                      <w:rFonts w:eastAsia="Arial Unicode MS"/>
                      <w:sz w:val="22"/>
                      <w:szCs w:val="22"/>
                      <w:lang w:val="en-US" w:eastAsia="en-GB"/>
                    </w:rPr>
                  </w:pPr>
                </w:p>
                <w:p>
                  <w:pPr>
                    <w:rPr>
                      <w:sz w:val="10"/>
                      <w:szCs w:val="10"/>
                    </w:rPr>
                  </w:pPr>
                </w:p>
                <w:p>
                  <w:pPr>
                    <w:spacing w:line="276" w:lineRule="auto"/>
                    <w:ind w:left="520"/>
                    <w:rPr>
                      <w:rFonts w:eastAsia="Arial Unicode MS"/>
                      <w:sz w:val="22"/>
                      <w:szCs w:val="22"/>
                      <w:lang w:val="en-US" w:eastAsia="en-GB"/>
                    </w:rPr>
                  </w:pPr>
                  <w:r>
                    <w:rPr>
                      <w:rFonts w:eastAsia="Arial Unicode MS"/>
                      <w:sz w:val="22"/>
                      <w:szCs w:val="22"/>
                      <w:lang w:eastAsia="en-GB"/>
                    </w:rPr>
                    <w:t>KETINA:</w:t>
                  </w:r>
                </w:p>
                <w:p>
                  <w:pPr>
                    <w:spacing w:line="276" w:lineRule="auto"/>
                    <w:rPr>
                      <w:rFonts w:eastAsia="Arial Unicode MS"/>
                      <w:sz w:val="22"/>
                      <w:szCs w:val="22"/>
                      <w:lang w:val="en-US" w:eastAsia="en-GB"/>
                    </w:rPr>
                  </w:pPr>
                </w:p>
                <w:p>
                  <w:pPr>
                    <w:rPr>
                      <w:sz w:val="10"/>
                      <w:szCs w:val="10"/>
                    </w:rPr>
                  </w:pPr>
                </w:p>
                <w:p>
                  <w:pPr>
                    <w:widowControl w:val="0"/>
                    <w:tabs>
                      <w:tab w:val="left" w:pos="631"/>
                    </w:tabs>
                    <w:ind w:left="630"/>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dalyvauti, kaip nurodyta šios PA 10.5 dalyje, skirtoje naujiems arba vykdomiems „CPoCHBRB“ projektams ar veiklai;</w:t>
                  </w:r>
                </w:p>
                <w:p>
                  <w:pPr>
                    <w:spacing w:line="276" w:lineRule="auto"/>
                    <w:rPr>
                      <w:rFonts w:eastAsia="Arial Unicode MS"/>
                      <w:sz w:val="22"/>
                      <w:szCs w:val="22"/>
                      <w:lang w:val="en-US" w:eastAsia="en-GB"/>
                    </w:rPr>
                  </w:pPr>
                </w:p>
                <w:p>
                  <w:pPr>
                    <w:rPr>
                      <w:sz w:val="10"/>
                      <w:szCs w:val="10"/>
                    </w:rPr>
                  </w:pPr>
                </w:p>
                <w:p>
                  <w:pPr>
                    <w:widowControl w:val="0"/>
                    <w:tabs>
                      <w:tab w:val="left" w:pos="631"/>
                    </w:tabs>
                    <w:ind w:left="630"/>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pritarti šios PA nuostatoms;</w:t>
                  </w:r>
                </w:p>
                <w:p>
                  <w:pPr>
                    <w:spacing w:line="276" w:lineRule="auto"/>
                    <w:rPr>
                      <w:rFonts w:eastAsia="Arial Unicode MS"/>
                      <w:sz w:val="22"/>
                      <w:szCs w:val="22"/>
                      <w:lang w:val="en-US" w:eastAsia="en-GB"/>
                    </w:rPr>
                  </w:pPr>
                </w:p>
                <w:p>
                  <w:pPr>
                    <w:rPr>
                      <w:sz w:val="10"/>
                      <w:szCs w:val="10"/>
                    </w:rPr>
                  </w:pPr>
                </w:p>
                <w:p>
                  <w:pPr>
                    <w:widowControl w:val="0"/>
                    <w:tabs>
                      <w:tab w:val="left" w:pos="631"/>
                    </w:tabs>
                    <w:ind w:left="630"/>
                    <w:rPr>
                      <w:rFonts w:eastAsia="Arial Unicode MS"/>
                      <w:szCs w:val="24"/>
                      <w:lang w:val="en-GB" w:eastAsia="en-GB"/>
                    </w:rPr>
                  </w:pPr>
                  <w:r>
                    <w:rPr>
                      <w:rFonts w:ascii="Franklin Gothic Book" w:hAnsi="Franklin Gothic Book"/>
                      <w:sz w:val="22"/>
                      <w:szCs w:val="22"/>
                      <w:lang w:val="en-GB" w:eastAsia="en-GB"/>
                    </w:rPr>
                    <w:t>-</w:t>
                    <w:tab/>
                  </w:r>
                  <w:r>
                    <w:rPr>
                      <w:rFonts w:eastAsia="Arial Unicode MS"/>
                      <w:szCs w:val="24"/>
                      <w:lang w:eastAsia="en-GB"/>
                    </w:rPr>
                    <w:t>prisidėti prie naujų ar vykdomų CPoCHBRB projektų arba veiklos.</w:t>
                  </w:r>
                </w:p>
                <w:p>
                  <w:pPr>
                    <w:spacing w:line="276" w:lineRule="auto"/>
                    <w:rPr>
                      <w:rFonts w:eastAsia="Arial Unicode MS"/>
                      <w:sz w:val="22"/>
                      <w:szCs w:val="22"/>
                      <w:lang w:val="en-US" w:eastAsia="en-GB"/>
                    </w:rPr>
                  </w:pPr>
                </w:p>
                <w:p>
                  <w:pPr>
                    <w:rPr>
                      <w:sz w:val="10"/>
                      <w:szCs w:val="10"/>
                    </w:rPr>
                  </w:pPr>
                </w:p>
                <w:p>
                  <w:pPr>
                    <w:spacing w:line="276" w:lineRule="auto"/>
                    <w:rPr>
                      <w:rFonts w:eastAsia="Arial Unicode MS"/>
                      <w:sz w:val="22"/>
                      <w:szCs w:val="22"/>
                      <w:lang w:val="en-US" w:eastAsia="en-GB"/>
                    </w:rPr>
                  </w:pPr>
                  <w:r>
                    <w:rPr>
                      <w:rFonts w:eastAsia="Arial Unicode MS"/>
                      <w:sz w:val="22"/>
                      <w:szCs w:val="22"/>
                      <w:lang w:eastAsia="en-GB"/>
                    </w:rPr>
                    <w:t>Principinė organizacija pagal 1 priedą bus:</w:t>
                  </w:r>
                </w:p>
                <w:p>
                  <w:pPr>
                    <w:rPr>
                      <w:sz w:val="10"/>
                      <w:szCs w:val="10"/>
                    </w:rPr>
                  </w:pPr>
                </w:p>
                <w:p>
                  <w:pPr>
                    <w:spacing w:line="276" w:lineRule="auto"/>
                    <w:rPr>
                      <w:rFonts w:eastAsia="Arial Unicode MS"/>
                      <w:sz w:val="22"/>
                      <w:szCs w:val="22"/>
                      <w:lang w:val="en-US" w:eastAsia="en-GB"/>
                    </w:rPr>
                  </w:pPr>
                </w:p>
                <w:p>
                  <w:pPr>
                    <w:rPr>
                      <w:sz w:val="10"/>
                      <w:szCs w:val="10"/>
                    </w:rPr>
                  </w:pPr>
                </w:p>
                <w:tbl>
                  <w:tblPr>
                    <w:tblW w:w="0" w:type="auto"/>
                    <w:tblInd w:w="596" w:type="dxa"/>
                    <w:tblBorders>
                      <w:top w:val="single" w:sz="12" w:space="0" w:color="C0C0C0"/>
                      <w:left w:val="single" w:sz="12" w:space="0" w:color="C0C0C0"/>
                      <w:bottom w:val="single" w:sz="12" w:space="0" w:color="C0C0C0"/>
                      <w:right w:val="single" w:sz="12" w:space="0" w:color="C0C0C0"/>
                      <w:insideH w:val="single" w:sz="12" w:space="0" w:color="C0C0C0"/>
                      <w:insideV w:val="single" w:sz="12" w:space="0" w:color="C0C0C0"/>
                    </w:tblBorders>
                    <w:tblLayout w:type="fixed"/>
                    <w:tblCellMar>
                      <w:left w:w="0" w:type="dxa"/>
                      <w:right w:w="0" w:type="dxa"/>
                    </w:tblCellMar>
                    <w:tblLook w:val="01E0" w:firstRow="1" w:lastRow="1" w:firstColumn="1" w:lastColumn="1" w:noHBand="0" w:noVBand="0"/>
                  </w:tblPr>
                  <w:tblGrid>
                    <w:gridCol w:w="3500"/>
                    <w:gridCol w:w="5812"/>
                  </w:tblGrid>
                  <w:tr>
                    <w:trPr>
                      <w:trHeight w:val="612"/>
                    </w:trPr>
                    <w:tc>
                      <w:tcPr>
                        <w:tcW w:w="3500" w:type="dxa"/>
                        <w:tcBorders>
                          <w:bottom w:val="thickThinMediumGap" w:sz="6" w:space="0" w:color="C0C0C0"/>
                          <w:right w:val="thickThinMediumGap" w:sz="6" w:space="0" w:color="C0C0C0"/>
                        </w:tcBorders>
                      </w:tcPr>
                      <w:p>
                        <w:pPr>
                          <w:widowControl w:val="0"/>
                          <w:spacing w:line="276" w:lineRule="auto"/>
                          <w:ind w:left="1238" w:right="1244"/>
                          <w:jc w:val="center"/>
                          <w:rPr>
                            <w:rFonts w:eastAsia="Arial Unicode MS"/>
                            <w:b/>
                            <w:sz w:val="22"/>
                            <w:szCs w:val="22"/>
                            <w:lang w:val="en-US" w:eastAsia="en-GB"/>
                          </w:rPr>
                        </w:pPr>
                        <w:r>
                          <w:rPr>
                            <w:rFonts w:eastAsia="Arial Unicode MS"/>
                            <w:b/>
                            <w:sz w:val="22"/>
                            <w:szCs w:val="22"/>
                            <w:lang w:val="en-US" w:eastAsia="en-GB"/>
                          </w:rPr>
                          <w:t>cM</w:t>
                        </w:r>
                      </w:p>
                    </w:tc>
                    <w:tc>
                      <w:tcPr>
                        <w:tcW w:w="5812" w:type="dxa"/>
                        <w:tcBorders>
                          <w:left w:val="thinThickMediumGap" w:sz="6" w:space="0" w:color="C0C0C0"/>
                          <w:bottom w:val="thickThinMediumGap" w:sz="6" w:space="0" w:color="C0C0C0"/>
                          <w:right w:val="single" w:sz="6" w:space="0" w:color="C0C0C0"/>
                        </w:tcBorders>
                      </w:tcPr>
                      <w:p>
                        <w:pPr>
                          <w:widowControl w:val="0"/>
                          <w:spacing w:line="276" w:lineRule="auto"/>
                          <w:ind w:left="1760"/>
                          <w:rPr>
                            <w:rFonts w:eastAsia="Arial Unicode MS"/>
                            <w:b/>
                            <w:sz w:val="22"/>
                            <w:szCs w:val="22"/>
                            <w:lang w:val="en-US" w:eastAsia="en-GB"/>
                          </w:rPr>
                        </w:pPr>
                        <w:r>
                          <w:rPr>
                            <w:rFonts w:eastAsia="Arial Unicode MS"/>
                            <w:b/>
                            <w:sz w:val="22"/>
                            <w:szCs w:val="22"/>
                            <w:lang w:eastAsia="en-GB"/>
                          </w:rPr>
                          <w:t>Pagrindinės organizacijos</w:t>
                        </w:r>
                      </w:p>
                    </w:tc>
                  </w:tr>
                  <w:tr>
                    <w:trPr>
                      <w:trHeight w:val="614"/>
                    </w:trPr>
                    <w:tc>
                      <w:tcPr>
                        <w:tcW w:w="3500" w:type="dxa"/>
                        <w:tcBorders>
                          <w:top w:val="thinThickMediumGap" w:sz="6" w:space="0" w:color="C0C0C0"/>
                          <w:bottom w:val="thickThinMediumGap" w:sz="6" w:space="0" w:color="C0C0C0"/>
                          <w:right w:val="thickThinMediumGap" w:sz="6" w:space="0" w:color="C0C0C0"/>
                        </w:tcBorders>
                        <w:shd w:val="clear" w:color="auto" w:fill="F5F4F4"/>
                      </w:tcPr>
                      <w:p>
                        <w:pPr>
                          <w:widowControl w:val="0"/>
                          <w:spacing w:line="276" w:lineRule="auto"/>
                          <w:ind w:left="56"/>
                          <w:rPr>
                            <w:rFonts w:eastAsia="Arial Unicode MS"/>
                            <w:sz w:val="22"/>
                            <w:szCs w:val="22"/>
                            <w:lang w:val="en-US" w:eastAsia="en-GB"/>
                          </w:rPr>
                        </w:pPr>
                        <w:r>
                          <w:rPr>
                            <w:rFonts w:eastAsia="Arial Unicode MS"/>
                            <w:sz w:val="22"/>
                            <w:szCs w:val="22"/>
                            <w:lang w:eastAsia="en-GB"/>
                          </w:rPr>
                          <w:t>cM pavadinimas</w:t>
                        </w:r>
                      </w:p>
                    </w:tc>
                    <w:tc>
                      <w:tcPr>
                        <w:tcW w:w="5812" w:type="dxa"/>
                        <w:tcBorders>
                          <w:top w:val="thinThickMediumGap" w:sz="6" w:space="0" w:color="C0C0C0"/>
                          <w:left w:val="thinThickMediumGap" w:sz="6" w:space="0" w:color="C0C0C0"/>
                          <w:bottom w:val="thickThinMediumGap" w:sz="6" w:space="0" w:color="C0C0C0"/>
                          <w:right w:val="single" w:sz="6" w:space="0" w:color="C0C0C0"/>
                        </w:tcBorders>
                        <w:shd w:val="clear" w:color="auto" w:fill="F5F4F4"/>
                      </w:tcPr>
                      <w:p>
                        <w:pPr>
                          <w:widowControl w:val="0"/>
                          <w:spacing w:line="276" w:lineRule="auto"/>
                          <w:ind w:left="92"/>
                          <w:rPr>
                            <w:rFonts w:eastAsia="Arial Unicode MS"/>
                            <w:sz w:val="22"/>
                            <w:szCs w:val="22"/>
                            <w:lang w:val="en-US" w:eastAsia="en-GB"/>
                          </w:rPr>
                        </w:pPr>
                        <w:r>
                          <w:rPr>
                            <w:rFonts w:eastAsia="Arial Unicode MS"/>
                            <w:sz w:val="22"/>
                            <w:szCs w:val="22"/>
                            <w:lang w:eastAsia="en-GB"/>
                          </w:rPr>
                          <w:t>Visas pavadinimas ir adresas</w:t>
                        </w:r>
                      </w:p>
                    </w:tc>
                  </w:tr>
                </w:tbl>
                <w:p>
                  <w:pPr>
                    <w:spacing w:line="276" w:lineRule="auto"/>
                    <w:rPr>
                      <w:rFonts w:eastAsia="Arial Unicode MS"/>
                      <w:sz w:val="22"/>
                      <w:szCs w:val="22"/>
                      <w:lang w:val="en-US" w:eastAsia="en-GB"/>
                    </w:rPr>
                  </w:pPr>
                </w:p>
                <w:p>
                  <w:pPr>
                    <w:rPr>
                      <w:sz w:val="10"/>
                      <w:szCs w:val="10"/>
                    </w:rPr>
                  </w:pPr>
                </w:p>
                <w:p>
                  <w:pPr>
                    <w:spacing w:line="276" w:lineRule="auto"/>
                    <w:ind w:left="520"/>
                    <w:rPr>
                      <w:rFonts w:eastAsia="Arial Unicode MS"/>
                      <w:sz w:val="22"/>
                      <w:szCs w:val="22"/>
                      <w:lang w:val="en-US" w:eastAsia="en-GB"/>
                    </w:rPr>
                  </w:pPr>
                  <w:r>
                    <w:rPr>
                      <w:rFonts w:eastAsia="Arial Unicode MS"/>
                      <w:sz w:val="22"/>
                      <w:szCs w:val="22"/>
                      <w:lang w:eastAsia="en-GB"/>
                    </w:rPr>
                    <w:t>Respublikos/Karalystės/ Vyriausybės/Ministerijos/ministro vardu</w:t>
                  </w:r>
                </w:p>
                <w:p>
                  <w:pPr>
                    <w:spacing w:line="276" w:lineRule="auto"/>
                    <w:rPr>
                      <w:rFonts w:eastAsia="Arial Unicode MS"/>
                      <w:sz w:val="22"/>
                      <w:szCs w:val="22"/>
                      <w:lang w:val="en-US" w:eastAsia="en-GB"/>
                    </w:rPr>
                  </w:pPr>
                </w:p>
                <w:p>
                  <w:pPr>
                    <w:rPr>
                      <w:sz w:val="10"/>
                      <w:szCs w:val="10"/>
                    </w:rPr>
                  </w:pPr>
                </w:p>
                <w:p>
                  <w:pPr>
                    <w:spacing w:line="276" w:lineRule="auto"/>
                    <w:ind w:left="520"/>
                    <w:rPr>
                      <w:rFonts w:eastAsia="Arial Unicode MS"/>
                      <w:sz w:val="22"/>
                      <w:szCs w:val="22"/>
                      <w:lang w:val="en-US" w:eastAsia="en-GB"/>
                    </w:rPr>
                  </w:pPr>
                  <w:r>
                    <w:rPr>
                      <w:rFonts w:eastAsia="Arial Unicode MS"/>
                      <w:sz w:val="22"/>
                      <w:szCs w:val="22"/>
                      <w:lang w:val="en-US" w:eastAsia="en-GB"/>
                    </w:rPr>
                    <w:t>___________________________</w:t>
                  </w:r>
                </w:p>
                <w:p>
                  <w:pPr>
                    <w:spacing w:line="276" w:lineRule="auto"/>
                    <w:ind w:left="520"/>
                    <w:rPr>
                      <w:rFonts w:eastAsia="Arial Unicode MS"/>
                      <w:sz w:val="22"/>
                      <w:szCs w:val="22"/>
                      <w:lang w:val="en-US" w:eastAsia="en-GB"/>
                    </w:rPr>
                  </w:pPr>
                </w:p>
                <w:p>
                  <w:pPr>
                    <w:spacing w:line="276" w:lineRule="auto"/>
                    <w:ind w:left="520"/>
                    <w:rPr>
                      <w:rFonts w:eastAsia="Arial Unicode MS"/>
                      <w:sz w:val="22"/>
                      <w:szCs w:val="22"/>
                      <w:lang w:val="en-US" w:eastAsia="en-GB"/>
                    </w:rPr>
                  </w:pPr>
                  <w:r>
                    <w:rPr>
                      <w:rFonts w:eastAsia="Arial Unicode MS"/>
                      <w:sz w:val="22"/>
                      <w:szCs w:val="22"/>
                      <w:lang w:val="en-US" w:eastAsia="en-GB"/>
                    </w:rPr>
                    <w:t>___________________________</w:t>
                  </w:r>
                </w:p>
                <w:p>
                  <w:pPr>
                    <w:spacing w:line="276" w:lineRule="auto"/>
                    <w:ind w:left="520"/>
                    <w:rPr>
                      <w:rFonts w:eastAsia="Arial Unicode MS"/>
                      <w:sz w:val="22"/>
                      <w:szCs w:val="22"/>
                      <w:lang w:val="en-US" w:eastAsia="en-GB"/>
                    </w:rPr>
                  </w:pPr>
                </w:p>
                <w:p>
                  <w:pPr>
                    <w:spacing w:line="276" w:lineRule="auto"/>
                    <w:ind w:left="520"/>
                    <w:rPr>
                      <w:rFonts w:eastAsia="Arial Unicode MS"/>
                      <w:sz w:val="22"/>
                      <w:szCs w:val="22"/>
                      <w:lang w:val="en-US" w:eastAsia="en-GB"/>
                    </w:rPr>
                  </w:pPr>
                </w:p>
                <w:p>
                  <w:pPr>
                    <w:spacing w:line="276" w:lineRule="auto"/>
                    <w:ind w:left="520"/>
                    <w:rPr>
                      <w:rFonts w:eastAsia="Arial Unicode MS"/>
                      <w:b/>
                      <w:sz w:val="22"/>
                      <w:szCs w:val="22"/>
                      <w:u w:val="single"/>
                      <w:lang w:val="en-US" w:eastAsia="en-GB"/>
                    </w:rPr>
                  </w:pPr>
                  <w:r>
                    <w:rPr>
                      <w:rFonts w:eastAsia="Arial Unicode MS"/>
                      <w:sz w:val="22"/>
                      <w:szCs w:val="22"/>
                      <w:lang w:eastAsia="en-GB"/>
                    </w:rPr>
                    <w:t>Data:</w:t>
                  </w:r>
                  <w:r>
                    <w:rPr>
                      <w:rFonts w:eastAsia="Arial Unicode MS"/>
                      <w:spacing w:val="-2"/>
                      <w:sz w:val="22"/>
                      <w:szCs w:val="22"/>
                      <w:lang w:val="en-US" w:eastAsia="en-GB"/>
                    </w:rPr>
                    <w:t xml:space="preserve"> </w:t>
                  </w:r>
                  <w:r>
                    <w:rPr>
                      <w:rFonts w:eastAsia="Arial Unicode MS"/>
                      <w:sz w:val="22"/>
                      <w:szCs w:val="22"/>
                      <w:lang w:val="en-US" w:eastAsia="en-GB"/>
                    </w:rPr>
                    <w:t>____________________</w:t>
                  </w:r>
                </w:p>
                <w:p>
                  <w:pPr>
                    <w:tabs>
                      <w:tab w:val="left" w:pos="3118"/>
                    </w:tabs>
                    <w:spacing w:line="276" w:lineRule="auto"/>
                    <w:rPr>
                      <w:rFonts w:eastAsia="Arial Unicode MS"/>
                      <w:b/>
                      <w:color w:val="000000"/>
                      <w:sz w:val="22"/>
                      <w:szCs w:val="22"/>
                      <w:lang w:val="en-US" w:eastAsia="en-GB"/>
                    </w:rPr>
                  </w:pPr>
                </w:p>
              </w:sdtContent>
            </w:sdt>
          </w:sdtContent>
        </w:sdt>
      </w:sdtContent>
    </w:sdt>
    <w:sectPr>
      <w:footerReference w:type="default" r:id="rId22"/>
      <w:footerReference w:type="first" r:id="rId23"/>
      <w:pgSz w:w="11900" w:h="16840"/>
      <w:pgMar w:top="1304" w:right="701" w:bottom="851" w:left="709" w:header="454" w:footer="410" w:gutter="0"/>
      <w:cols w:space="720"/>
      <w:titlePg/>
      <w:rtlGutter/>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eastAsia="Arial Unicode MS"/>
          <w:szCs w:val="24"/>
          <w:lang w:val="en-US" w:eastAsia="en-GB"/>
        </w:rPr>
      </w:pPr>
      <w:r>
        <w:rPr>
          <w:rFonts w:eastAsia="Arial Unicode MS"/>
          <w:szCs w:val="24"/>
          <w:lang w:val="en-US" w:eastAsia="en-GB"/>
        </w:rPr>
        <w:separator/>
      </w:r>
    </w:p>
  </w:endnote>
  <w:endnote w:type="continuationSeparator" w:id="0">
    <w:p>
      <w:pPr>
        <w:rPr>
          <w:rFonts w:eastAsia="Arial Unicode MS"/>
          <w:szCs w:val="24"/>
          <w:lang w:val="en-US" w:eastAsia="en-GB"/>
        </w:rPr>
      </w:pPr>
      <w:r>
        <w:rPr>
          <w:rFonts w:eastAsia="Arial Unicode MS"/>
          <w:szCs w:val="24"/>
          <w:lang w:val="en-US" w:eastAsia="en-GB"/>
        </w:rPr>
        <w:continuationSeparator/>
      </w:r>
    </w:p>
  </w:endnote>
  <w:endnote w:type="continuationNotice" w:id="1">
    <w:p>
      <w:pPr>
        <w:rPr>
          <w:rFonts w:eastAsia="Arial Unicode MS"/>
          <w:szCs w:val="24"/>
          <w:lang w:val="en-US" w:eastAsia="en-GB"/>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BA"/>
    <w:family w:val="swiss"/>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jc w:val="right"/>
      <w:rPr>
        <w:rFonts w:eastAsia="Arial Unicode MS"/>
        <w:szCs w:val="24"/>
        <w:lang w:val="en-US" w:eastAsia="en-GB"/>
      </w:rPr>
    </w:pPr>
  </w:p>
  <w:p>
    <w:pPr>
      <w:tabs>
        <w:tab w:val="center" w:pos="4536"/>
        <w:tab w:val="right" w:pos="9072"/>
      </w:tabs>
      <w:jc w:val="right"/>
      <w:rPr>
        <w:rFonts w:eastAsia="Arial Unicode MS"/>
        <w:szCs w:val="24"/>
        <w:lang w:val="en-US" w:eastAsia="en-GB"/>
      </w:rPr>
    </w:pPr>
    <w:r>
      <w:rPr>
        <w:rFonts w:eastAsia="Arial Unicode MS"/>
        <w:szCs w:val="24"/>
        <w:lang w:val="en-US"/>
      </w:rPr>
      <mc:AlternateContent>
        <mc:Choice Requires="wps">
          <w:drawing>
            <wp:anchor distT="0" distB="0" distL="114300" distR="114300" simplePos="0" relativeHeight="251656704" behindDoc="0" locked="0" layoutInCell="1" allowOverlap="1" wp14:anchorId="0575B70C" wp14:editId="0FFC0D1F">
              <wp:simplePos x="0" y="0"/>
              <wp:positionH relativeFrom="margin">
                <wp:align>left</wp:align>
              </wp:positionH>
              <wp:positionV relativeFrom="paragraph">
                <wp:posOffset>66040</wp:posOffset>
              </wp:positionV>
              <wp:extent cx="2618740" cy="276860"/>
              <wp:effectExtent l="3175" t="1905"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8740" cy="276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wps:spPr>
                    <wps:txbx>
                      <w:txbxContent>
                        <w:p>
                          <w:pPr>
                            <w:rPr>
                              <w:rFonts w:eastAsia="Arial Unicode MS"/>
                              <w:szCs w:val="24"/>
                              <w:lang w:val="fr-BE" w:eastAsia="en-GB"/>
                            </w:rPr>
                          </w:pPr>
                          <w:r>
                            <w:rPr>
                              <w:rFonts w:eastAsia="Arial Unicode MS"/>
                              <w:szCs w:val="24"/>
                              <w:lang w:val="en-US" w:eastAsia="en-GB"/>
                            </w:rPr>
                            <w:t>PA N° B PRJ.CAP.1268 - CPoCHBRB</w:t>
                          </w:r>
                        </w:p>
                      </w:txbxContent>
                    </wps:txbx>
                    <wps:bodyPr rot="0" vert="horz" wrap="square" lIns="50800" tIns="50800" rIns="50800" bIns="50800" anchor="t" anchorCtr="0" upright="1">
                      <a:spAutoFit/>
                    </wps:bodyPr>
                  </wps:wsp>
                </a:graphicData>
              </a:graphic>
              <wp14:sizeRelH relativeFrom="margin">
                <wp14:pctWidth>0</wp14:pctWidth>
              </wp14:sizeRelH>
              <wp14:sizeRelV relativeFrom="page">
                <wp14:pctHeight>0</wp14:pctHeight>
              </wp14:sizeRelV>
            </wp:anchor>
          </w:drawing>
        </mc:Choice>
        <mc:Fallback>
          <w:pict>
            <v:shapetype w14:anchorId="0575B70C" id="_x0000_t202" coordsize="21600,21600" o:spt="202" path="m,l,21600r21600,l21600,xe">
              <v:stroke joinstyle="miter"/>
              <v:path gradientshapeok="t" o:connecttype="rect"/>
            </v:shapetype>
            <v:shape id="Text Box 2" o:spid="_x0000_s1029" type="#_x0000_t202" style="position:absolute;left:0;text-align:left;margin-left:0;margin-top:5.2pt;width:206.2pt;height:21.8pt;z-index:2516567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0fs11sAIAALoFAAAOAAAAZHJzL2Uyb0RvYy54bWysVNtunDAQfa/Uf7D8TjCUsIDCRsmyVJXS i5T0A7xgFqtgU9u7bFr13zs2e01eqrY8INszPjNn5nhubnd9h7ZMaS5FjoMrghETlay5WOf461Pp JRhpQ0VNOylYjp+Zxrfzt29uxiFjoWxlVzOFAETobBxy3BozZL6vq5b1VF/JgQkwNlL11MBWrf1a 0RHQ+84PCYn9Uap6ULJiWsNpMRnx3OE3DavM56bRzKAux5CbcX/l/iv79+c3NFsrOrS82qdB/yKL nnIBQY9QBTUUbRR/BdXzSkktG3NVyd6XTcMr5jgAm4C8YPPY0oE5LlAcPRzLpP8fbPVp+0UhXuc4 wkjQHlr0xHYG3csdCm11xkFn4PQ4gJvZwTF02THVw4Osvmkk5KKlYs3ulJJjy2gN2QX2pn92dcLR FmQ1fpQ1hKEbIx3QrlG9LR0UAwE6dOn52BmbSgWHYRwkswhMFdjCWZzErnU+zQ63B6XNeyZ7ZBc5 VtB5h063D9rYbGh2cLHBhCx517nud+LiABynE4gNV63NZuGa+TMl6TJZJpEXhfHSi0hReHflIvLi MphdF++KxaIIftm4QZS1vK6ZsGEOwgqiP2vcXuKTJI7S0rLjtYWzKWm1Xi06hbYUhF26z9UcLCc3 /zINVwTg8oJSEEbkPky9Mk5mXlRG1146I4lHgvQ+jUmURkV5SemBC/bvlNAIOglnhExqOmX9ghxx 32tyNOu5gdnR8R7Ee3SimdXgUtSut4byblqf1cLmf6oF9PvQaadYK9JJrma32gGKlfFK1s+gXSVB WqBCGHiwaKX6gdEIwyPH+vuGKoZR90GA/q9JAryQOd+o883qfENFBVA5NhhNy4WZJtRmUHzdQqTD i7uDN1NyJ+dTVvuXBgPCkdoPMzuBzvfO6zRy578BAAD//wMAUEsDBBQABgAIAAAAIQAwIutd3gAA AAYBAAAPAAAAZHJzL2Rvd25yZXYueG1sTI9BS8NAEIXvgv9hmYIXsbstqWjMphShpRcPjSL0ts2O SWh2NmQ3Teyvdzzpbd684b1vsvXkWnHBPjSeNCzmCgRS6W1DlYaP9+3DE4gQDVnTekIN3xhgnd/e ZCa1fqQDXopYCQ6hkBoNdYxdKmUoa3QmzH2HxN6X752JLPtK2t6MHO5auVTqUTrTEDfUpsPXGstz MTgNz9fjuHrDz40rdsPhXh2Tndrutb6bTZsXEBGn+HcMv/iMDjkznfxANohWAz8SeasSEOwmiyUP Jw2rRIHMM/kfP/8BAAD//wMAUEsBAi0AFAAGAAgAAAAhALaDOJL+AAAA4QEAABMAAAAAAAAAAAAA AAAAAAAAAFtDb250ZW50X1R5cGVzXS54bWxQSwECLQAUAAYACAAAACEAOP0h/9YAAACUAQAACwAA AAAAAAAAAAAAAAAvAQAAX3JlbHMvLnJlbHNQSwECLQAUAAYACAAAACEAdH7NdbACAAC6BQAADgAA AAAAAAAAAAAAAAAuAgAAZHJzL2Uyb0RvYy54bWxQSwECLQAUAAYACAAAACEAMCLrXd4AAAAGAQAA DwAAAAAAAAAAAAAAAAAKBQAAZHJzL2Rvd25yZXYueG1sUEsFBgAAAAAEAAQA8wAAABUGAAAAAA== " filled="f" stroked="f" strokeweight="1pt">
              <v:stroke miterlimit="4"/>
              <v:textbox style="mso-fit-shape-to-text:t" inset="4pt,4pt,4pt,4pt">
                <w:txbxContent>
                  <w:p w14:paraId="48F349FE" w14:textId="7C0EC6A7">
                    <w:pPr>
                      <w:pBdr>
                        <w:bar w:val="none" w:color="auto"/>
                      </w:pBdr>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en-US" w:eastAsia="en-GB"/>
                      </w:rPr>
                      <w:t>PA N° B PRJ.CAP.1268 - CPoCHBRB</w:t>
                    </w:r>
                  </w:p>
                </w:txbxContent>
              </v:textbox>
              <w10:wrap anchorx="margin"/>
            </v:shape>
          </w:pict>
        </mc:Fallback>
      </mc:AlternateContent>
    </w:r>
  </w:p>
  <w:p>
    <w:pPr>
      <w:tabs>
        <w:tab w:val="center" w:pos="4536"/>
        <w:tab w:val="right" w:pos="9072"/>
      </w:tabs>
      <w:jc w:val="right"/>
      <w:rPr>
        <w:rFonts w:eastAsia="Arial Unicode MS"/>
        <w:szCs w:val="24"/>
        <w:lang w:val="en-US" w:eastAsia="en-GB"/>
      </w:rPr>
    </w:pPr>
    <w:r>
      <w:rPr>
        <w:rFonts w:eastAsia="Arial Unicode MS"/>
        <w:szCs w:val="24"/>
        <w:lang w:val="en-US" w:eastAsia="en-GB"/>
      </w:rPr>
      <w:fldChar w:fldCharType="begin"/>
    </w:r>
    <w:r>
      <w:rPr>
        <w:rFonts w:eastAsia="Arial Unicode MS"/>
        <w:szCs w:val="24"/>
        <w:lang w:val="en-US" w:eastAsia="en-GB"/>
      </w:rPr>
      <w:instrText xml:space="preserve"> PAGE   \* MERGEFORMAT </w:instrText>
    </w:r>
    <w:r>
      <w:rPr>
        <w:rFonts w:eastAsia="Arial Unicode MS"/>
        <w:szCs w:val="24"/>
        <w:lang w:val="en-US" w:eastAsia="en-GB"/>
      </w:rPr>
      <w:fldChar w:fldCharType="separate"/>
    </w:r>
    <w:r>
      <w:rPr>
        <w:rFonts w:eastAsia="Arial Unicode MS"/>
        <w:szCs w:val="24"/>
        <w:lang w:val="en-US" w:eastAsia="en-GB"/>
      </w:rPr>
      <w:t>1</w:t>
    </w:r>
    <w:r>
      <w:rPr>
        <w:rFonts w:eastAsia="Arial Unicode MS"/>
        <w:szCs w:val="24"/>
        <w:lang w:val="en-US" w:eastAsia="en-GB"/>
      </w:rPr>
      <w:fldChar w:fldCharType="end"/>
    </w:r>
  </w:p>
  <w:p>
    <w:pPr>
      <w:tabs>
        <w:tab w:val="center" w:pos="4536"/>
        <w:tab w:val="right" w:pos="9072"/>
      </w:tabs>
      <w:jc w:val="right"/>
      <w:rPr>
        <w:rFonts w:eastAsia="Arial Unicode MS"/>
        <w:szCs w:val="24"/>
        <w:lang w:val="de-DE" w:eastAsia="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jc w:val="right"/>
      <w:rPr>
        <w:rFonts w:eastAsia="Arial Unicode MS"/>
        <w:szCs w:val="24"/>
        <w:lang w:val="en-US" w:eastAsia="en-GB"/>
      </w:rPr>
    </w:pPr>
    <w:r>
      <w:rPr>
        <w:rFonts w:eastAsia="Arial Unicode MS"/>
        <w:szCs w:val="24"/>
        <w:lang w:val="en-US"/>
      </w:rPr>
      <mc:AlternateContent>
        <mc:Choice Requires="wps">
          <w:drawing>
            <wp:anchor distT="0" distB="0" distL="114300" distR="114300" simplePos="0" relativeHeight="251655680" behindDoc="0" locked="0" layoutInCell="1" allowOverlap="1" wp14:anchorId="539015DC" wp14:editId="59A36A38">
              <wp:simplePos x="0" y="0"/>
              <wp:positionH relativeFrom="margin">
                <wp:align>left</wp:align>
              </wp:positionH>
              <wp:positionV relativeFrom="paragraph">
                <wp:posOffset>71755</wp:posOffset>
              </wp:positionV>
              <wp:extent cx="2882265" cy="452120"/>
              <wp:effectExtent l="2540" t="0" r="127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265" cy="452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wps:spPr>
                    <wps:txbx>
                      <w:txbxContent>
                        <w:p>
                          <w:pPr>
                            <w:rPr>
                              <w:rFonts w:eastAsia="Arial Unicode MS"/>
                              <w:szCs w:val="24"/>
                              <w:lang w:val="fr-BE" w:eastAsia="en-GB"/>
                            </w:rPr>
                          </w:pPr>
                          <w:r>
                            <w:rPr>
                              <w:rFonts w:eastAsia="Arial Unicode MS"/>
                              <w:szCs w:val="24"/>
                              <w:lang w:val="en-US" w:eastAsia="en-GB"/>
                            </w:rPr>
                            <w:t>PA N° B PRJ.CAP.1268 - CPoCHBRB</w:t>
                          </w:r>
                        </w:p>
                        <w:p>
                          <w:pPr>
                            <w:rPr>
                              <w:rFonts w:eastAsia="Arial Unicode MS"/>
                              <w:szCs w:val="24"/>
                              <w:lang w:val="fr-BE" w:eastAsia="en-GB"/>
                            </w:rPr>
                          </w:pPr>
                        </w:p>
                      </w:txbxContent>
                    </wps:txbx>
                    <wps:bodyPr rot="0" vert="horz" wrap="square" lIns="50800" tIns="50800" rIns="50800" bIns="50800" anchor="t" anchorCtr="0" upright="1">
                      <a:spAutoFit/>
                    </wps:bodyPr>
                  </wps:wsp>
                </a:graphicData>
              </a:graphic>
              <wp14:sizeRelH relativeFrom="margin">
                <wp14:pctWidth>0</wp14:pctWidth>
              </wp14:sizeRelH>
              <wp14:sizeRelV relativeFrom="page">
                <wp14:pctHeight>0</wp14:pctHeight>
              </wp14:sizeRelV>
            </wp:anchor>
          </w:drawing>
        </mc:Choice>
        <mc:Fallback>
          <w:pict>
            <v:shapetype w14:anchorId="539015DC" id="_x0000_t202" coordsize="21600,21600" o:spt="202" path="m,l,21600r21600,l21600,xe">
              <v:stroke joinstyle="miter"/>
              <v:path gradientshapeok="t" o:connecttype="rect"/>
            </v:shapetype>
            <v:shape id="Text Box 5" o:spid="_x0000_s1030" type="#_x0000_t202" style="position:absolute;left:0;text-align:left;margin-left:0;margin-top:5.65pt;width:226.95pt;height:35.6pt;z-index:2516556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G39O6tAIAAMEFAAAOAAAAZHJzL2Uyb0RvYy54bWysVNtunDAQfa/Uf7D8TjCU3QUUNkqWpaqU XqSkH+AFs1gFm9rehbTqv3ds9pbkpWrrB8uX8Zk5M8dzfTN2LdozpbkUGQ6uCEZMlLLiYpvhr4+F F2OkDRUVbaVgGX5iGt8s3765HvqUhbKRbcUUAhCh06HPcGNMn/q+LhvWUX0leybgspaqowa2autX ig6A3rV+SMjcH6SqeiVLpjWc5tMlXjr8umal+VzXmhnUZhhiM25Wbt7Y2V9e03SraN/w8hAG/Yso OsoFOD1B5dRQtFP8FVTHSyW1rM1VKTtf1jUvmeMAbALygs1DQ3vmuEBydH9Kk/5/sOWn/ReFeJXh dxgJ2kGJHtlo0J0c0cxmZ+h1CkYPPZiZEY6hyo6p7u9l+U0jIVcNFVt2q5QcGkYriC6wL/2LpxOO tiCb4aOswA3dGemAxlp1NnWQDAToUKWnU2VsKCUchnEchvMZRiXcRbMwCF3pfJoeX/dKm/dMdsgu Mqyg8g6d7u+1sdHQ9GhinQlZ8LZ11W/FswMwnE7ANzy1dzYKV8yfCUnW8TqOvCicr72I5Ll3W6wi b14Ei1n+Ll+t8uCX9RtEacOrignr5iisIPqzwh0kPkniJC0tW15ZOBuSVtvNqlVoT0HYhRsu53Bz NvOfh+GSAFxeUArCiNyFiVfM44UXFdHMSxYk9kiQ3CVzEiVRXjyndM8F+3dKaACdhAtCJjWdo35B jrjxmhxNO26gd7S8A0mcjGhqNbgWlautobyd1he5sPGfcwH1PlbaKdaKdJKrGTej+xpOzlbNG1k9 gYSVBIWBTqHvwaKR6gdGA/SQDOvvO6oYRu0HAd9gRmKgh8zlRl1uNpcbKkqAyrDBaFquzNSodr3i 2wY8HT/eLXydgjtVn6M6fDjoE47boafZRnS5d1bnzrv8DQAA//8DAFBLAwQUAAYACAAAACEAOLFH CN8AAAAGAQAADwAAAGRycy9kb3ducmV2LnhtbEyPzU7DMBCE70i8g7VIXBC1+xPUhjhVhdSKC4cG hNSbGy9JRLyOYqcJPD3LCY47M5r5NttOrhUX7EPjScN8pkAgld42VGl4e93fr0GEaMia1hNq+MIA 2/z6KjOp9SMd8VLESnAJhdRoqGPsUilDWaMzYeY7JPY+fO9M5LOvpO3NyOWulQulHqQzDfFCbTp8 qrH8LAanYfN9GpMXfN+54jAc79RpdVD7Z61vb6bdI4iIU/wLwy8+o0POTGc/kA2i1cCPRFbnSxDs rpLlBsRZw3qRgMwz+R8//wEAAP//AwBQSwECLQAUAAYACAAAACEAtoM4kv4AAADhAQAAEwAAAAAA AAAAAAAAAAAAAAAAW0NvbnRlbnRfVHlwZXNdLnhtbFBLAQItABQABgAIAAAAIQA4/SH/1gAAAJQB AAALAAAAAAAAAAAAAAAAAC8BAABfcmVscy8ucmVsc1BLAQItABQABgAIAAAAIQBG39O6tAIAAMEF AAAOAAAAAAAAAAAAAAAAAC4CAABkcnMvZTJvRG9jLnhtbFBLAQItABQABgAIAAAAIQA4sUcI3wAA AAYBAAAPAAAAAAAAAAAAAAAAAA4FAABkcnMvZG93bnJldi54bWxQSwUGAAAAAAQABADzAAAAGgYA AAAA " filled="f" stroked="f" strokeweight="1pt">
              <v:stroke miterlimit="4"/>
              <v:textbox style="mso-fit-shape-to-text:t" inset="4pt,4pt,4pt,4pt">
                <w:txbxContent>
                  <w:p w14:paraId="6591A494" w14:textId="236B2636">
                    <w:pPr>
                      <w:pBdr>
                        <w:bar w:val="none" w:color="auto"/>
                      </w:pBdr>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en-US" w:eastAsia="en-GB"/>
                      </w:rPr>
                      <w:t>PA N° B PRJ.CAP.1268 - CPoCHBRB</w:t>
                    </w:r>
                  </w:p>
                  <w:p w14:paraId="1F639FE1" w14:textId="77777777">
                    <w:pPr>
                      <w:pBdr>
                        <w:bar w:val="none" w:color="auto"/>
                      </w:pBdr>
                      <w:rPr>
                        <w:rFonts w:ascii="Times New Roman" w:hAnsi="Times New Roman" w:eastAsia="Arial Unicode MS" w:cs="Times New Roman"/>
                        <w:szCs w:val="24"/>
                        <w:lang w:val="fr-BE" w:eastAsia="en-GB"/>
                      </w:rPr>
                    </w:pPr>
                  </w:p>
                </w:txbxContent>
              </v:textbox>
              <w10:wrap anchorx="margin"/>
            </v:shape>
          </w:pict>
        </mc:Fallback>
      </mc:AlternateContent>
    </w:r>
  </w:p>
  <w:p>
    <w:pPr>
      <w:tabs>
        <w:tab w:val="center" w:pos="4536"/>
        <w:tab w:val="right" w:pos="9072"/>
      </w:tabs>
      <w:jc w:val="right"/>
      <w:rPr>
        <w:rFonts w:eastAsia="Arial Unicode MS"/>
        <w:szCs w:val="24"/>
        <w:lang w:val="en-US" w:eastAsia="en-GB"/>
      </w:rPr>
    </w:pPr>
    <w:r>
      <w:rPr>
        <w:rFonts w:eastAsia="Arial Unicode MS"/>
        <w:szCs w:val="24"/>
        <w:lang w:val="en-US" w:eastAsia="en-GB"/>
      </w:rPr>
      <w:fldChar w:fldCharType="begin"/>
    </w:r>
    <w:r>
      <w:rPr>
        <w:rFonts w:eastAsia="Arial Unicode MS"/>
        <w:szCs w:val="24"/>
        <w:lang w:val="en-US" w:eastAsia="en-GB"/>
      </w:rPr>
      <w:instrText xml:space="preserve"> PAGE   \* MERGEFORMAT </w:instrText>
    </w:r>
    <w:r>
      <w:rPr>
        <w:rFonts w:eastAsia="Arial Unicode MS"/>
        <w:szCs w:val="24"/>
        <w:lang w:val="en-US" w:eastAsia="en-GB"/>
      </w:rPr>
      <w:fldChar w:fldCharType="separate"/>
    </w:r>
    <w:r>
      <w:rPr>
        <w:rFonts w:eastAsia="Arial Unicode MS"/>
        <w:szCs w:val="24"/>
        <w:lang w:val="en-US" w:eastAsia="en-GB"/>
      </w:rPr>
      <w:t>30</w:t>
    </w:r>
    <w:r>
      <w:rPr>
        <w:rFonts w:eastAsia="Arial Unicode MS"/>
        <w:szCs w:val="24"/>
        <w:lang w:val="en-US" w:eastAsia="en-GB"/>
      </w:rPr>
      <w:fldChar w:fldCharType="end"/>
    </w:r>
  </w:p>
  <w:p>
    <w:pPr>
      <w:tabs>
        <w:tab w:val="center" w:pos="4536"/>
        <w:tab w:val="right" w:pos="9072"/>
      </w:tabs>
      <w:rPr>
        <w:rFonts w:eastAsia="Arial Unicode MS"/>
        <w:szCs w:val="24"/>
        <w:lang w:val="en-US" w:eastAsia="en-GB"/>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jc w:val="right"/>
      <w:rPr>
        <w:rFonts w:eastAsia="Arial Unicode MS"/>
        <w:szCs w:val="24"/>
        <w:lang w:val="en-US" w:eastAsia="en-GB"/>
      </w:rPr>
    </w:pPr>
    <w:r>
      <w:rPr>
        <w:rFonts w:eastAsia="Arial Unicode MS"/>
        <w:szCs w:val="24"/>
        <w:lang w:val="en-US"/>
      </w:rPr>
      <mc:AlternateContent>
        <mc:Choice Requires="wps">
          <w:drawing>
            <wp:anchor distT="0" distB="0" distL="114300" distR="114300" simplePos="0" relativeHeight="251658752" behindDoc="0" locked="0" layoutInCell="1" allowOverlap="1" wp14:anchorId="6D2EC341" wp14:editId="36057772">
              <wp:simplePos x="0" y="0"/>
              <wp:positionH relativeFrom="column">
                <wp:posOffset>0</wp:posOffset>
              </wp:positionH>
              <wp:positionV relativeFrom="paragraph">
                <wp:posOffset>0</wp:posOffset>
              </wp:positionV>
              <wp:extent cx="1781175" cy="344170"/>
              <wp:effectExtent l="0" t="0" r="0" b="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1175" cy="344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wps:spPr>
                    <wps:txbx>
                      <w:txbxContent>
                        <w:p>
                          <w:pPr>
                            <w:rPr>
                              <w:rFonts w:eastAsia="Arial Unicode MS"/>
                              <w:szCs w:val="24"/>
                              <w:lang w:val="fr-BE" w:eastAsia="en-GB"/>
                            </w:rPr>
                          </w:pPr>
                          <w:r>
                            <w:rPr>
                              <w:rFonts w:eastAsia="Arial Unicode MS"/>
                              <w:szCs w:val="24"/>
                              <w:lang w:val="en-US" w:eastAsia="en-GB"/>
                            </w:rPr>
                            <w:t>PA N° B PRJ.CAP.1268</w:t>
                          </w:r>
                        </w:p>
                      </w:txbxContent>
                    </wps:txbx>
                    <wps:bodyPr rot="0" vert="horz" wrap="square" lIns="50800" tIns="50800" rIns="50800" bIns="5080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D2EC341" id="_x0000_t202" coordsize="21600,21600" o:spt="202" path="m,l,21600r21600,l21600,xe">
              <v:stroke joinstyle="miter"/>
              <v:path gradientshapeok="t" o:connecttype="rect"/>
            </v:shapetype>
            <v:shape id="Text Box 7" o:spid="_x0000_s1031" type="#_x0000_t202" style="position:absolute;left:0;text-align:left;margin-left:0;margin-top:0;width:140.25pt;height:27.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cMJFsgIAAMEFAAAOAAAAZHJzL2Uyb0RvYy54bWysVNtunDAQfa/Uf7D8TjAbslwUNkqWpaqU XqSkH+AFs1gFm9rehTTqv3ds9pbkpWrLA/L1zJw5x3N9M3Yt2jGluRQZDi4IRkyUsuJik+Fvj4UX Y6QNFRVtpWAZfmIa3yzev7se+pTNZCPbiikEIEKnQ5/hxpg+9X1dNqyj+kL2TMBmLVVHDUzVxq8U HQC9a/0ZIXN/kKrqlSyZ1rCaT5t44fDrmpXmS11rZlCbYcjNuL9y/7X9+4trmm4U7Rte7tOgf5FF R7mAoEeonBqKtoq/gep4qaSWtbkoZefLuuYlcxyATUBesXloaM8cFyiO7o9l0v8Ptvy8+6oQrzI8 w0jQDiR6ZKNBd3JEka3O0OsUDj30cMyMsAwqO6a6v5fld42EXDZUbNitUnJoGK0gu8De9M+uTjja gqyHT7KCMHRrpAMaa9XZ0kExEKCDSk9HZWwqpQ0ZxUEQXWFUwt5lGAaRk86n6eF2r7T5wGSH7CDD CpR36HR3r43NhqaHIzaYkAVvW6d+K14swMFpBWLDVbtns3BiPickWcWrOPTC2XzlhSTPvdtiGXrz ArLLL/PlMg9+2bhBmDa8qpiwYQ7GCsI/E25v8ckSR2tp2fLKwtmUtNqsl61COwrGLtznag47p2P+ yzRcEYDLK0rBLCR3s8Qr5nHkhUV45SURiT0SJHfJnIRJmBcvKd1zwf6dEhpA1llEyOSmU9avyBH3 vSVH044b6B0t7zIcHg/R1HpwJSqnraG8ncZntbD5n2oBeh+Udo61Jp3sasb1uH8aAGbdvJbVE1hY SXAY+BT6HgwaqX5iNEAPybD+saWKYdR+FPAMrkgM9JA5n6jzyfp8QkUJUBk2GE3DpZka1bZXfNNA pMPDu4WnU3Dn6lNW+wcHfcJx2/c024jO5+7UqfMufgMAAP//AwBQSwMEFAAGAAgAAAAhAHrp88rd AAAABAEAAA8AAABkcnMvZG93bnJldi54bWxMj0FLw0AQhe+C/2EZwYvYXUMjNWZSitDixUOjCL1t s2MSzM6G7KaJ/npXL/Uy8HiP977J17PtxIkG3zpGuFsoEMSVMy3XCG+v29sVCB80G905JoQv8rAu Li9ynRk38Z5OZahFLGGfaYQmhD6T0lcNWe0XrieO3ocbrA5RDrU0g55iue1kotS9tLrluNDonp4a qj7L0SI8fB+m9IXeN7bcjfsbdVju1PYZ8fpq3jyCCDSHcxh+8SM6FJHp6EY2XnQI8ZHwd6OXrFQK 4oiQLhOQRS7/wxc/AAAA//8DAFBLAQItABQABgAIAAAAIQC2gziS/gAAAOEBAAATAAAAAAAAAAAA AAAAAAAAAABbQ29udGVudF9UeXBlc10ueG1sUEsBAi0AFAAGAAgAAAAhADj9If/WAAAAlAEAAAsA AAAAAAAAAAAAAAAALwEAAF9yZWxzLy5yZWxzUEsBAi0AFAAGAAgAAAAhAKBwwkWyAgAAwQUAAA4A AAAAAAAAAAAAAAAALgIAAGRycy9lMm9Eb2MueG1sUEsBAi0AFAAGAAgAAAAhAHrp88rdAAAABAEA AA8AAAAAAAAAAAAAAAAADAUAAGRycy9kb3ducmV2LnhtbFBLBQYAAAAABAAEAPMAAAAWBgAAAAA= " filled="f" stroked="f" strokeweight="1pt">
              <v:stroke miterlimit="4"/>
              <v:textbox style="mso-fit-shape-to-text:t" inset="4pt,4pt,4pt,4pt">
                <w:txbxContent>
                  <w:p w14:paraId="323DBC58" w14:textId="77777777">
                    <w:pPr>
                      <w:pBdr>
                        <w:bar w:val="none" w:color="auto"/>
                      </w:pBdr>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en-US" w:eastAsia="en-GB"/>
                      </w:rPr>
                      <w:t>PA N° B PRJ.CAP.1268</w:t>
                    </w:r>
                  </w:p>
                </w:txbxContent>
              </v:textbox>
            </v:shape>
          </w:pict>
        </mc:Fallback>
      </mc:AlternateContent>
    </w:r>
    <w:r>
      <w:rPr>
        <w:rFonts w:eastAsia="Arial Unicode MS"/>
        <w:szCs w:val="24"/>
        <w:lang w:val="en-US" w:eastAsia="en-GB"/>
      </w:rPr>
      <w:fldChar w:fldCharType="begin"/>
    </w:r>
    <w:r>
      <w:rPr>
        <w:rFonts w:eastAsia="Arial Unicode MS"/>
        <w:szCs w:val="24"/>
        <w:lang w:val="en-US" w:eastAsia="en-GB"/>
      </w:rPr>
      <w:instrText xml:space="preserve"> PAGE   \* MERGEFORMAT </w:instrText>
    </w:r>
    <w:r>
      <w:rPr>
        <w:rFonts w:eastAsia="Arial Unicode MS"/>
        <w:szCs w:val="24"/>
        <w:lang w:val="en-US" w:eastAsia="en-GB"/>
      </w:rPr>
      <w:fldChar w:fldCharType="separate"/>
    </w:r>
    <w:r>
      <w:rPr>
        <w:rFonts w:eastAsia="Arial Unicode MS"/>
        <w:szCs w:val="24"/>
        <w:lang w:val="en-US" w:eastAsia="en-GB"/>
      </w:rPr>
      <w:t>47</w:t>
    </w:r>
    <w:r>
      <w:rPr>
        <w:rFonts w:eastAsia="Arial Unicode MS"/>
        <w:szCs w:val="24"/>
        <w:lang w:val="en-US" w:eastAsia="en-GB"/>
      </w:rPr>
      <w:fldChar w:fldCharType="end"/>
    </w:r>
  </w:p>
  <w:p>
    <w:pPr>
      <w:tabs>
        <w:tab w:val="center" w:pos="4536"/>
        <w:tab w:val="right" w:pos="9072"/>
      </w:tabs>
      <w:rPr>
        <w:rFonts w:eastAsia="Arial Unicode MS"/>
        <w:szCs w:val="24"/>
        <w:lang w:val="en-US" w:eastAsia="en-GB"/>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jc w:val="right"/>
      <w:rPr>
        <w:rFonts w:eastAsia="Arial Unicode MS"/>
        <w:szCs w:val="24"/>
        <w:lang w:val="en-US" w:eastAsia="en-GB"/>
      </w:rPr>
    </w:pPr>
    <w:r>
      <w:rPr>
        <w:rFonts w:eastAsia="Arial Unicode MS"/>
        <w:szCs w:val="24"/>
        <w:lang w:val="en-US"/>
      </w:rPr>
      <mc:AlternateContent>
        <mc:Choice Requires="wps">
          <w:drawing>
            <wp:anchor distT="0" distB="0" distL="114300" distR="114300" simplePos="0" relativeHeight="251657728" behindDoc="0" locked="0" layoutInCell="1" allowOverlap="1" wp14:anchorId="0AC41A5F" wp14:editId="20346CB4">
              <wp:simplePos x="0" y="0"/>
              <wp:positionH relativeFrom="margin">
                <wp:align>left</wp:align>
              </wp:positionH>
              <wp:positionV relativeFrom="paragraph">
                <wp:posOffset>-1905</wp:posOffset>
              </wp:positionV>
              <wp:extent cx="2896870" cy="344170"/>
              <wp:effectExtent l="0" t="0" r="0" b="63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6870" cy="344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wps:spPr>
                    <wps:txbx>
                      <w:txbxContent>
                        <w:p>
                          <w:pPr>
                            <w:rPr>
                              <w:rFonts w:eastAsia="Arial Unicode MS"/>
                              <w:szCs w:val="24"/>
                              <w:lang w:val="fr-BE" w:eastAsia="en-GB"/>
                            </w:rPr>
                          </w:pPr>
                          <w:r>
                            <w:rPr>
                              <w:rFonts w:eastAsia="Arial Unicode MS"/>
                              <w:szCs w:val="24"/>
                              <w:lang w:val="en-US" w:eastAsia="en-GB"/>
                            </w:rPr>
                            <w:t>PA N° B PRJ.CAP.1268 - CPoCHBRB</w:t>
                          </w:r>
                        </w:p>
                        <w:p>
                          <w:pPr>
                            <w:rPr>
                              <w:rFonts w:eastAsia="Arial Unicode MS"/>
                              <w:szCs w:val="24"/>
                              <w:lang w:val="fr-BE" w:eastAsia="en-GB"/>
                            </w:rPr>
                          </w:pPr>
                        </w:p>
                      </w:txbxContent>
                    </wps:txbx>
                    <wps:bodyPr rot="0" vert="horz" wrap="square" lIns="50800" tIns="50800" rIns="50800" bIns="50800" anchor="t" anchorCtr="0" upright="1">
                      <a:spAutoFit/>
                    </wps:bodyPr>
                  </wps:wsp>
                </a:graphicData>
              </a:graphic>
              <wp14:sizeRelH relativeFrom="margin">
                <wp14:pctWidth>0</wp14:pctWidth>
              </wp14:sizeRelH>
              <wp14:sizeRelV relativeFrom="page">
                <wp14:pctHeight>0</wp14:pctHeight>
              </wp14:sizeRelV>
            </wp:anchor>
          </w:drawing>
        </mc:Choice>
        <mc:Fallback>
          <w:pict>
            <v:shapetype w14:anchorId="0AC41A5F" id="_x0000_t202" coordsize="21600,21600" o:spt="202" path="m,l,21600r21600,l21600,xe">
              <v:stroke joinstyle="miter"/>
              <v:path gradientshapeok="t" o:connecttype="rect"/>
            </v:shapetype>
            <v:shape id="Text Box 3" o:spid="_x0000_s1032" type="#_x0000_t202" style="position:absolute;left:0;text-align:left;margin-left:0;margin-top:-.15pt;width:228.1pt;height:27.1pt;z-index:2516577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JBs30sAIAAMEFAAAOAAAAZHJzL2Uyb0RvYy54bWysVNtu2zAMfR+wfxD07vpSNbGNOkUbx8OA 7gK0+wDFlmNhtuRJSpxu2L+PkpPUaTFg2OYHQxfqkIc85PXNvmvRjinNpchweBFgxEQpKy42Gf7y WHgxRtpQUdFWCpbhJ6bxzeLtm+uhT1kkG9lWTCEAETod+gw3xvSp7+uyYR3VF7JnAi5rqTpqYKs2 fqXoAOhd60dBMPMHqapeyZJpDaf5eIkXDr+uWWk+1bVmBrUZhtiM+yv3X9u/v7im6UbRvuHlIQz6 F1F0lAtweoLKqaFoq/grqI6XSmpZm4tSdr6sa14yxwHYhMELNg8N7ZnjAsnR/SlN+v/Blh93nxXi FdQOI0E7KNEj2xt0J/fo0mZn6HUKRg89mJk9HFtLy1T397L8qpGQy4aKDbtVSg4NoxVEF9qX/uTp iKMtyHr4ICtwQ7dGOqB9rToLCMlAgA5VejpVxoZSwmEUJ7N4Dlcl3F0SEsLauqDp8XWvtHnHZIfs IsMKKu/Q6e5em9H0aGKdCVnwtoVzmrbi7AAwxxPwDU/tnY3CFfNHEiSreBUTj0SzlUeCPPduiyXx ZkU4v8ov8+UyD39avyFJG15VTFg3R2GF5M8Kd5D4KImTtLRseWXhbEhabdbLVqEdBWEX7jskZGLm n4fh8gVcXlAKIxLcRYlXQIY9UpArL5kHsReEyV0yC0hC8uKc0j0X7N8poQF0Es2DYFTTb8kF7ntN jqYdNzA7Wt5lmJyMaGo1uBKVq62hvB3Xk1zY+J9zAfU+Vtop1op0lKvZr/euNU6NsJbVE0hYSVAY iBHmHiwaqb5jNMAMybD+tqWKYdS+F9AGV0EM9JCZbtR0s55uqCgBKsMGo3G5NOOg2vaKbxrwdGy8 W2idgjtV2x4bozo0HMwJx+0w0+wgmu6d1fPkXfwCAAD//wMAUEsDBBQABgAIAAAAIQDvLg0d3gAA AAUBAAAPAAAAZHJzL2Rvd25yZXYueG1sTI9BS8NAFITvgv9heYIXaXdtm2JjXkoRWrx4aBSht232 mQSzb0N200R/vetJj8MMM99k28m24kK9bxwj3M8VCOLSmYYrhLfX/ewBhA+ajW4dE8IXedjm11eZ To0b+UiXIlQilrBPNUIdQpdK6cuarPZz1xFH78P1Voco+0qaXo+x3LZyodRaWt1wXKh1R081lZ/F YBE236cxeaH3nS0Ow/FOnVYHtX9GvL2Zdo8gAk3hLwy/+BEd8sh0dgMbL1qEeCQgzJYgorlK1gsQ Z4RkuQGZZ/I/ff4DAAD//wMAUEsBAi0AFAAGAAgAAAAhALaDOJL+AAAA4QEAABMAAAAAAAAAAAAA AAAAAAAAAFtDb250ZW50X1R5cGVzXS54bWxQSwECLQAUAAYACAAAACEAOP0h/9YAAACUAQAACwAA AAAAAAAAAAAAAAAvAQAAX3JlbHMvLnJlbHNQSwECLQAUAAYACAAAACEAiQbN9LACAADBBQAADgAA AAAAAAAAAAAAAAAuAgAAZHJzL2Uyb0RvYy54bWxQSwECLQAUAAYACAAAACEA7y4NHd4AAAAFAQAA DwAAAAAAAAAAAAAAAAAKBQAAZHJzL2Rvd25yZXYueG1sUEsFBgAAAAAEAAQA8wAAABUGAAAAAA== " filled="f" stroked="f" strokeweight="1pt">
              <v:stroke miterlimit="4"/>
              <v:textbox style="mso-fit-shape-to-text:t" inset="4pt,4pt,4pt,4pt">
                <w:txbxContent>
                  <w:p w14:paraId="16F1A947" w14:textId="4E368523">
                    <w:pPr>
                      <w:pBdr>
                        <w:bar w:val="none" w:color="auto"/>
                      </w:pBdr>
                      <w:rPr>
                        <w:rFonts w:ascii="Times New Roman" w:hAnsi="Times New Roman" w:eastAsia="Arial Unicode MS" w:cs="Times New Roman"/>
                        <w:szCs w:val="24"/>
                        <w:lang w:val="fr-BE" w:eastAsia="en-GB"/>
                      </w:rPr>
                    </w:pPr>
                    <w:r>
                      <w:rPr>
                        <w:rFonts w:ascii="Times New Roman" w:hAnsi="Times New Roman" w:eastAsia="Arial Unicode MS" w:cs="Times New Roman"/>
                        <w:szCs w:val="24"/>
                        <w:lang w:val="en-US" w:eastAsia="en-GB"/>
                      </w:rPr>
                      <w:t>PA N° B PRJ.CAP.1268 - CPoCHBRB</w:t>
                    </w:r>
                  </w:p>
                  <w:p w14:paraId="4FF7BD2B" w14:textId="77777777">
                    <w:pPr>
                      <w:pBdr>
                        <w:bar w:val="none" w:color="auto"/>
                      </w:pBdr>
                      <w:rPr>
                        <w:rFonts w:ascii="Times New Roman" w:hAnsi="Times New Roman" w:eastAsia="Arial Unicode MS" w:cs="Times New Roman"/>
                        <w:szCs w:val="24"/>
                        <w:lang w:val="fr-BE" w:eastAsia="en-GB"/>
                      </w:rPr>
                    </w:pPr>
                  </w:p>
                </w:txbxContent>
              </v:textbox>
              <w10:wrap anchorx="margin"/>
            </v:shape>
          </w:pict>
        </mc:Fallback>
      </mc:AlternateContent>
    </w:r>
    <w:r>
      <w:rPr>
        <w:rFonts w:eastAsia="Arial Unicode MS"/>
        <w:szCs w:val="24"/>
        <w:lang w:val="en-US" w:eastAsia="en-GB"/>
      </w:rPr>
      <w:fldChar w:fldCharType="begin"/>
    </w:r>
    <w:r>
      <w:rPr>
        <w:rFonts w:eastAsia="Arial Unicode MS"/>
        <w:szCs w:val="24"/>
        <w:lang w:val="en-US" w:eastAsia="en-GB"/>
      </w:rPr>
      <w:instrText xml:space="preserve"> PAGE   \* MERGEFORMAT </w:instrText>
    </w:r>
    <w:r>
      <w:rPr>
        <w:rFonts w:eastAsia="Arial Unicode MS"/>
        <w:szCs w:val="24"/>
        <w:lang w:val="en-US" w:eastAsia="en-GB"/>
      </w:rPr>
      <w:fldChar w:fldCharType="separate"/>
    </w:r>
    <w:r>
      <w:rPr>
        <w:rFonts w:eastAsia="Arial Unicode MS"/>
        <w:szCs w:val="24"/>
        <w:lang w:val="en-US" w:eastAsia="en-GB"/>
      </w:rPr>
      <w:t>31</w:t>
    </w:r>
    <w:r>
      <w:rPr>
        <w:rFonts w:eastAsia="Arial Unicode MS"/>
        <w:szCs w:val="24"/>
        <w:lang w:val="en-US" w:eastAsia="en-GB"/>
      </w:rPr>
      <w:fldChar w:fldCharType="end"/>
    </w:r>
  </w:p>
  <w:p>
    <w:pPr>
      <w:tabs>
        <w:tab w:val="center" w:pos="4536"/>
        <w:tab w:val="right" w:pos="9072"/>
      </w:tabs>
      <w:rPr>
        <w:rFonts w:eastAsia="Arial Unicode MS"/>
        <w:szCs w:val="24"/>
        <w:lang w:val="en-US" w:eastAsia="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eastAsia="Arial Unicode MS"/>
          <w:szCs w:val="24"/>
          <w:lang w:val="en-US" w:eastAsia="en-GB"/>
        </w:rPr>
      </w:pPr>
      <w:r>
        <w:rPr>
          <w:rFonts w:eastAsia="Arial Unicode MS"/>
          <w:szCs w:val="24"/>
          <w:lang w:val="en-US" w:eastAsia="en-GB"/>
        </w:rPr>
        <w:separator/>
      </w:r>
    </w:p>
  </w:footnote>
  <w:footnote w:type="continuationSeparator" w:id="0">
    <w:p>
      <w:pPr>
        <w:rPr>
          <w:rFonts w:eastAsia="Arial Unicode MS"/>
          <w:szCs w:val="24"/>
          <w:lang w:val="en-US" w:eastAsia="en-GB"/>
        </w:rPr>
      </w:pPr>
      <w:r>
        <w:rPr>
          <w:rFonts w:eastAsia="Arial Unicode MS"/>
          <w:szCs w:val="24"/>
          <w:lang w:val="en-US" w:eastAsia="en-GB"/>
        </w:rPr>
        <w:continuationSeparator/>
      </w:r>
    </w:p>
  </w:footnote>
  <w:footnote w:type="continuationNotice" w:id="1">
    <w:p>
      <w:pPr>
        <w:rPr>
          <w:rFonts w:eastAsia="Arial Unicode MS"/>
          <w:szCs w:val="24"/>
          <w:lang w:val="en-US" w:eastAsia="en-GB"/>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after="120" w:line="14" w:lineRule="auto"/>
      <w:rPr>
        <w:rFonts w:eastAsia="Arial Unicode MS"/>
        <w:sz w:val="2"/>
        <w:szCs w:val="24"/>
        <w:lang w:val="en-US" w:eastAsia="en-GB"/>
      </w:rPr>
    </w:pPr>
    <w:r>
      <w:rPr>
        <w:rFonts w:eastAsia="Arial Unicode MS"/>
        <w:szCs w:val="24"/>
        <w:lang w:val="en-GB" w:eastAsia="en-GB"/>
      </w:rPr>
      <w:pict w14:anchorId="7DB0DF5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670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jc w:val="center"/>
      <w:rPr>
        <w:rFonts w:eastAsia="Arial Unicode MS"/>
        <w:szCs w:val="24"/>
        <w:lang w:val="en-US" w:eastAsia="en-GB"/>
      </w:rPr>
    </w:pPr>
    <w:r>
      <w:rPr>
        <w:rFonts w:eastAsia="Arial Unicode MS"/>
        <w:szCs w:val="24"/>
        <w:lang w:eastAsia="en-GB"/>
      </w:rPr>
      <w:t>Nacionalinis B kategorijos projekto paraas</w:t>
    </w:r>
  </w:p>
  <w:p>
    <w:pPr>
      <w:tabs>
        <w:tab w:val="center" w:pos="4536"/>
        <w:tab w:val="right" w:pos="9072"/>
      </w:tabs>
      <w:jc w:val="center"/>
      <w:rPr>
        <w:rFonts w:eastAsia="Arial Unicode MS"/>
        <w:szCs w:val="24"/>
        <w:lang w:val="en-US" w:eastAsia="en-GB"/>
      </w:rPr>
    </w:pPr>
    <w:r>
      <w:rPr>
        <w:rFonts w:eastAsia="Arial Unicode MS"/>
        <w:szCs w:val="24"/>
        <w:lang w:val="en-US" w:eastAsia="en-GB"/>
      </w:rPr>
      <w:t xml:space="preserve"> </w:t>
    </w:r>
    <w:r>
      <w:rPr>
        <w:rFonts w:eastAsia="Arial Unicode MS"/>
        <w:szCs w:val="24"/>
        <w:lang w:eastAsia="en-GB"/>
      </w:rPr>
      <w:t>Bendradarbiavimas įsigyjant ChBRB branduolinę, biologinę, radiologinę ir branduolinę saugią įrangą (CPoCHBRB)</w:t>
    </w:r>
  </w:p>
  <w:p>
    <w:pPr>
      <w:spacing w:after="120" w:line="14" w:lineRule="auto"/>
      <w:rPr>
        <w:rFonts w:eastAsia="Arial Unicode MS"/>
        <w:sz w:val="2"/>
        <w:szCs w:val="24"/>
        <w:lang w:val="en-US" w:eastAsia="en-GB"/>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after="120" w:line="14" w:lineRule="auto"/>
      <w:rPr>
        <w:rFonts w:eastAsia="Arial Unicode MS"/>
        <w:sz w:val="2"/>
        <w:szCs w:val="24"/>
        <w:lang w:val="en-US" w:eastAsia="en-GB"/>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rPr>
        <w:rFonts w:eastAsia="Arial Unicode MS"/>
        <w:szCs w:val="24"/>
        <w:lang w:val="en-US" w:eastAsia="en-GB"/>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36"/>
        <w:tab w:val="right" w:pos="9072"/>
      </w:tabs>
      <w:rPr>
        <w:rFonts w:eastAsia="Arial Unicode MS"/>
        <w:szCs w:val="24"/>
        <w:lang w:val="en-US"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fr-FR" w:vendorID="64" w:dllVersion="131078" w:nlCheck="1" w:checkStyle="0"/>
  <w:activeWritingStyle w:appName="MSWord" w:lang="en-US" w:vendorID="64" w:dllVersion="131078" w:nlCheck="1" w:checkStyle="1"/>
  <w:activeWritingStyle w:appName="MSWord" w:lang="fr-BE" w:vendorID="64" w:dllVersion="131078" w:nlCheck="1" w:checkStyle="0"/>
  <w:activeWritingStyle w:appName="MSWord" w:lang="en-GB" w:vendorID="64" w:dllVersion="131078" w:nlCheck="1" w:checkStyle="1"/>
  <w:revisionView w:inkAnnotations="0"/>
  <w:defaultTabStop w:val="720"/>
  <w:hyphenationZone w:val="425"/>
  <w:doNotHyphenateCaps/>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58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5:chartTrackingRefBased/>
  <w15:docId w15:val="{D8B3D854-64B8-456D-936A-52CA6CDF42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5998030">
      <w:marLeft w:val="0"/>
      <w:marRight w:val="0"/>
      <w:marTop w:val="0"/>
      <w:marBottom w:val="0"/>
      <w:divBdr>
        <w:top w:val="none" w:sz="0" w:space="0" w:color="auto"/>
        <w:left w:val="none" w:sz="0" w:space="0" w:color="auto"/>
        <w:bottom w:val="none" w:sz="0" w:space="0" w:color="auto"/>
        <w:right w:val="none" w:sz="0" w:space="0" w:color="auto"/>
      </w:divBdr>
    </w:div>
    <w:div w:id="495998031">
      <w:marLeft w:val="0"/>
      <w:marRight w:val="0"/>
      <w:marTop w:val="0"/>
      <w:marBottom w:val="0"/>
      <w:divBdr>
        <w:top w:val="none" w:sz="0" w:space="0" w:color="auto"/>
        <w:left w:val="none" w:sz="0" w:space="0" w:color="auto"/>
        <w:bottom w:val="none" w:sz="0" w:space="0" w:color="auto"/>
        <w:right w:val="none" w:sz="0" w:space="0" w:color="auto"/>
      </w:divBdr>
    </w:div>
    <w:div w:id="495998032">
      <w:marLeft w:val="0"/>
      <w:marRight w:val="0"/>
      <w:marTop w:val="0"/>
      <w:marBottom w:val="0"/>
      <w:divBdr>
        <w:top w:val="none" w:sz="0" w:space="0" w:color="auto"/>
        <w:left w:val="none" w:sz="0" w:space="0" w:color="auto"/>
        <w:bottom w:val="none" w:sz="0" w:space="0" w:color="auto"/>
        <w:right w:val="none" w:sz="0" w:space="0" w:color="auto"/>
      </w:divBdr>
    </w:div>
    <w:div w:id="495998033">
      <w:marLeft w:val="0"/>
      <w:marRight w:val="0"/>
      <w:marTop w:val="0"/>
      <w:marBottom w:val="0"/>
      <w:divBdr>
        <w:top w:val="none" w:sz="0" w:space="0" w:color="auto"/>
        <w:left w:val="none" w:sz="0" w:space="0" w:color="auto"/>
        <w:bottom w:val="none" w:sz="0" w:space="0" w:color="auto"/>
        <w:right w:val="none" w:sz="0" w:space="0" w:color="auto"/>
      </w:divBdr>
    </w:div>
    <w:div w:id="495998034">
      <w:marLeft w:val="0"/>
      <w:marRight w:val="0"/>
      <w:marTop w:val="0"/>
      <w:marBottom w:val="0"/>
      <w:divBdr>
        <w:top w:val="none" w:sz="0" w:space="0" w:color="auto"/>
        <w:left w:val="none" w:sz="0" w:space="0" w:color="auto"/>
        <w:bottom w:val="none" w:sz="0" w:space="0" w:color="auto"/>
        <w:right w:val="none" w:sz="0" w:space="0" w:color="auto"/>
      </w:divBdr>
    </w:div>
    <w:div w:id="495998035">
      <w:marLeft w:val="0"/>
      <w:marRight w:val="0"/>
      <w:marTop w:val="0"/>
      <w:marBottom w:val="0"/>
      <w:divBdr>
        <w:top w:val="none" w:sz="0" w:space="0" w:color="auto"/>
        <w:left w:val="none" w:sz="0" w:space="0" w:color="auto"/>
        <w:bottom w:val="none" w:sz="0" w:space="0" w:color="auto"/>
        <w:right w:val="none" w:sz="0" w:space="0" w:color="auto"/>
      </w:divBdr>
    </w:div>
    <w:div w:id="4959980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footer" Target="footer4.xml"/>
  <Relationship Id="rId23" Type="http://schemas.openxmlformats.org/officeDocument/2006/relationships/footer" Target="footer5.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6c3bcf6-0b5d-4383-a8bb-0547680a7877">
      <Terms xmlns="http://schemas.microsoft.com/office/infopath/2007/PartnerControls"/>
    </lcf76f155ced4ddcb4097134ff3c332f>
    <TaxCatchAll xmlns="e172dcd5-c174-4e8d-b39a-4fdd65fab44b"/>
    <_Flow_SignoffStatus xmlns="e6c3bcf6-0b5d-4383-a8bb-0547680a7877"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BBD447EB9AC3749A306175E4177894B" ma:contentTypeVersion="17" ma:contentTypeDescription="Create a new document." ma:contentTypeScope="" ma:versionID="7c5e0dc1f700b1001332841be3d4e44e">
  <xsd:schema xmlns:xsd="http://www.w3.org/2001/XMLSchema" xmlns:xs="http://www.w3.org/2001/XMLSchema" xmlns:p="http://schemas.microsoft.com/office/2006/metadata/properties" xmlns:ns2="e6c3bcf6-0b5d-4383-a8bb-0547680a7877" xmlns:ns3="e172dcd5-c174-4e8d-b39a-4fdd65fab44b" targetNamespace="http://schemas.microsoft.com/office/2006/metadata/properties" ma:root="true" ma:fieldsID="6f630282f088c335186b9048e0339328" ns2:_="" ns3:_="">
    <xsd:import namespace="e6c3bcf6-0b5d-4383-a8bb-0547680a7877"/>
    <xsd:import namespace="e172dcd5-c174-4e8d-b39a-4fdd65fab44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c3bcf6-0b5d-4383-a8bb-0547680a78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687cf0f-ed21-4aa2-96d1-c4151649b8da" ma:termSetId="09814cd3-568e-fe90-9814-8d621ff8fb84" ma:anchorId="fba54fb3-c3e1-fe81-a776-ca4b69148c4d" ma:open="true" ma:isKeyword="false">
      <xsd:complexType>
        <xsd:sequence>
          <xsd:element ref="pc:Terms" minOccurs="0" maxOccurs="1"/>
        </xsd:sequence>
      </xsd:complexType>
    </xsd:element>
    <xsd:element name="_Flow_SignoffStatus" ma:index="24"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72dcd5-c174-4e8d-b39a-4fdd65fab44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138e0fa-381e-4c4a-a747-6f468e51515f}" ma:internalName="TaxCatchAll" ma:showField="CatchAllData" ma:web="e172dcd5-c174-4e8d-b39a-4fdd65fab4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aabcfe8a3a224c97aec20f1e11f5a164" PartId="1f6da39e1d6643e488033edcfb61737d">
    <Part Type="preambule" DocPartId="b7bc40dd6df3462ca50c56659d0d0012" PartId="79cd89458f8b4e04a8a723df9915d7ef"/>
    <Part Type="lentele" DocPartId="42df64ed8cb4467d9880ed584369c771" PartId="0b0b98923c244bc899eba2c1c016d80a"/>
    <Part Type="punktas" Nr="1" Abbr="1 p." DocPartId="d80a273125334183b090227f22025e45" PartId="4700f085d7d34ee188d014313b9508b4"/>
    <Part Type="punktas" Nr="2" Abbr="2 p." DocPartId="4816bfd3e1a4493c9fd0523a3fe53b64" PartId="9ed6d8cc51ef4e62aebfb161303b6d30">
      <Part Type="papunktis" Nr="2.1" Abbr="2.1 pp." DocPartId="b9a63e330c534b1a88c22c8c579a9046" PartId="9a723d1761794b6086c18c681d68d7a2"/>
      <Part Type="papunktis" Nr="2.2" Abbr="2.2 pp." DocPartId="57f5a57014b5416990f7889cd19cc2d5" PartId="4edbd7ebdb594839b92f111c255e7d2b"/>
    </Part>
    <Part Type="punktas" Nr="3" Abbr="3 p." DocPartId="8cf64668a2f84beda6b6375a54bbfb6f" PartId="1967a2f103784e50accfdd813e2bb7eb"/>
    <Part Type="punktas" Nr="4" Abbr="4 p." DocPartId="c10cd5763002449fb039095cbd3cea9d" PartId="94abff6391d44cecb92b7e916d47fe21">
      <Part Type="papunktis" Nr="4.1" Abbr="4.1 pp." DocPartId="1bda3252e92c41d9a5a9ad14f281719e" PartId="2e5e0f9110c6425481aeabdde4d38d6e"/>
      <Part Type="papunktis" Nr="4.2" Abbr="4.2 pp." DocPartId="1e1500c0989c4cf1a51bd693dc6afb30" PartId="d32e921b93fe4351b08e0d5670182e38"/>
    </Part>
    <Part Type="punktas" Nr="5" Abbr="5 p." DocPartId="cfe9d3e48c1148f0ac88bd6bc4c7ff93" PartId="11be0e33e7aa474cb23fae91d0cce27e">
      <Part Type="papunktis" Nr="5.1" Abbr="5.1 pp." DocPartId="5a05d1b0209a4032809f1594f3cd6498" PartId="94fbcaaaccb34f9bb569d9a0b08bc16a">
        <Part Type="papunktis" Nr="5.1.1" Abbr="5.1.1 pp." DocPartId="8a0d84a360fd470493d5376d4d924741" PartId="12ed9fe8edd74c0ca7b71d9eae8304d4"/>
        <Part Type="papunktis" Nr="5.1.2" Abbr="5.1.2 pp." DocPartId="7f698c7eeea64080b72f0c32fba8a705" PartId="f9f15170ea21431bafc80a55a04e6440"/>
        <Part Type="papunktis" Nr="5.1.3" Abbr="5.1.3 pp." DocPartId="a3a6cfd39ad54150b2ac25b4749f1d8a" PartId="ab6bfa73181742dbaddcdbe467529b91"/>
        <Part Type="papunktis" Nr="5.1.4" Abbr="5.1.4 pp." DocPartId="ad28e4ee4cb244c0a9678a5030a4051c" PartId="c51ef0d7b0614740bcce5e5cdc1d85e2"/>
      </Part>
      <Part Type="papunktis" Nr="5.2" Abbr="5.2 pp." DocPartId="456615aef635417389c3d866b0cd6a3a" PartId="1be4f73d55bc4e469a53e6fdba01bcfe">
        <Part Type="papunktis" Nr="5.2.1" Abbr="5.2.1 pp." DocPartId="dadd3e5a02794239b4545be0140775d3" PartId="f4fc60100f334da18de33074f2e302ec"/>
        <Part Type="papunktis" Nr="5.2.2" Abbr="5.2.2 pp." DocPartId="cc0f250a62834408b1ef1897745507db" PartId="fd3510f0fd4744f0b89240091f76a45d"/>
        <Part Type="papunktis" Nr="5.2.3" Abbr="5.2.3 pp." DocPartId="49a73ce124854a5bbae69f58a5c08ad3" PartId="f9b048781b3d4e71a723154c35738bc1"/>
        <Part Type="papunktis" Nr="5.2.4" Abbr="5.2.4 pp." DocPartId="5bd877566ff14a9a9e18653a3051b57a" PartId="9c02741d66c24506920dca462a24c4d2"/>
        <Part Type="papunktis" Nr="5.2.5" Abbr="5.2.5 pp." DocPartId="5732c7af432e435e9118035b35c44720" PartId="38bf8016f7144ba99f822fdd66b3b306"/>
      </Part>
    </Part>
    <Part Type="punktas" Nr="6" Abbr="6 p." DocPartId="9f77c0a29bbe46f9915ae763846f28f2" PartId="07747c248aa144a290ef7677eabb1889">
      <Part Type="papunktis" Nr="6.1" Abbr="6.1 pp." DocPartId="5ab15025bcc34c2b8ea46ab04254228b" PartId="2116d9a3f595487f8605c82beb7d84da"/>
      <Part Type="papunktis" Nr="6.2" Abbr="6.2 pp." DocPartId="5d5ab911584c42b392fb479b663e7ad2" PartId="677ce62fb54a440b8e7bdeedd105250e"/>
      <Part Type="papunktis" Nr="6.3" Abbr="6.3 pp." DocPartId="147ba6acced74b3eaca8a84d9031f308" PartId="48c9edf89a7e4d1bafc30d0a1b159613"/>
      <Part Type="papunktis" Nr="6.4" Abbr="6.4 pp." DocPartId="a3b38a396a1b440b93e22c4d933c64ef" PartId="888f43135a014caba46440cf5391bd16"/>
      <Part Type="papunktis" Nr="6.5" Abbr="6.5 pp." DocPartId="321b8cf48dc24467a71fdab29bfea727" PartId="02831f8752824404bc25a8358c801535"/>
      <Part Type="papunktis" Nr="6.6" Abbr="6.6 pp." DocPartId="f0614b0288d041779121f984daafa958" PartId="8e9ddc95d7cb44b4a1996f4eb77a62f1"/>
      <Part Type="papunktis" Nr="6.7" Abbr="6.7 pp." DocPartId="db4503197b024d9db4056307ca0e9182" PartId="91a274f9beb04b18901fa03a55fbe3df"/>
      <Part Type="papunktis" Nr="6.8" Abbr="6.8 pp." DocPartId="025597ef767449f29635127d950edc71" PartId="d50ab30b21254e86a98352001f8bf706"/>
      <Part Type="papunktis" Nr="6.9" Abbr="6.9 pp." DocPartId="f85dfd3b4ab344d08749cd32891d2fab" PartId="6f5dbee943da41588b3effafbb340741"/>
      <Part Type="papunktis" Nr="6.10" Abbr="6.10 pp." DocPartId="0df1b4756b2c44dba9090004e4957a4a" PartId="362a95f0189b4c9b930f101eea888c8f"/>
      <Part Type="papunktis" Nr="6.11" Abbr="6.11 pp." DocPartId="ec131b6a66a64088ad98a3f0dd969116" PartId="a07f2ee3cd964b6580a72b66415627c2"/>
      <Part Type="papunktis" Nr="6.12" Abbr="6.12 pp." DocPartId="1e6ec2b1731f45b9b6f15d2f6b90cdfa" PartId="6d3f16f65c81439681431375544586dd"/>
      <Part Type="papunktis" Nr="6.13" Abbr="6.13 pp." DocPartId="836eb30b3c7849b2a3dd899d1e60e504" PartId="9e8315e4b546462bb01d1dc042b931fc"/>
      <Part Type="papunktis" Nr="6.14" Abbr="6.14 pp." DocPartId="984638d4a43b4fbabb70e0ae0d675b09" PartId="1023c32ab64645a9a9fd87e0a021b855"/>
      <Part Type="papunktis" Nr="6.15" Abbr="6.15 pp." DocPartId="c8a9ebcdda904637b4236094de5909b0" PartId="b8258aaaee254f9f8898cb609a9f9749"/>
      <Part Type="papunktis" Nr="6.16" Abbr="6.16 pp." DocPartId="49fda86871ef48ff9469842595a38093" PartId="1d15256afaf6461db496a21a23ee33d5"/>
    </Part>
    <Part Type="skyrius" Nr="999" DocPartId="10fc4566c1fd49c88373348b2848411c" PartId="22d4d869a1854a7b9d262e4883e82a6e">
      <Part Type="punktas" Nr="7" Abbr="7 p." DocPartId="4d504f67fcce4263b76995ffbf58e726" PartId="773d6d2705104132b31b862e4e66c8e3">
        <Part Type="papunktis" Nr="7.1" Abbr="7.1 pp." DocPartId="615c6edab5364b07a8469ad6f731eea2" PartId="7bcbab3298984ad99d6c236d24d32cc7"/>
        <Part Type="papunktis" Nr="7.2" Abbr="7.2 pp." DocPartId="cf069245fb1849d9a0a47aa964606dac" PartId="775595b3734a430c990b7a9bed871190"/>
        <Part Type="papunktis" Nr="7.3" Abbr="7.3 pp." DocPartId="337650b311a248f7bf40d4c34ae62c89" PartId="cf83550378554c7b96aa702d2be5c4b4"/>
      </Part>
      <Part Type="punktas" Nr="8" Abbr="8 p." DocPartId="79c53db6fe444402ae52a0850a554a23" PartId="f63917355b5a4f30bb6febc7fd8f5237">
        <Part Type="papunktis" Nr="8.1" Abbr="8.1 pp." DocPartId="149ab759276b493c8b1bfdd10955772c" PartId="9fead563a5aa45e488e1657d9225021d"/>
        <Part Type="papunktis" Nr="8.2" Abbr="8.2 pp." DocPartId="6f229b72a5e242e9ac0486e5931065a8" PartId="c14258f8b91740728892dec63e6f80a7"/>
        <Part Type="papunktis" Nr="8.3" Abbr="8.3 pp." DocPartId="4fd8d0136b39470d979ab3ecd415a43b" PartId="b78c874c5fcf4153877255d7b5141880"/>
        <Part Type="papunktis" Nr="8.4" Abbr="8.4 pp." DocPartId="531ce4ea7ec44beea21e3e6cb663b82d" PartId="d1ec1df35a4a42aabde11c839e68cbc9"/>
      </Part>
      <Part Type="punktas" Nr="9" Abbr="9 p." DocPartId="3e4d8905e88c4def8ea2fb98be909bd0" PartId="3979372898f7446d8f81ca2d4ce9230e">
        <Part Type="papunktis" Nr="9.1" Abbr="9.1 pp." DocPartId="a786b1c247fc416991e9f2c9cec66ab3" PartId="ff7d7a6504a84b329400e3e7de299090"/>
        <Part Type="papunktis" Nr="9.2" Abbr="9.2 pp." DocPartId="0100741c520f4a46809530de3251c14f" PartId="a8d8c01bd1ac4a538e0b5bab2b9be79c"/>
        <Part Type="papunktis" Nr="9.3" Abbr="9.3 pp." DocPartId="07d63afb997f4b4b84ab698686d24489" PartId="14c2eed813074560b5fe0e6438a3e78c"/>
      </Part>
      <Part Type="punktas" Nr="10" Abbr="10 p." DocPartId="7b1b3f2267cc489d9e546d2f45e6bd20" PartId="20e0814995af445f866579b7a13a633c"/>
      <Part Type="punktas" Nr="1" Abbr="1 p." Notes="Numeris ne iš eilės. Trūksta dalių? [DocDalys]" DocPartId="d61826c1b4b14463b90f5cde979c2a70" PartId="f4b0430119f24d4cab1027cb4bf66993"/>
      <Part Type="punktas" Nr="2" Abbr="2 p." DocPartId="cee1ad5b932742d8bcdb3d67ea18fd0a" PartId="b6f7c2a1589c4b12ace5bda28b63876d"/>
      <Part Type="punktas" Nr="3" Abbr="3 p." DocPartId="3ad5123de7bb47aba502bfd8d2b0d3a5" PartId="104683b52aac462a830351e1414da379"/>
      <Part Type="punktas" Nr="4" Abbr="4 p." DocPartId="0dc4c7edc55c4dcc849405da51439ad9" PartId="ebc889d1853d4b04bcb84a2b63df0a8e"/>
      <Part Type="punktas" Nr="5" Abbr="5 p." DocPartId="9bfcbc6f5abe43579fa6db7888cf0aa7" PartId="775f831de55f4ac8b1c746498374995e"/>
      <Part Type="punktas" Nr="6" Abbr="6 p." DocPartId="a1252645e8bc49cebe9add3b6ba77085" PartId="7279dc4965bf47a3833eb9802b841d20"/>
      <Part Type="punktas" Nr="7" Abbr="7 p." DocPartId="70018f9d7d0a40fea0bf2dc22b07c17d" PartId="4caa6f5356914b91ae6e2f9fa9b55157"/>
      <Part Type="punktas" Nr="8" Abbr="8 p." DocPartId="a75b810327404c9bb706c6a1df554648" PartId="b094107506304839bebbf468d1e0bdc6"/>
      <Part Type="punktas" Nr="9" Abbr="9 p." DocPartId="2a2d3ec4b53b45c0ad74b7c2b6567021" PartId="102ae95d3134450b9101c7c8ddd45f5b"/>
      <Part Type="punktas" Nr="10" Abbr="10 p." DocPartId="1deec4e4b7824737a2346f801fda7aa3" PartId="2968054f428e4e51b6899905b2ae05e0">
        <Part Type="papunktis" Nr="10.1" Abbr="10.1 pp." DocPartId="5ad909475c46424d8580f19be88b2233" PartId="19e88f98ce844065b79e03c301f02383"/>
        <Part Type="papunktis" Nr="10.2" Abbr="10.2 pp." DocPartId="12cad1341f184be38e6cd66be74749ce" PartId="03e418c5d0ab4a93af84519f4d14f482">
          <Part Type="papunktis" Nr="10.2.1" Abbr="10.2.1 pp." DocPartId="95e1347c524944b6a4acf4506ce90a85" PartId="45473d6fff43479ba6e9b54eb97e9f74"/>
          <Part Type="papunktis" Nr="10.2.2" Abbr="10.2.2 pp." DocPartId="1d0fdb91bdbf4d2da092440a16141c90" PartId="a8fc3d66ab9a41cf94b545e1046d070c"/>
        </Part>
        <Part Type="papunktis" Nr="10.3" Abbr="10.3 pp." DocPartId="9140c9585bd546949226a1e74915cb4d" PartId="231b064d520a48e7867a05c7196f885e">
          <Part Type="papunktis" Nr="10.3.1" Abbr="10.3.1 pp." DocPartId="551c9f3e594e40b4b545b309bac3e2c4" PartId="c4bafedc94fc441884d9c4bbc52e4305"/>
          <Part Type="papunktis" Nr="10.3.2" Abbr="10.3.2 pp." DocPartId="8de93ab873b343088690de0d9c9e1cc5" PartId="04168a0919ec40ceb851a55f1b3f0360"/>
        </Part>
        <Part Type="papunktis" Nr="10.4" Abbr="10.4 pp." DocPartId="633f07f5502c47c19e1c380c54434500" PartId="39f4fa761e1c493d841eb2d610ff7e3e">
          <Part Type="papunktis" Nr="10.4.1" Abbr="10.4.1 pp." DocPartId="9065b27d6a1340c79a00ee24b5ad6fd7" PartId="7db93493eabd4332a9bcd3511f3b083e"/>
          <Part Type="papunktis" Nr="10.4.2" Abbr="10.4.2 pp." DocPartId="4e1926641a67466d980448317d2aa3a3" PartId="28d09c5820d94139ad52e2181926ef30"/>
        </Part>
        <Part Type="papunktis" Nr="10.5" Abbr="10.5 pp." DocPartId="edf7c444bfa04a8b8d1f2bb719b30076" PartId="db86b143b2d74f979004bf05858516b0">
          <Part Type="papunktis" Nr="10.5.1" Abbr="10.5.1 pp." DocPartId="01bd422c883c4c059041e453692f4853" PartId="d5f2ca8c864c40ee90aadf793d5aba42"/>
          <Part Type="papunktis" Nr="10.5.2" Abbr="10.5.2 pp." DocPartId="8449b9a3432c44148a46f7027485b4da" PartId="6223d86258bb49febcc9448e991d0b3a"/>
          <Part Type="papunktis" Nr="10.5.3" Abbr="10.5.3 pp." DocPartId="41bca30917514ea590d798884c92d390" PartId="7f62dc3392494aa2bdd78039370a2164"/>
        </Part>
      </Part>
      <Part Type="punktas" Nr="11" Abbr="11 p." DocPartId="4250a9e7d35746a3a144b6058e61870e" PartId="9aa592a218b04366a27c94e471365f78"/>
      <Part Type="punktas" Nr="12" Abbr="12 p." DocPartId="3b095e6259514105a51fd6ff96c5ca4c" PartId="5b4176433fc04555af8ae9340d912728"/>
      <Part Type="punktas" Nr="11" Abbr="11 p." Notes="Numeris ne iš eilės. Trūksta dalių? [DocDalys]" DocPartId="7e84e01cd39e441a8aae4d96756edc63" PartId="572ded261a034528834d41fe1a2f9f81"/>
      <Part Type="punktas" Nr="12" Abbr="12 p." DocPartId="f3d9178c1f57448e9f5d4570c121cfb8" PartId="996d894e7ab84a89a3efc75540cde248">
        <Part Type="papunktis" Nr="12.1" Abbr="12.1 pp." DocPartId="93a2561e619f4f45aa1d84a2bde56197" PartId="d083be26317f40d299c2fd2dfcdae926"/>
        <Part Type="papunktis" Nr="12.2" Abbr="12.2 pp." DocPartId="67f76ff9f18d4efbb4972f8d397130b0" PartId="e53190535b1e41f980334bb329348116"/>
        <Part Type="papunktis" Nr="12.3" Abbr="12.3 pp." DocPartId="e83ee9ebe64742dfbc00fb0d70fb2884" PartId="87df1f2c153d47b799383d5011dce6a4"/>
        <Part Type="papunktis" Nr="12.4" Abbr="12.4 pp." DocPartId="891c2d9878d345ea9c033e2759ff4309" PartId="e33294fc6b1146ef8e9511326d6bcf56"/>
        <Part Type="papunktis" Nr="12.5" Abbr="12.5 pp." DocPartId="5f72d679f57a464d89a5314a07770d73" PartId="a60f564479ea4b9c832ef9e94d010813"/>
        <Part Type="papunktis" Nr="12.1" Abbr="12.1 pp." Notes="Numeris ne iš eilės. Trūksta dalių? [DocDalys]" DocPartId="617cde13b06d4157af5bec712444a3e4" PartId="e567d31c915741e88a3adc5698c8e3f7"/>
      </Part>
      <Part Type="poskyris" Title="AUSTRIJOS RESPUBLIKOS FEDERALINĖS GYNYBOS MINISTERIJOS VARDU" DocPartId="56e369b52c8c4cf5a5565c316a4bde4a" PartId="4f10a7906a564ffab5c19c81b45d64f2"/>
      <Part Type="poskyris" Title="KROATIJOS RESPUBLIKOS GYNYBOS MINISTERIJOS VARDU" DocPartId="34983d765a884f85b9fe9da1f8a87fc3" PartId="279fc37d15f84e99825bba29e5fb58d3"/>
      <Part Type="poskyris" Title="KIPRO RESPUBLIKOS GYNYBOS MINISTERIJOS VARDU" DocPartId="fa045d53916c47d995253030dd2d0f9d" PartId="36a1f79f45c5499e9bf287bb063e042f"/>
      <Part Type="poskyris" Title="PRANCŪZIJOS RESPUBLIKOS GINKLUOTŲJŲ PAJĖGŲ MINISTRO VARDU" DocPartId="2efec296e57c4f2a9e89c4012043b875" PartId="d9c721263b19417598bc8365cbc0e25f"/>
      <Part Type="poskyris" Title="GRAIKIJOS RESPUBLIKOS NACIONALINĖS GYNYBOS MINISTERIJOS VARDU" DocPartId="534ab5e760ac4ac89c3e72d8d1133cb5" PartId="8c3fa7b7a53f4695b1fb16bf8ee9c197"/>
      <Part Type="poskyris" Title="AIRIJOS GYNYBOS MINISTRO VARDU" DocPartId="8e8a68edcc0e4585adf5f3f8fe4a41ce" PartId="6c43b5ee739f432a9c52b0f3a2b4332f"/>
      <Part Type="poskyris" Title="LATVIJOS RESPUBLIKOS GYNYBOS MINISTERIJOS VARDU" DocPartId="156f8582180d4ef2ba6b519f9db4e377" PartId="ba7a03c7b5bc48099a4d39f99c9311ae"/>
      <Part Type="poskyris" Title="LIETUVOS RESPUBLIKOS GYNYBOS MINISTERIJOS VARDU" DocPartId="1971d94a076d425aa0d57524a2de34e0" PartId="d8547a178ad748eb888bbe31fb6796b4"/>
      <Part Type="poskyris" Title="PORTUGALIJOS RESPUBLIKOS KRAŠTO APSAUGOS MINISTERIJOS VARDU" DocPartId="588a201024d04f5fb8c12db93f4620c5" PartId="5035e4f870404f8297943dc61c33b303"/>
      <Part Type="poskyris" Title="RUMUNIJOS KRAŠTO APSAUGOS MINISTERIJOS VARDU" DocPartId="68c36238d6454c22b3748629dbc4c706" PartId="219a6bd0c2a1411c8ff4344d03da5b34"/>
      <Part Type="poskyris" Title="SLOVAKIJOS RESPUBLIKOS GYNYBOS MINISTERIJOS VARDU" DocPartId="bf5766f27f6f44e9b83adc63dedfbbfb" PartId="bb8ee80e1a804ef0a701e692c7363e1e"/>
      <Part Type="poskyris" Title="Pagrindinės organizacijos" DocPartId="d0a617b550f043b79b5d9784dd28107f" PartId="aca8cdcd5e304ea9bb849554d0afb9df"/>
      <Part Type="poskyris" Title="PAMG NARYSTĖ" DocPartId="0318b6e9536640e3b764534594b9837d" PartId="7bdbeab38b39430887cb19f3e545063a"/>
      <Part Type="poskyris" Title="Rašytinis įsakymas (WO)" DocPartId="59a39932464540819e1687d0c9ffc6cc" PartId="18f6e2ed759b45b187c2c31aee36ed20"/>
      <Part Type="poskyris" Title="Prisijungimo pareiškimas dėl naujos CM priėmimo" DocPartId="d921bfa6559c43538c92393a13b9ce6d" PartId="af6d86c56d6b47c8abcef719f01cd2ae"/>
    </Part>
  </Part>
</Parts>
</file>

<file path=customXml/itemProps1.xml><?xml version="1.0" encoding="utf-8"?>
<ds:datastoreItem xmlns:ds="http://schemas.openxmlformats.org/officeDocument/2006/customXml" ds:itemID="{E1436DCF-1855-4DC3-AA93-1255992E71D7}">
  <ds:schemaRefs>
    <ds:schemaRef ds:uri="http://purl.org/dc/elements/1.1/"/>
    <ds:schemaRef ds:uri="http://schemas.openxmlformats.org/package/2006/metadata/core-properties"/>
    <ds:schemaRef ds:uri="e6c3bcf6-0b5d-4383-a8bb-0547680a7877"/>
    <ds:schemaRef ds:uri="http://purl.org/dc/terms/"/>
    <ds:schemaRef ds:uri="http://schemas.microsoft.com/office/2006/documentManagement/types"/>
    <ds:schemaRef ds:uri="http://schemas.microsoft.com/office/2006/metadata/properties"/>
    <ds:schemaRef ds:uri="http://schemas.microsoft.com/office/infopath/2007/PartnerControls"/>
    <ds:schemaRef ds:uri="e172dcd5-c174-4e8d-b39a-4fdd65fab44b"/>
    <ds:schemaRef ds:uri="http://www.w3.org/XML/1998/namespace"/>
    <ds:schemaRef ds:uri="http://purl.org/dc/dcmitype/"/>
  </ds:schemaRefs>
</ds:datastoreItem>
</file>

<file path=customXml/itemProps2.xml><?xml version="1.0" encoding="utf-8"?>
<ds:datastoreItem xmlns:ds="http://schemas.openxmlformats.org/officeDocument/2006/customXml" ds:itemID="{40418CD1-52E1-40F0-A8D2-FDB5019C0C56}">
  <ds:schemaRefs>
    <ds:schemaRef ds:uri="http://schemas.microsoft.com/sharepoint/v3/contenttype/forms"/>
  </ds:schemaRefs>
</ds:datastoreItem>
</file>

<file path=customXml/itemProps3.xml><?xml version="1.0" encoding="utf-8"?>
<ds:datastoreItem xmlns:ds="http://schemas.openxmlformats.org/officeDocument/2006/customXml" ds:itemID="{D6B2DDCF-30DD-4B89-B025-4454F46FF7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c3bcf6-0b5d-4383-a8bb-0547680a7877"/>
    <ds:schemaRef ds:uri="e172dcd5-c174-4e8d-b39a-4fdd65fab4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6F6EC2C-6814-40EA-A50D-2279B6654ECC}">
  <ds:schemaRefs>
    <ds:schemaRef ds:uri="http://schemas.openxmlformats.org/officeDocument/2006/bibliography"/>
  </ds:schemaRefs>
</ds:datastoreItem>
</file>

<file path=customXml/itemProps5.xml><?xml version="1.0" encoding="utf-8"?>
<ds:datastoreItem xmlns:ds="http://schemas.openxmlformats.org/officeDocument/2006/customXml" ds:itemID="{C738F32C-EE4B-494D-B6BD-14E1CFA1D0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3987</Words>
  <Characters>28313</Characters>
  <Application>Microsoft Office Word</Application>
  <DocSecurity>4</DocSecurity>
  <Lines>943</Lines>
  <Paragraphs>442</Paragraphs>
  <ScaleCrop>false</ScaleCrop>
  <HeadingPairs>
    <vt:vector size="6" baseType="variant">
      <vt:variant>
        <vt:lpstr>Title</vt:lpstr>
      </vt:variant>
      <vt:variant>
        <vt:i4>1</vt:i4>
      </vt:variant>
      <vt:variant>
        <vt:lpstr>Pavadinimas</vt:lpstr>
      </vt:variant>
      <vt:variant>
        <vt:i4>1</vt:i4>
      </vt:variant>
      <vt:variant>
        <vt:lpstr>Antraštės</vt:lpstr>
      </vt:variant>
      <vt:variant>
        <vt:i4>18</vt:i4>
      </vt:variant>
    </vt:vector>
  </HeadingPairs>
  <TitlesOfParts>
    <vt:vector size="20" baseType="lpstr">
      <vt:lpstr/>
      <vt:lpstr/>
      <vt:lpstr>Įvadas</vt:lpstr>
      <vt:lpstr>Tikslas</vt:lpstr>
      <vt:lpstr>Dalyvavimas</vt:lpstr>
      <vt:lpstr>PA valdymas ir administravimas</vt:lpstr>
      <vt:lpstr>EGA vaidmuo</vt:lpstr>
      <vt:lpstr>Finansinės nuostatos</vt:lpstr>
      <vt:lpstr>Pretenzijos ir įsipareigojimai</vt:lpstr>
      <vt:lpstr>Ginčų sprendimas</vt:lpstr>
      <vt:lpstr>Apsauga</vt:lpstr>
      <vt:lpstr>Trukmė, pakeitimas, nutraukimas ir atšaukimas</vt:lpstr>
      <vt:lpstr>Specialiosios nuostatos</vt:lpstr>
      <vt:lpstr>Parašas ir įsigaliojimo data</vt:lpstr>
      <vt:lpstr>    </vt:lpstr>
      <vt:lpstr>    </vt:lpstr>
      <vt:lpstr>    </vt:lpstr>
      <vt:lpstr>    Ši PA bus pasirašyta anglų ir prancūzų kalbomis, kiekviena versija yra vienodai </vt:lpstr>
      <vt:lpstr>    Originalai saugomi EGA, o kiekvienai cM bus išsiųsta po vieną patvirtintą kopiją</vt:lpstr>
      <vt:lpstr>Pagrindinės organizacijos</vt:lpstr>
    </vt:vector>
  </TitlesOfParts>
  <Company>European Defence Agency</Company>
  <LinksUpToDate>false</LinksUpToDate>
  <CharactersWithSpaces>31858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2023-04-24T05:07:00Z</dcterms:created>
  <dc:creator>BAUER Jure</dc:creator>
  <lastModifiedBy>adlibuser</lastModifiedBy>
  <lastPrinted>2022-12-20T19:21:00Z</lastPrinted>
  <dcterms:modified xsi:type="dcterms:W3CDTF">2023-04-24T05:07:00Z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0x010100FBBD447EB9AC3749A306175E4177894B</vt:lpwstr>
  </property>
  <property fmtid="{D5CDD505-2E9C-101B-9397-08002B2CF9AE}" pid="3" name="_dlc_DocIdItemGuid">
    <vt:lpwstr>d18b1da4-60fe-41f0-8dd3-c7c5dacc5aa4</vt:lpwstr>
  </property>
  <property fmtid="{D5CDD505-2E9C-101B-9397-08002B2CF9AE}" pid="4" name="Order">
    <vt:r8>2300</vt:r8>
  </property>
  <property fmtid="{D5CDD505-2E9C-101B-9397-08002B2CF9AE}" pid="5" name="MediaServiceImageTags">
    <vt:lpwstr/>
  </property>
</Properties>
</file>