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eed567af635444f80aabd9c834f1cdc"/>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3D6E990E" wp14:editId="56F2909E">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2025-</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146dc491ef084e5db1473ae95e1c924c"/>
        <w:lock w:val="sdtLocked"/>
        <w:richText/>
      </w:sdtPr>
      <w:sdtContent>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 xml:space="preserve">Aplinkos ministerija teikia derinti </w:t>
          </w:r>
          <w:r>
            <w:rPr>
              <w:rFonts w:eastAsia="Andale Sans UI" w:cs="Tahoma"/>
              <w:szCs w:val="24"/>
              <w:lang w:bidi="en-US"/>
            </w:rPr>
            <w:t xml:space="preserve">Lietuvos Respublikos aplinkos ministro įsakymo „Dėl Lietuvos Respublikos aplinkos ministro 2023 m. gruodžio 12 d. įsakymo Nr. D1-406 „Dėl </w:t>
          </w:r>
          <w:r>
            <w:rPr>
              <w:color w:val="000000"/>
              <w:szCs w:val="24"/>
              <w:lang w:bidi="en-US"/>
            </w:rPr>
            <w:t xml:space="preserve">Detalių vėjo elektrinių reikšmingo neigiamo poveikio </w:t>
          </w:r>
          <w:r>
            <w:rPr>
              <w:szCs w:val="24"/>
              <w:lang w:bidi="en-US"/>
            </w:rPr>
            <w:t>paukščiams ir šikšnosparniams</w:t>
          </w:r>
          <w:r>
            <w:rPr>
              <w:color w:val="000000"/>
              <w:szCs w:val="24"/>
              <w:lang w:bidi="en-US"/>
            </w:rPr>
            <w:t xml:space="preserve"> kriterijų, </w:t>
          </w:r>
          <w:r>
            <w:rPr>
              <w:szCs w:val="24"/>
              <w:lang w:bidi="en-US"/>
            </w:rPr>
            <w:t xml:space="preserve"> reikšmingo neigiamo poveikio paukščiams ir šikšnosparniams prevencijos ir mažinimo priemonių taikymo ir tyrimų reikalavimų aprašo patvirtinimo</w:t>
          </w:r>
          <w:r>
            <w:rPr>
              <w:rFonts w:eastAsia="Andale Sans UI" w:cs="Tahoma"/>
              <w:color w:val="000000"/>
              <w:szCs w:val="24"/>
              <w:lang w:eastAsia="lt-LT" w:bidi="en-US"/>
            </w:rPr>
            <w:t>“</w:t>
          </w:r>
          <w:r>
            <w:rPr>
              <w:rFonts w:eastAsia="Arial Unicode MS" w:cs="Tahoma"/>
              <w:szCs w:val="24"/>
              <w:lang w:bidi="en-US"/>
            </w:rPr>
            <w:t xml:space="preserve"> pakeitimo“ </w:t>
          </w:r>
          <w:r>
            <w:rPr>
              <w:rFonts w:eastAsia="Andale Sans UI" w:cs="Tahoma"/>
              <w:szCs w:val="24"/>
              <w:lang w:bidi="en-US"/>
            </w:rPr>
            <w:t>projektą (toliau – Projektas).</w:t>
          </w:r>
        </w:p>
        <w:sdt>
          <w:sdtPr>
            <w:alias w:val="1 p."/>
            <w:tag w:val="part_96b6bd6473fd4af0b099b664333c23f4"/>
            <w:lock w:val="sdtLocked"/>
            <w:richText/>
          </w:sdtPr>
          <w:sdtContent>
            <w:p>
              <w:pPr>
                <w:spacing w:line="276" w:lineRule="auto"/>
                <w:ind w:firstLine="567"/>
                <w:jc w:val="both"/>
                <w:rPr>
                  <w:rFonts w:eastAsia="Andale Sans UI"/>
                  <w:szCs w:val="24"/>
                  <w:lang w:bidi="en-US"/>
                </w:rPr>
              </w:pPr>
              <w:sdt>
                <w:sdtPr>
                  <w:alias w:val="Numeris"/>
                  <w:tag w:val="nr_96b6bd6473fd4af0b099b664333c23f4"/>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pacing w:line="276" w:lineRule="auto"/>
                <w:ind w:firstLine="567"/>
                <w:jc w:val="both"/>
                <w:rPr>
                  <w:rFonts w:eastAsia="Andale Sans UI" w:cs="Tahoma"/>
                  <w:szCs w:val="24"/>
                  <w:lang w:bidi="en-US"/>
                </w:rPr>
              </w:pPr>
              <w:r>
                <w:rPr>
                  <w:rFonts w:eastAsia="Andale Sans UI" w:cs="Tahoma"/>
                  <w:szCs w:val="24"/>
                  <w:lang w:bidi="en-US"/>
                </w:rPr>
                <w:t>Projektas parengtas atsižvelgus į viršesnį viešąjį interesą ir visuomenės sveikatos ir saugos tikslą, įtvirtintą Europos Sąjungoje jau keletą metų, bet tik dabar įsitvirtinantį Lietuvos teisiniame reguliavime, tačiau menkai atsispindinčiame instituciniuose veiksmuose; siekiant mažinti administracinę naštą (perteklinius reikalavimus); vertinant faktinį išimtinai reguliuojamos planuojamos ūkinės veiklos poveikį aplinkos komponentams, remiantis kitų valstybių praktika, Europos Komisijos ir tarptautinių ornitologų organizacijų rekomendacijomis ir duomenimis, taip pat</w:t>
              </w:r>
              <w:r>
                <w:rPr>
                  <w:rFonts w:eastAsia="Andale Sans UI" w:cs="Tahoma"/>
                  <w:b/>
                  <w:bCs/>
                  <w:szCs w:val="24"/>
                  <w:lang w:bidi="en-US"/>
                </w:rPr>
                <w:t xml:space="preserve"> </w:t>
              </w:r>
              <w:r>
                <w:rPr>
                  <w:rFonts w:eastAsia="Andale Sans UI" w:cs="Tahoma"/>
                  <w:szCs w:val="24"/>
                  <w:lang w:bidi="en-US"/>
                </w:rPr>
                <w:t xml:space="preserve">vėjo elektrinių parkų plėtotojų reiškiamą kritiką, kad </w:t>
              </w:r>
              <w:r>
                <w:rPr>
                  <w:rFonts w:eastAsia="Andale Sans UI"/>
                  <w:szCs w:val="24"/>
                  <w:lang w:bidi="en-US"/>
                </w:rPr>
                <w:t xml:space="preserve">Detalių vėjo elektrinių reikšmingo neigiamo poveikio paukščiams ir šikšnosparniams kriterijų, reikšmingo neigiamo poveikio paukščiams ir šikšnosparniams prevencijos ir mažinimo priemonių taikymo ir tyrimų reikalavimų aprašo (toliau – Aprašas) nuostatos ne tik nesukūrė teisinio aiškumo, nepanaikino subjektyvių sprendimų rizikos, tačiau tapo itin sudėtingai įveikiamu barjeru atsinaujinančių išteklių energetikos, kaip energetinės nepriklausomybės garanto, plėtrai ir galimybėms atsirasti iš esmės bet kurioje Lietuvos Respublikos teritorijoje. </w:t>
              </w:r>
            </w:p>
            <w:p>
              <w:pPr>
                <w:spacing w:line="276" w:lineRule="auto"/>
                <w:ind w:firstLine="567"/>
                <w:jc w:val="both"/>
                <w:rPr>
                  <w:rFonts w:eastAsia="Andale Sans UI"/>
                  <w:szCs w:val="24"/>
                  <w:lang w:bidi="en-US"/>
                </w:rPr>
              </w:pPr>
              <w:r>
                <w:rPr>
                  <w:rFonts w:eastAsia="Andale Sans UI" w:cs="Tahoma"/>
                  <w:szCs w:val="24"/>
                  <w:lang w:bidi="en-US"/>
                </w:rPr>
                <w:t>Aplinkos ministerija identifikavo, kad</w:t>
              </w:r>
              <w:r>
                <w:rPr>
                  <w:rFonts w:eastAsia="Andale Sans UI"/>
                  <w:szCs w:val="24"/>
                  <w:lang w:bidi="en-US"/>
                </w:rPr>
                <w:t xml:space="preserve"> Aprašo</w:t>
              </w:r>
              <w:r>
                <w:rPr>
                  <w:rFonts w:eastAsia="Andale Sans UI" w:cs="Tahoma"/>
                  <w:szCs w:val="24"/>
                  <w:lang w:bidi="en-US"/>
                </w:rPr>
                <w:t xml:space="preserve"> </w:t>
              </w:r>
              <w:r>
                <w:rPr>
                  <w:rFonts w:eastAsia="Andale Sans UI"/>
                  <w:szCs w:val="24"/>
                  <w:lang w:bidi="en-US"/>
                </w:rPr>
                <w:t xml:space="preserve">taikymas netapo aiškiu instrumentu institucijoms priimant sprendimus dėl planuojamų vėjo elektrinių poveikio paukščiams ir šikšnosparniams, kylantys ginčai, trukmė, tyrimų peržiūros ir naujų reikalavimų nustatymai, net kompetentingų specialistų tyrimų duomenų paneigimas ar atskirų ekspertų paslaugų pirkimas tapo chaotiško ir objektyviai nepagrindžiamo sprendimų priėmimo instrumentu. Turimais Europos Sąjungos ir Lietuvos duomenimis, paukščių ir šikšnosparnių žūtys nuo vėjo elektrinių nepatenka į sąrašą dešimties dažniausių ūkinių veiklų, darančių didžiausią poveikį tokiam neigiamam reiškiniu, tačiau nei vienai iš aukščiau esančių ūkinių veiklų poveikis aplinkai net nėra vertinamas, įskaitant ir poveikį paukščiams (pastatai, žemdirbystė, transportas ir pan.). </w:t>
              </w:r>
            </w:p>
          </w:sdtContent>
        </w:sdt>
        <w:sdt>
          <w:sdtPr>
            <w:alias w:val="2 p."/>
            <w:tag w:val="part_202b80bbb4c04532988a0b6b80849f20"/>
            <w:lock w:val="sdtLocked"/>
            <w:richText/>
          </w:sdtPr>
          <w:sdtContent>
            <w:p>
              <w:pPr>
                <w:spacing w:line="276" w:lineRule="auto"/>
                <w:ind w:firstLine="567"/>
                <w:jc w:val="both"/>
                <w:rPr>
                  <w:rFonts w:eastAsia="Andale Sans UI"/>
                  <w:szCs w:val="24"/>
                  <w:lang w:bidi="en-US"/>
                </w:rPr>
              </w:pPr>
              <w:sdt>
                <w:sdtPr>
                  <w:alias w:val="Numeris"/>
                  <w:tag w:val="nr_202b80bbb4c04532988a0b6b80849f20"/>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spacing w:line="276" w:lineRule="auto"/>
                <w:ind w:firstLine="567"/>
                <w:jc w:val="both"/>
                <w:rPr>
                  <w:rFonts w:eastAsia="Andale Sans UI" w:cs="Tahoma"/>
                  <w:szCs w:val="24"/>
                  <w:lang w:bidi="en-US"/>
                </w:rPr>
              </w:pPr>
              <w:r>
                <w:rPr>
                  <w:rFonts w:eastAsia="Andale Sans UI"/>
                  <w:szCs w:val="24"/>
                  <w:lang w:bidi="en-US"/>
                </w:rPr>
                <w:t>Aplinkos ministro įsakymas, kuriuo patvirtintas Aprašas, išdėstomas nauja redakcija. S</w:t>
              </w:r>
              <w:r>
                <w:rPr>
                  <w:rFonts w:eastAsia="Andale Sans UI" w:cs="Tahoma"/>
                  <w:szCs w:val="24"/>
                  <w:lang w:bidi="en-US"/>
                </w:rPr>
                <w:t xml:space="preserve">iūloma: </w:t>
              </w:r>
            </w:p>
            <w:p>
              <w:pPr>
                <w:spacing w:line="276" w:lineRule="auto"/>
                <w:ind w:firstLine="567"/>
                <w:jc w:val="both"/>
                <w:rPr>
                  <w:rFonts w:eastAsia="Andale Sans UI" w:cs="Tahoma"/>
                  <w:szCs w:val="24"/>
                  <w:lang w:bidi="en-US"/>
                </w:rPr>
              </w:pPr>
              <w:r>
                <w:rPr>
                  <w:rFonts w:eastAsia="Andale Sans UI" w:cs="Tahoma"/>
                  <w:szCs w:val="24"/>
                  <w:lang w:bidi="en-US"/>
                </w:rPr>
                <w:t xml:space="preserve">- atsisakyti Aprašu nustatomų paukščių ir šikšnosparnių tyrimų, atliekamų PAV dokumentų rengimo metu, ir monitoringo, atliekamo pradėjus eksploatuoti vėjo elektrines, reikalavimų, nes </w:t>
              </w:r>
              <w:r>
                <w:rPr>
                  <w:rFonts w:eastAsia="Andale Sans UI"/>
                  <w:szCs w:val="24"/>
                  <w:lang w:bidi="en-US"/>
                </w:rPr>
                <w:t>tyrimų metodikos nustatymas įsakyme išimtinai dėl vėjo elektrinių sukuria prielaidas manyti ir nesuteikia teisės reikalauti, kad kitose ūkinėse veiklos toks paukščių stebėjimas ir vertinimas taip pat turėtų ir galėtų būti atliekamas, jei tam yra objektyvių priežasčių. Todėl paukščių ir šikšnosparnių stebėjimo ir tyrimo reikalavimai, metodikos turi būti peržiūrimi iš naujo, unifikuojami ir tvirtinami atskiru tvarkos aprašu ar kitu dokumentu, kuriuo remiantis tokie reikalavimai galėtų būti taikomi ne tik vėjo elektrinių veiklai;</w:t>
              </w:r>
            </w:p>
            <w:p>
              <w:pPr>
                <w:spacing w:line="276" w:lineRule="auto"/>
                <w:ind w:firstLine="567"/>
                <w:jc w:val="both"/>
                <w:rPr>
                  <w:rFonts w:eastAsia="Andale Sans UI" w:cs="Tahoma"/>
                  <w:szCs w:val="24"/>
                  <w:lang w:bidi="en-US"/>
                </w:rPr>
              </w:pPr>
              <w:r>
                <w:rPr>
                  <w:rFonts w:eastAsia="Andale Sans UI" w:cs="Tahoma"/>
                  <w:szCs w:val="24"/>
                  <w:lang w:bidi="en-US"/>
                </w:rPr>
                <w:t>- atsisakyti vėjo elektrinių reikšmingo neigiamo poveikio paukščiams ar šikšnosparniams, kriterijų, taikomų paukščių ar šikšnosparnių veisimosi, mitybos, migracijų ar kitokio susitelkimo vietų, kurios išvardintos Aprašo 2 priede, t. y. poveikio kriterijus apibūdinti tik dėl „Natura 2000“ ir pajūrio regiono teritorijų, kurios skirtos paukščių ar šikšnosparnių apsaugai, nes tokia praktika visiškai atitinka ir Europos Komisijos, ir tarptautinių ornitologų draugijų rekomendacijas;</w:t>
              </w:r>
            </w:p>
            <w:p>
              <w:pPr>
                <w:spacing w:line="276" w:lineRule="auto"/>
                <w:ind w:firstLine="567"/>
                <w:jc w:val="both"/>
                <w:rPr>
                  <w:rFonts w:eastAsia="Andale Sans UI" w:cs="Tahoma"/>
                  <w:szCs w:val="24"/>
                  <w:lang w:bidi="en-US"/>
                </w:rPr>
              </w:pPr>
              <w:r>
                <w:rPr>
                  <w:rFonts w:eastAsia="Andale Sans UI" w:cs="Tahoma"/>
                  <w:szCs w:val="24"/>
                  <w:lang w:bidi="en-US"/>
                </w:rPr>
                <w:t>- atsisakyti Aprašo priedo, kuriame apibūdinamos vėjo elektrinių poveikio reikšmingo neigiamo poveikio paukščiams ar šikšnosparniams prevencijos priemonės. Į Aprašą įtraukti tik specifinius reikalavimus technologinėms prevencijos priemonėms, nes technologinė pažanga ir priemonių efektyvumas juda daug sparčiau nei kinta teisinis reguliavimas. Nurodytų priemonių sąrašas taip pat kėlė abejonių, kadangi neatitiko tarptautinių rekomendacijų. Pavyzdžiui, dažymo reikalavimas vidutiniškai net 80 procentų efektyvus siekiant išvengti susidūrimų su paukščiais. Daugelis priemonių aprašymų yra itin subjektyvūs ir laisvai interpretuojami todėl, manytina, teisės aktui nesuteikia aiškumo, kompetentingoms institucijoms – pagrindo priimti objektyvius sprendimus;</w:t>
              </w:r>
            </w:p>
            <w:p>
              <w:pPr>
                <w:spacing w:line="276" w:lineRule="auto"/>
                <w:ind w:firstLine="567"/>
                <w:jc w:val="both"/>
                <w:rPr>
                  <w:rFonts w:eastAsia="Andale Sans UI" w:cs="Tahoma"/>
                  <w:szCs w:val="24"/>
                  <w:lang w:bidi="en-US"/>
                </w:rPr>
              </w:pPr>
              <w:r>
                <w:rPr>
                  <w:rFonts w:eastAsia="Andale Sans UI" w:cs="Tahoma"/>
                  <w:szCs w:val="24"/>
                  <w:lang w:bidi="en-US"/>
                </w:rPr>
                <w:t>- numatyti privalomumą naudoti vėjo elektrinių neigiamo poveikio paukščiams ir šikšnosparniams technologines prevencijos priemones tam tikrose situacijose, nustatant, kad poveikis paukščiams ir šikšnosparniams gali būti vertinamas kaip reikšmingas neigiamas, jeigu tokių technologinių prevencijos priemonių neplanuojama įdiegti;</w:t>
              </w:r>
            </w:p>
            <w:p>
              <w:pPr>
                <w:spacing w:line="276" w:lineRule="auto"/>
                <w:ind w:firstLine="567"/>
                <w:jc w:val="both"/>
                <w:rPr>
                  <w:rFonts w:eastAsia="Andale Sans UI" w:cs="Tahoma"/>
                  <w:szCs w:val="24"/>
                  <w:lang w:bidi="en-US"/>
                </w:rPr>
              </w:pPr>
              <w:r>
                <w:rPr>
                  <w:rFonts w:eastAsia="Andale Sans UI" w:cs="Tahoma"/>
                  <w:szCs w:val="24"/>
                  <w:lang w:bidi="en-US"/>
                </w:rPr>
                <w:t>- patikslinti įsakymo, kuriuo tvirtinamas Aprašas, punktus, nustatančius įvedamo teisinio reguliavimo pasikeitimų taikymą vėjo elektrinių poveikio aplinkai vertinimo planavimo procesams ir dokumentams, kurie rengiami arba buvo jau parengti ir patvirtinti, bet turi būti pakeičiami arba pratęsimas jų galiojimas, įskaitant eksploatuojamų vėjo elektrinių poveikio paukščiams ir šikšnosparniams monitoringo programas.</w:t>
              </w:r>
            </w:p>
          </w:sdtContent>
        </w:sdt>
        <w:sdt>
          <w:sdtPr>
            <w:alias w:val="3 p."/>
            <w:tag w:val="part_71caf35c50bc4010ac0da44708678437"/>
            <w:lock w:val="sdtLocked"/>
            <w:richText/>
          </w:sdtPr>
          <w:sdtContent>
            <w:p>
              <w:pPr>
                <w:spacing w:line="276" w:lineRule="auto"/>
                <w:ind w:firstLine="567"/>
                <w:jc w:val="both"/>
                <w:rPr>
                  <w:rFonts w:eastAsia="Andale Sans UI"/>
                  <w:b/>
                  <w:bCs/>
                  <w:szCs w:val="24"/>
                  <w:lang w:bidi="en-US"/>
                </w:rPr>
              </w:pPr>
              <w:sdt>
                <w:sdtPr>
                  <w:alias w:val="Numeris"/>
                  <w:tag w:val="nr_71caf35c50bc4010ac0da44708678437"/>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pacing w:line="276" w:lineRule="auto"/>
                <w:ind w:firstLine="567"/>
                <w:jc w:val="both"/>
                <w:rPr>
                  <w:rFonts w:eastAsia="Andale Sans UI"/>
                  <w:szCs w:val="24"/>
                  <w:lang w:bidi="en-US"/>
                </w:rPr>
              </w:pPr>
              <w:r>
                <w:rPr>
                  <w:rFonts w:eastAsia="Andale Sans UI"/>
                  <w:iCs/>
                  <w:szCs w:val="24"/>
                  <w:lang w:bidi="en-US"/>
                </w:rPr>
                <w:t>Įgyvendinant Projektą, dalyvaus tos pačios institucijos, kaip ir iki šiol – Aplinkos apsaugos agentūra ir Valstybinė saugomų teritorijų tarnyba. Projektu inicijuojamais pakeitimais tikimasi paspartinti naujų rengiamų vėjo elektrinių parkų poveikio aplinkai vertinimo ir sprendimų priėmimo procedūrą, diegiant patikimas technologines prevencijos priemones, – išvengti paukščių ir šikšnosparnių žūčių prie vėjo elektrinių, vykdyti nuolatinę jų apsaugą ir monitoringą; panaikinti prielaidas viršesnio viešojo intereso ribojimams spekuliacijomis (kai kuriais atvejais tai buvo pastebėta) paukščių ir šikšnosparnių tema, įvertinant anksčiau egzistavusią situaciją dėl tų pačių vėjo elektrinių poveikio kraštovaizdžiui, vykusius panašius teisinius ir institucinius procesus.</w:t>
              </w:r>
            </w:p>
          </w:sdtContent>
        </w:sdt>
        <w:sdt>
          <w:sdtPr>
            <w:alias w:val="4 p."/>
            <w:tag w:val="part_e059f1831cc54d7f8560db685a424ce4"/>
            <w:lock w:val="sdtLocked"/>
            <w:richText/>
          </w:sdtPr>
          <w:sdtContent>
            <w:p>
              <w:pPr>
                <w:spacing w:line="276" w:lineRule="auto"/>
                <w:ind w:firstLine="567"/>
                <w:jc w:val="both"/>
                <w:rPr>
                  <w:b/>
                  <w:bCs/>
                  <w:szCs w:val="24"/>
                  <w:lang w:eastAsia="lt-LT" w:bidi="en-US"/>
                </w:rPr>
              </w:pPr>
              <w:sdt>
                <w:sdtPr>
                  <w:alias w:val="Numeris"/>
                  <w:tag w:val="nr_e059f1831cc54d7f8560db685a424ce4"/>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Devynioliktosios Lietuvos Respublikos Vyriausybės programai.</w:t>
              </w:r>
            </w:p>
          </w:sdtContent>
        </w:sdt>
        <w:sdt>
          <w:sdtPr>
            <w:alias w:val="5 p."/>
            <w:tag w:val="part_6f9069da9aa649aa8b8e07dc06e26063"/>
            <w:lock w:val="sdtLocked"/>
            <w:richText/>
          </w:sdtPr>
          <w:sdtContent>
            <w:p>
              <w:pPr>
                <w:spacing w:line="276" w:lineRule="auto"/>
                <w:ind w:firstLine="567"/>
                <w:jc w:val="both"/>
                <w:rPr>
                  <w:rFonts w:eastAsia="Andale Sans UI" w:cs="Tahoma"/>
                  <w:szCs w:val="24"/>
                  <w:lang w:bidi="en-US"/>
                </w:rPr>
              </w:pPr>
              <w:sdt>
                <w:sdtPr>
                  <w:alias w:val="Numeris"/>
                  <w:tag w:val="nr_6f9069da9aa649aa8b8e07dc06e26063"/>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spacing w:line="276" w:lineRule="auto"/>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i/>
                  <w:iCs/>
                  <w:color w:val="000000"/>
                  <w:szCs w:val="24"/>
                  <w:lang w:bidi="en-US"/>
                </w:rPr>
                <w:t xml:space="preserve">. </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1f00cd75a2a349f0b21d497b8bf38571"/>
            <w:lock w:val="sdtLocked"/>
            <w:richText/>
          </w:sdtPr>
          <w:sdtContent>
            <w:p>
              <w:pPr>
                <w:spacing w:line="276" w:lineRule="auto"/>
                <w:ind w:firstLine="567"/>
                <w:jc w:val="both"/>
                <w:rPr>
                  <w:rFonts w:eastAsia="Andale Sans UI" w:cs="Tahoma"/>
                  <w:szCs w:val="24"/>
                  <w:lang w:bidi="en-US"/>
                </w:rPr>
              </w:pPr>
              <w:sdt>
                <w:sdtPr>
                  <w:alias w:val="Numeris"/>
                  <w:tag w:val="nr_1f00cd75a2a349f0b21d497b8bf38571"/>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spacing w:line="276" w:lineRule="auto"/>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53562ca29ccc4bb8ad717aded83ee579"/>
            <w:lock w:val="sdtLocked"/>
            <w:richText/>
          </w:sdtPr>
          <w:sdtContent>
            <w:p>
              <w:pPr>
                <w:spacing w:line="276" w:lineRule="auto"/>
                <w:ind w:firstLine="567"/>
                <w:jc w:val="both"/>
                <w:rPr>
                  <w:rFonts w:eastAsia="Andale Sans UI" w:cs="Tahoma"/>
                  <w:szCs w:val="24"/>
                  <w:lang w:bidi="en-US"/>
                </w:rPr>
              </w:pPr>
              <w:sdt>
                <w:sdtPr>
                  <w:alias w:val="Numeris"/>
                  <w:tag w:val="nr_53562ca29ccc4bb8ad717aded83ee579"/>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4de15884d7c540aa95a1ac9052240605"/>
            <w:lock w:val="sdtLocked"/>
            <w:richText/>
          </w:sdtPr>
          <w:sdtContent>
            <w:p>
              <w:pPr>
                <w:spacing w:line="276" w:lineRule="auto"/>
                <w:ind w:firstLine="567"/>
                <w:jc w:val="both"/>
                <w:rPr>
                  <w:rFonts w:eastAsia="Andale Sans UI" w:cs="Tahoma"/>
                  <w:color w:val="000000"/>
                  <w:szCs w:val="24"/>
                  <w:lang w:bidi="en-US"/>
                </w:rPr>
              </w:pPr>
              <w:sdt>
                <w:sdtPr>
                  <w:alias w:val="Numeris"/>
                  <w:tag w:val="nr_4de15884d7c540aa95a1ac9052240605"/>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spacing w:line="276" w:lineRule="auto"/>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spacing w:line="276" w:lineRule="auto"/>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36ca9590011844aea822c98041696c1d"/>
            <w:lock w:val="sdtLocked"/>
            <w:richText/>
          </w:sdtPr>
          <w:sdtContent>
            <w:p>
              <w:pPr>
                <w:spacing w:line="276" w:lineRule="auto"/>
                <w:ind w:firstLine="567"/>
                <w:jc w:val="both"/>
                <w:rPr>
                  <w:rFonts w:eastAsia="Andale Sans UI"/>
                  <w:b/>
                  <w:bCs/>
                  <w:szCs w:val="24"/>
                  <w:lang w:bidi="en-US"/>
                </w:rPr>
              </w:pPr>
              <w:sdt>
                <w:sdtPr>
                  <w:alias w:val="Numeris"/>
                  <w:tag w:val="nr_36ca9590011844aea822c98041696c1d"/>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88f3e2528eb64adf8e5f3b5105e38bd8"/>
            <w:lock w:val="sdtLocked"/>
            <w:richText/>
          </w:sdtPr>
          <w:sdtContent>
            <w:p>
              <w:pPr>
                <w:spacing w:line="276" w:lineRule="auto"/>
                <w:ind w:firstLine="567"/>
                <w:jc w:val="both"/>
                <w:rPr>
                  <w:rFonts w:eastAsia="Andale Sans UI"/>
                  <w:b/>
                  <w:bCs/>
                  <w:szCs w:val="24"/>
                  <w:lang w:bidi="en-US"/>
                </w:rPr>
              </w:pPr>
              <w:sdt>
                <w:sdtPr>
                  <w:alias w:val="Numeris"/>
                  <w:tag w:val="nr_88f3e2528eb64adf8e5f3b5105e38bd8"/>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9ff613c78edb431bbe6b25e9c9a43c33"/>
            <w:lock w:val="sdtLocked"/>
            <w:richText/>
          </w:sdtPr>
          <w:sdtContent>
            <w:p>
              <w:pPr>
                <w:spacing w:line="276" w:lineRule="auto"/>
                <w:ind w:firstLine="567"/>
                <w:jc w:val="both"/>
                <w:rPr>
                  <w:rFonts w:eastAsia="Andale Sans UI"/>
                  <w:b/>
                  <w:bCs/>
                  <w:szCs w:val="24"/>
                  <w:lang w:bidi="en-US"/>
                </w:rPr>
              </w:pPr>
              <w:sdt>
                <w:sdtPr>
                  <w:alias w:val="Numeris"/>
                  <w:tag w:val="nr_9ff613c78edb431bbe6b25e9c9a43c33"/>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spacing w:line="276" w:lineRule="auto"/>
                <w:ind w:firstLine="567"/>
                <w:jc w:val="both"/>
                <w:textAlignment w:val="center"/>
                <w:rPr>
                  <w:rFonts w:eastAsia="Andale Sans UI"/>
                  <w:b/>
                  <w:bCs/>
                  <w:szCs w:val="24"/>
                  <w:lang w:bidi="en-US"/>
                </w:rPr>
              </w:pPr>
              <w:r>
                <w:rPr>
                  <w:rFonts w:eastAsia="Andale Sans UI"/>
                  <w:szCs w:val="24"/>
                  <w:lang w:bidi="en-US"/>
                </w:rPr>
                <w:t>P</w:t>
              </w:r>
              <w:r>
                <w:rPr>
                  <w:rFonts w:eastAsia="Andale Sans UI"/>
                  <w:color w:val="000000"/>
                  <w:szCs w:val="24"/>
                  <w:lang w:bidi="en-US"/>
                </w:rPr>
                <w:t xml:space="preserve">rojekte nereglamentuojamas asmens duomenų naudojimas. </w:t>
              </w:r>
            </w:p>
          </w:sdtContent>
        </w:sdt>
        <w:sdt>
          <w:sdtPr>
            <w:alias w:val="12 p."/>
            <w:tag w:val="part_d5fd10c656fe414a91bf51fd20f4aec5"/>
            <w:lock w:val="sdtLocked"/>
            <w:richText/>
          </w:sdtPr>
          <w:sdtContent>
            <w:p>
              <w:pPr>
                <w:spacing w:line="276" w:lineRule="auto"/>
                <w:ind w:firstLine="567"/>
                <w:jc w:val="both"/>
                <w:rPr>
                  <w:rFonts w:eastAsia="Andale Sans UI"/>
                  <w:b/>
                  <w:bCs/>
                  <w:i/>
                  <w:color w:val="000000"/>
                  <w:szCs w:val="24"/>
                  <w:lang w:bidi="en-US"/>
                </w:rPr>
              </w:pPr>
              <w:sdt>
                <w:sdtPr>
                  <w:alias w:val="Numeris"/>
                  <w:tag w:val="nr_d5fd10c656fe414a91bf51fd20f4aec5"/>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spacing w:line="276" w:lineRule="auto"/>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skelbtas interneto svetainėje epilietis.lrv.lt, kur pastabas ir pasiūlymus nuo 202.. m. ... ... d. iki 202.. m. ... ... d. galėjo teikti visi suinteresuoti asmenys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w:t>
              </w:r>
              <w:r>
                <w:rPr>
                  <w:i/>
                  <w:iCs/>
                  <w:color w:val="000000"/>
                  <w:szCs w:val="24"/>
                  <w:lang w:eastAsia="lt-LT" w:bidi="en-US"/>
                </w:rPr>
                <w:t xml:space="preserve">. </w:t>
              </w:r>
            </w:p>
            <w:p>
              <w:pPr>
                <w:spacing w:line="276" w:lineRule="auto"/>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d93a3820f010464190d4e7c23336a8f2"/>
            <w:lock w:val="sdtLocked"/>
            <w:richText/>
          </w:sdtPr>
          <w:sdtContent>
            <w:p>
              <w:pPr>
                <w:spacing w:line="276" w:lineRule="auto"/>
                <w:ind w:firstLine="567"/>
                <w:jc w:val="both"/>
                <w:rPr>
                  <w:rFonts w:eastAsia="Andale Sans UI"/>
                  <w:b/>
                  <w:bCs/>
                  <w:szCs w:val="24"/>
                  <w:lang w:bidi="en-US"/>
                </w:rPr>
              </w:pPr>
              <w:sdt>
                <w:sdtPr>
                  <w:alias w:val="Numeris"/>
                  <w:tag w:val="nr_d93a3820f010464190d4e7c23336a8f2"/>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spacing w:line="276" w:lineRule="auto"/>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spacing w:line="276" w:lineRule="auto"/>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 </w:t>
              </w:r>
            </w:p>
            <w:p>
              <w:pPr>
                <w:ind w:firstLine="567"/>
                <w:jc w:val="both"/>
                <w:rPr>
                  <w:szCs w:val="24"/>
                  <w:lang w:eastAsia="lt-LT"/>
                </w:rPr>
              </w:pPr>
              <w:r>
                <w:rPr>
                  <w:rFonts w:ascii="MS Gothic" w:eastAsia="MS Gothic" w:hAnsi="MS Gothic"/>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suinteresuotoms institucijoms pateikti išvadas, o suinteresuotiems asmenims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r>
                <w:rPr>
                  <w:szCs w:val="24"/>
                  <w:lang w:eastAsia="lt-LT"/>
                </w:rPr>
                <w:t xml:space="preserve"> </w:t>
              </w:r>
            </w:p>
          </w:sdtContent>
        </w:sdt>
        <w:sdt>
          <w:sdtPr>
            <w:alias w:val="14 p."/>
            <w:tag w:val="part_006f69dcd6154be1b7828d18f9b2adea"/>
            <w:lock w:val="sdtLocked"/>
            <w:richText/>
          </w:sdtPr>
          <w:sdtContent>
            <w:p>
              <w:pPr>
                <w:spacing w:line="276" w:lineRule="auto"/>
                <w:ind w:firstLine="567"/>
                <w:jc w:val="both"/>
                <w:rPr>
                  <w:rFonts w:eastAsia="Andale Sans UI"/>
                  <w:b/>
                  <w:bCs/>
                  <w:szCs w:val="24"/>
                  <w:lang w:bidi="en-US"/>
                </w:rPr>
              </w:pPr>
              <w:sdt>
                <w:sdtPr>
                  <w:alias w:val="Numeris"/>
                  <w:tag w:val="nr_006f69dcd6154be1b7828d18f9b2adea"/>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spacing w:line="276" w:lineRule="auto"/>
                <w:ind w:firstLine="567"/>
                <w:jc w:val="both"/>
                <w:rPr>
                  <w:rFonts w:eastAsia="Andale Sans UI" w:cs="Tahoma"/>
                  <w:szCs w:val="24"/>
                  <w:lang w:bidi="en-US"/>
                </w:rPr>
              </w:pPr>
              <w:r>
                <w:rPr>
                  <w:rFonts w:eastAsia="Andale Sans UI" w:cs="Tahoma"/>
                  <w:szCs w:val="24"/>
                  <w:lang w:bidi="en-US"/>
                </w:rPr>
                <w:t>Projektą parengė aplinkos ministras Povilas Poderskis (tel. +370 657 90673, el. p. povilas.poderskis@am.lt).</w:t>
              </w:r>
            </w:p>
            <w:p>
              <w:pPr>
                <w:spacing w:line="276" w:lineRule="auto"/>
                <w:ind w:firstLine="567"/>
                <w:jc w:val="both"/>
                <w:rPr>
                  <w:rFonts w:eastAsia="Andale Sans UI"/>
                  <w:szCs w:val="24"/>
                  <w:lang w:bidi="en-US"/>
                </w:rPr>
              </w:pPr>
              <w:r>
                <w:rPr>
                  <w:rFonts w:eastAsia="Andale Sans UI"/>
                  <w:szCs w:val="24"/>
                  <w:lang w:bidi="en-US"/>
                </w:rPr>
                <w:t>PRIDEDAMA:</w:t>
              </w:r>
            </w:p>
          </w:sdtContent>
        </w:sdt>
        <w:sdt>
          <w:sdtPr>
            <w:alias w:val="1 p."/>
            <w:tag w:val="part_a2e0b55a94c843ceb4dc05a3846f5a8b"/>
            <w:lock w:val="sdtLocked"/>
            <w:richText/>
          </w:sdtPr>
          <w:sdtContent>
            <w:p>
              <w:pPr>
                <w:spacing w:line="276" w:lineRule="auto"/>
                <w:ind w:firstLine="567"/>
                <w:jc w:val="both"/>
                <w:rPr>
                  <w:color w:val="000000"/>
                  <w:szCs w:val="24"/>
                  <w:lang w:eastAsia="lt-LT" w:bidi="en-US"/>
                </w:rPr>
              </w:pPr>
              <w:sdt>
                <w:sdtPr>
                  <w:alias w:val="Numeris"/>
                  <w:tag w:val="nr_a2e0b55a94c843ceb4dc05a3846f5a8b"/>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8 lapai.</w:t>
              </w:r>
            </w:p>
          </w:sdtContent>
        </w:sdt>
        <w:sdt>
          <w:sdtPr>
            <w:alias w:val="2 p."/>
            <w:tag w:val="part_5d8b17b2222c40e0812090b6247b57b4"/>
            <w:lock w:val="sdtLocked"/>
            <w:richText/>
          </w:sdtPr>
          <w:sdtContent>
            <w:p>
              <w:pPr>
                <w:spacing w:line="276" w:lineRule="auto"/>
                <w:ind w:firstLine="567"/>
                <w:jc w:val="both"/>
                <w:rPr>
                  <w:color w:val="000000"/>
                  <w:lang w:eastAsia="lt-LT" w:bidi="en-US"/>
                </w:rPr>
              </w:pPr>
              <w:sdt>
                <w:sdtPr>
                  <w:alias w:val="Numeris"/>
                  <w:tag w:val="nr_5d8b17b2222c40e0812090b6247b57b4"/>
                  <w:lock w:val="sdtLocked"/>
                  <w:richText/>
                </w:sdtPr>
                <w:sdtContent>
                  <w:r>
                    <w:rPr>
                      <w:color w:val="000000"/>
                      <w:lang w:eastAsia="lt-LT" w:bidi="en-US"/>
                    </w:rPr>
                    <w:t>2</w:t>
                  </w:r>
                </w:sdtContent>
              </w:sdt>
              <w:r>
                <w:rPr>
                  <w:color w:val="000000"/>
                  <w:lang w:eastAsia="lt-LT" w:bidi="en-US"/>
                </w:rPr>
                <w:t xml:space="preserve">. </w:t>
              </w:r>
              <w:r>
                <w:rPr>
                  <w:rFonts w:eastAsia="Andale Sans UI"/>
                  <w:lang w:bidi="en-US"/>
                </w:rPr>
                <w:t>Teisės aktų projektų antikorupcinio vertinimo pažyma, 5 lapai</w:t>
              </w:r>
              <w:r>
                <w:rPr>
                  <w:color w:val="000000"/>
                  <w:lang w:eastAsia="lt-LT" w:bidi="en-US"/>
                </w:rPr>
                <w:t>.</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793" w:type="dxa"/>
                <w:tblInd w:w="-142" w:type="dxa"/>
                <w:tblLayout w:type="fixed"/>
                <w:tblCellMar>
                  <w:left w:w="0" w:type="dxa"/>
                  <w:right w:w="0" w:type="dxa"/>
                </w:tblCellMar>
                <w:tblLook w:val="0000" w:firstRow="0" w:lastRow="0" w:firstColumn="0" w:lastColumn="0" w:noHBand="0" w:noVBand="0"/>
              </w:tblPr>
              <w:tblGrid>
                <w:gridCol w:w="4967"/>
                <w:gridCol w:w="4826"/>
              </w:tblGrid>
              <w:tr>
                <w:trPr>
                  <w:trHeight w:val="340"/>
                </w:trPr>
                <w:tc>
                  <w:tcPr>
                    <w:tcW w:w="4967" w:type="dxa"/>
                    <w:vAlign w:val="bottom"/>
                  </w:tcPr>
                  <w:p>
                    <w:pPr>
                      <w:suppressLineNumbers/>
                      <w:spacing w:line="276" w:lineRule="auto"/>
                      <w:jc w:val="both"/>
                      <w:rPr>
                        <w:rFonts w:eastAsia="Andale Sans UI"/>
                        <w:szCs w:val="24"/>
                        <w:lang w:bidi="en-US"/>
                      </w:rPr>
                    </w:pPr>
                    <w:r>
                      <w:rPr>
                        <w:rFonts w:eastAsia="Andale Sans UI"/>
                        <w:szCs w:val="24"/>
                        <w:lang w:bidi="en-US"/>
                      </w:rPr>
                      <w:t>Aplinkos ministras</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Povilas Poderskis</w:t>
                    </w:r>
                  </w:p>
                </w:tc>
              </w:tr>
              <w:tr>
                <w:trPr>
                  <w:trHeight w:val="60"/>
                </w:trPr>
                <w:tc>
                  <w:tcPr>
                    <w:tcW w:w="496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793" w:type="dxa"/>
                    <w:gridSpan w:val="2"/>
                  </w:tcPr>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tabs>
                  <w:tab w:val="center" w:pos="4819"/>
                  <w:tab w:val="right" w:pos="9638"/>
                </w:tabs>
                <w:rPr>
                  <w:rFonts w:eastAsia="Andale Sans UI"/>
                </w:r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f4ad65a3d04a49e98177916e01ec07cd"/>
            <w:lock w:val="sdtLocked"/>
            <w:richText/>
          </w:sdtPr>
          <w:sdtContent>
            <w:p>
              <w:pPr>
                <w:suppressLineNumbers/>
                <w:jc w:val="both"/>
                <w:rPr>
                  <w:rFonts w:eastAsia="Andale Sans UI" w:cs="Tahoma"/>
                  <w:szCs w:val="24"/>
                  <w:lang w:bidi="en-US"/>
                </w:rPr>
              </w:pPr>
              <w:r>
                <w:rPr>
                  <w:rFonts w:eastAsia="Andale Sans UI" w:cs="Tahoma"/>
                  <w:szCs w:val="24"/>
                  <w:lang w:bidi="en-US"/>
                </w:rPr>
                <w:t>Energetikos ministerija</w:t>
              </w:r>
            </w:p>
            <w:p>
              <w:pPr>
                <w:suppressLineNumbers/>
                <w:jc w:val="both"/>
                <w:rPr>
                  <w:rFonts w:eastAsia="Andale Sans UI" w:cs="Tahoma"/>
                  <w:szCs w:val="24"/>
                  <w:lang w:bidi="en-US"/>
                </w:rPr>
              </w:pPr>
              <w:r>
                <w:rPr>
                  <w:rFonts w:eastAsia="Andale Sans UI" w:cs="Tahoma"/>
                  <w:szCs w:val="24"/>
                  <w:lang w:bidi="en-US"/>
                </w:rPr>
                <w:t>Ekonomikos ir inovacijų ministerija</w:t>
              </w:r>
            </w:p>
            <w:p>
              <w:pPr>
                <w:suppressLineNumbers/>
                <w:jc w:val="both"/>
                <w:rPr>
                  <w:rFonts w:eastAsia="Andale Sans UI" w:cs="Tahoma"/>
                  <w:szCs w:val="24"/>
                  <w:lang w:bidi="en-US"/>
                </w:rPr>
              </w:pPr>
              <w:r>
                <w:rPr>
                  <w:rFonts w:eastAsia="Andale Sans UI" w:cs="Tahoma"/>
                  <w:szCs w:val="24"/>
                  <w:lang w:bidi="en-US"/>
                </w:rPr>
                <w:t>Lietuvos atsinaujinančių išteklių energetikos konfederacija</w:t>
              </w:r>
            </w:p>
            <w:p>
              <w:pPr>
                <w:suppressLineNumbers/>
                <w:jc w:val="both"/>
                <w:rPr>
                  <w:rFonts w:eastAsia="Andale Sans UI" w:cs="Tahoma"/>
                  <w:szCs w:val="24"/>
                  <w:lang w:bidi="en-US"/>
                </w:rPr>
              </w:pPr>
              <w:r>
                <w:rPr>
                  <w:rFonts w:eastAsia="Andale Sans UI" w:cs="Tahoma"/>
                  <w:szCs w:val="24"/>
                  <w:lang w:bidi="en-US"/>
                </w:rPr>
                <w:t>Lietuvos vėjo elektrinių asociacija</w:t>
              </w:r>
            </w:p>
            <w:p>
              <w:pPr>
                <w:suppressLineNumbers/>
                <w:jc w:val="both"/>
                <w:rPr>
                  <w:rFonts w:eastAsia="Andale Sans UI" w:cs="Tahoma"/>
                  <w:szCs w:val="24"/>
                  <w:lang w:bidi="en-US"/>
                </w:rPr>
              </w:pPr>
              <w:r>
                <w:rPr>
                  <w:rFonts w:eastAsia="Andale Sans UI" w:cs="Tahoma"/>
                  <w:szCs w:val="24"/>
                  <w:lang w:bidi="en-US"/>
                </w:rPr>
                <w:t>Aplinkos apsaugos agentūra</w:t>
              </w:r>
            </w:p>
            <w:p>
              <w:pPr>
                <w:suppressLineNumbers/>
                <w:jc w:val="both"/>
                <w:rPr>
                  <w:rFonts w:eastAsia="Andale Sans UI" w:cs="Tahoma"/>
                  <w:szCs w:val="24"/>
                  <w:lang w:bidi="en-US"/>
                </w:rPr>
              </w:pPr>
              <w:r>
                <w:rPr>
                  <w:rFonts w:eastAsia="Andale Sans UI" w:cs="Tahoma"/>
                  <w:szCs w:val="24"/>
                  <w:lang w:bidi="en-US"/>
                </w:rPr>
                <w:t>Aplinkos apsaugos departamentas prie Aplinkos ministerijos</w:t>
              </w:r>
            </w:p>
            <w:p>
              <w:pPr>
                <w:jc w:val="both"/>
                <w:rPr>
                  <w:rFonts w:eastAsia="Andale Sans UI" w:cs="Tahoma"/>
                  <w:szCs w:val="24"/>
                  <w:lang w:bidi="en-US"/>
                </w:rPr>
              </w:pPr>
              <w:r>
                <w:rPr>
                  <w:rFonts w:eastAsia="Andale Sans UI" w:cs="Tahoma"/>
                  <w:szCs w:val="24"/>
                  <w:lang w:bidi="en-US"/>
                </w:rPr>
                <w:t>Valstybinė saugomų teritorijų tarnyba prie Aplinkos ministerijos</w:t>
              </w:r>
            </w:p>
            <w:p>
              <w:pPr>
                <w:jc w:val="both"/>
                <w:rPr>
                  <w:rFonts w:eastAsia="Andale Sans UI" w:cs="Tahoma"/>
                  <w:szCs w:val="24"/>
                  <w:lang w:bidi="en-US"/>
                </w:rPr>
              </w:pPr>
              <w:r>
                <w:rPr>
                  <w:rFonts w:eastAsia="Andale Sans UI" w:cs="Tahoma"/>
                  <w:szCs w:val="24"/>
                  <w:lang w:bidi="en-US"/>
                </w:rPr>
                <w:t>Lietuvos ornitologų draugija</w:t>
              </w:r>
            </w:p>
            <w:p>
              <w:pPr>
                <w:jc w:val="both"/>
                <w:rPr>
                  <w:rFonts w:eastAsia="Andale Sans UI"/>
                  <w:szCs w:val="24"/>
                  <w:lang w:bidi="en-US"/>
                </w:rPr>
              </w:pPr>
              <w:r>
                <w:rPr>
                  <w:rFonts w:eastAsia="Andale Sans UI"/>
                  <w:szCs w:val="24"/>
                  <w:bdr w:val="none" w:sz="0" w:space="0" w:color="auto" w:frame="1"/>
                  <w:shd w:val="clear" w:color="auto" w:fill="FFFFFF"/>
                  <w:lang w:bidi="en-US"/>
                </w:rPr>
                <w:t>VšĮ „Darnaus vystymosi centras“</w:t>
              </w:r>
            </w:p>
            <w:p>
              <w:pPr>
                <w:jc w:val="both"/>
                <w:rPr>
                  <w:rFonts w:eastAsia="Andale Sans UI"/>
                  <w:szCs w:val="24"/>
                  <w:lang w:bidi="en-US"/>
                </w:rPr>
              </w:pPr>
              <w:r>
                <w:rPr>
                  <w:rFonts w:eastAsia="Andale Sans UI"/>
                  <w:szCs w:val="24"/>
                  <w:bdr w:val="none" w:sz="0" w:space="0" w:color="auto" w:frame="1"/>
                  <w:shd w:val="clear" w:color="auto" w:fill="FFFFFF"/>
                  <w:lang w:bidi="en-US"/>
                </w:rPr>
                <w:t>Baltijos aplinkos forumas</w:t>
              </w:r>
            </w:p>
            <w:p>
              <w:pPr>
                <w:jc w:val="both"/>
                <w:rPr>
                  <w:rFonts w:eastAsia="Andale Sans UI"/>
                  <w:szCs w:val="24"/>
                  <w:lang w:bidi="en-US"/>
                </w:rPr>
              </w:pPr>
              <w:r>
                <w:rPr>
                  <w:rFonts w:eastAsia="Andale Sans UI"/>
                  <w:szCs w:val="24"/>
                  <w:bdr w:val="none" w:sz="0" w:space="0" w:color="auto" w:frame="1"/>
                  <w:shd w:val="clear" w:color="auto" w:fill="FFFFFF"/>
                  <w:lang w:bidi="en-US"/>
                </w:rPr>
                <w:t>Visuomeninė organizacija „Lietuvos gamtos fondas“</w:t>
              </w:r>
            </w:p>
            <w:p>
              <w:pPr>
                <w:jc w:val="both"/>
                <w:rPr>
                  <w:rFonts w:eastAsia="Andale Sans UI"/>
                  <w:szCs w:val="24"/>
                  <w:lang w:bidi="en-US"/>
                </w:rPr>
              </w:pPr>
              <w:r>
                <w:rPr>
                  <w:rFonts w:eastAsia="Andale Sans UI"/>
                  <w:szCs w:val="24"/>
                  <w:bdr w:val="none" w:sz="0" w:space="0" w:color="auto" w:frame="1"/>
                  <w:shd w:val="clear" w:color="auto" w:fill="FFFFFF"/>
                  <w:lang w:bidi="en-US"/>
                </w:rPr>
                <w:t>Asociacija „Aplinkosaugos koalicija“</w:t>
              </w:r>
            </w:p>
            <w:p>
              <w:pPr>
                <w:textAlignment w:val="baseline"/>
                <w:rPr>
                  <w:szCs w:val="24"/>
                  <w:lang w:eastAsia="lt-LT"/>
                </w:rPr>
              </w:pPr>
              <w:r>
                <w:rPr>
                  <w:szCs w:val="24"/>
                  <w:lang w:eastAsia="lt-LT"/>
                </w:rPr>
                <w:t>Pajūrio tyrimų ir planavimo institutas</w:t>
              </w:r>
            </w:p>
            <w:p>
              <w:pPr>
                <w:textAlignment w:val="baseline"/>
                <w:rPr>
                  <w:szCs w:val="24"/>
                  <w:lang w:eastAsia="lt-LT"/>
                </w:rPr>
              </w:pPr>
              <w:r>
                <w:rPr>
                  <w:szCs w:val="24"/>
                  <w:lang w:eastAsia="lt-LT"/>
                </w:rPr>
                <w:t>Specialiųjų tyrimų tarnyba</w:t>
              </w: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FF"/>
            <w:sz w:val="20"/>
            <w:u w:val="single"/>
          </w:rPr>
          <w:t>Devynioliktosios Lietuvos Respublikos Vyriausybės programa</w:t>
        </w:r>
      </w:hyperlink>
      <w:r>
        <w:rPr>
          <w:rFonts w:eastAsia="Andale Sans UI"/>
          <w:sz w:val="20"/>
        </w:rPr>
        <w:t>, kuriai pritarta Lietuvos Respublikos Seimo 2024 m. gruodžio 12 d. nutarimu Nr. XV-54 „Dėl Devynioliktosios Lietuvos Respublikos Vyriausybės programos“.</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5"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 w:val="20"/>
          <w:lang w:eastAsia="lt-LT"/>
        </w:rPr>
      </w:pPr>
      <w:r>
        <w:rPr>
          <w:rFonts w:eastAsia="Andale Sans UI"/>
          <w:sz w:val="20"/>
          <w:vertAlign w:val="superscript"/>
        </w:rPr>
        <w:footnoteRef/>
        <w:t xml:space="preserve"> </w:t>
      </w:r>
      <w:hyperlink r:id="rId7"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5</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29DDA4F0-ADCE-461C-BA4D-0A96546A79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208569083">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b418dc0b89811ef88c08519262548c4"/>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5" Type="http://schemas.openxmlformats.org/officeDocument/2006/relationships/hyperlink" TargetMode="External" Target="https://www.e-tar.lt/portal/lt/legalAct/TAR.DB68BCA9E3A0/asr"/>
  <Relationship Id="rId6" Type="http://schemas.openxmlformats.org/officeDocument/2006/relationships/hyperlink" TargetMode="External" Target="https://www.e-tar.lt/portal/lt/legalAct/TAR.EDD5FD371B32/asr"/>
  <Relationship Id="rId7"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b18254147b043f29a5ec23406e1f9cf" PartId="4eed567af635444f80aabd9c834f1cdc"/>
  <Part Type="pastraipa" DocPartId="c1a9814f618f40caa3b98cab6400c3ed" PartId="146dc491ef084e5db1473ae95e1c924c">
    <Part Type="punktas" Nr="1" Abbr="1 p." DocPartId="176f219c7e6f4172b8b68eb989690c9a" PartId="96b6bd6473fd4af0b099b664333c23f4"/>
    <Part Type="punktas" Nr="2" Abbr="2 p." DocPartId="90245e9ca7b145a19465b94e98789bdc" PartId="202b80bbb4c04532988a0b6b80849f20"/>
    <Part Type="punktas" Nr="3" Abbr="3 p." DocPartId="6c17f8c8771b458d9b0500eed7804520" PartId="71caf35c50bc4010ac0da44708678437"/>
    <Part Type="punktas" Nr="4" Abbr="4 p." DocPartId="b889da00e9a94946972bff9adab13545" PartId="e059f1831cc54d7f8560db685a424ce4"/>
    <Part Type="punktas" Nr="5" Abbr="5 p." DocPartId="b611a356cba841828e41088b6387d578" PartId="6f9069da9aa649aa8b8e07dc06e26063"/>
    <Part Type="punktas" Nr="6" Abbr="6 p." DocPartId="0b787e7531bb416e9163401eae3b5a61" PartId="1f00cd75a2a349f0b21d497b8bf38571"/>
    <Part Type="punktas" Nr="7" Abbr="7 p." DocPartId="37400d52ec80425594122df33b4ffc45" PartId="53562ca29ccc4bb8ad717aded83ee579"/>
    <Part Type="punktas" Nr="8" Abbr="8 p." DocPartId="c5159e982f2c4f67bb48a254283b2f15" PartId="4de15884d7c540aa95a1ac9052240605"/>
    <Part Type="punktas" Nr="9" Abbr="9 p." DocPartId="f11cf82376f44a6aaff224e234bf3ba8" PartId="36ca9590011844aea822c98041696c1d"/>
    <Part Type="punktas" Nr="10" Abbr="10 p." DocPartId="b0919d820e1f49fab43a6ca399a331a8" PartId="88f3e2528eb64adf8e5f3b5105e38bd8"/>
    <Part Type="punktas" Nr="11" Abbr="11 p." DocPartId="9fe74d5b194440319702f9e8538b22aa" PartId="9ff613c78edb431bbe6b25e9c9a43c33"/>
    <Part Type="punktas" Nr="12" Abbr="12 p." DocPartId="8f454ff1173d4566ace1d7d38e1a1a86" PartId="d5fd10c656fe414a91bf51fd20f4aec5"/>
    <Part Type="punktas" Nr="13" Abbr="13 p." DocPartId="b39d5d43d2f54f558a4c0e7236f6bfea" PartId="d93a3820f010464190d4e7c23336a8f2"/>
    <Part Type="punktas" Nr="14" Abbr="14 p." DocPartId="261aeae1b28449c0ab452761067a1336" PartId="006f69dcd6154be1b7828d18f9b2adea"/>
    <Part Type="punktas" Nr="1" Abbr="1 p." Notes="Numeris ne iš eilės. Trūksta dalių? [DocDalys]" DocPartId="7915f25eba9d45b0b00623367307a187" PartId="a2e0b55a94c843ceb4dc05a3846f5a8b"/>
    <Part Type="punktas" Nr="2" Abbr="2 p." DocPartId="09a6bcfcbf5c402da3ffe9ec9b6f31b5" PartId="5d8b17b2222c40e0812090b6247b57b4"/>
    <Part Type="signatura" DocPartId="f7a88ae54a3c482e9aa90715e9c1e1aa" PartId="f4ad65a3d04a49e98177916e01ec07cd"/>
  </Part>
</Parts>
</file>

<file path=customXml/itemProps1.xml><?xml version="1.0" encoding="utf-8"?>
<ds:datastoreItem xmlns:ds="http://schemas.openxmlformats.org/officeDocument/2006/customXml" ds:itemID="{CD4F106E-2959-4348-9BAC-31424D3DBF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74EDC400-1B6D-42DC-B6B7-4642B2278B5F}">
  <ds:schemaRefs>
    <ds:schemaRef ds:uri="http://purl.org/dc/elements/1.1/"/>
    <ds:schemaRef ds:uri="http://schemas.microsoft.com/office/2006/documentManagement/types"/>
    <ds:schemaRef ds:uri="http://www.w3.org/XML/1998/namespace"/>
    <ds:schemaRef ds:uri="http://schemas.microsoft.com/office/infopath/2007/PartnerControls"/>
    <ds:schemaRef ds:uri="http://purl.org/dc/terms/"/>
    <ds:schemaRef ds:uri="http://schemas.openxmlformats.org/package/2006/metadata/core-properties"/>
    <ds:schemaRef ds:uri="0379a545-9986-45d7-9e6d-3845025712a0"/>
    <ds:schemaRef ds:uri="47c1ea38-b788-4873-88f4-3b1f34597b9a"/>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9935348A-5D96-4348-8B28-F7C338E96C77}">
  <ds:schemaRefs>
    <ds:schemaRef ds:uri="http://schemas.openxmlformats.org/officeDocument/2006/bibliography"/>
  </ds:schemaRefs>
</ds:datastoreItem>
</file>

<file path=customXml/itemProps5.xml><?xml version="1.0" encoding="utf-8"?>
<ds:datastoreItem xmlns:ds="http://schemas.openxmlformats.org/officeDocument/2006/customXml" ds:itemID="{F2D5D738-4DF1-4FAF-9005-B77B138DCC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1397</Words>
  <Characters>10485</Characters>
  <Application>Microsoft Office Word</Application>
  <DocSecurity>4</DocSecurity>
  <Lines>190</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2025-07-29T20:31:00Z</dcterms:created>
  <dc:creator>Algirdas Klimavičius</dc:creator>
  <lastModifiedBy>adlibuser</lastModifiedBy>
  <dcterms:modified xsi:type="dcterms:W3CDTF">2025-07-29T20:31:00Z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