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325ee9f0d0d4b57a4a89238a1d0cdf4"/>
        <w:lock w:val="sdtLocked"/>
        <w:richText/>
      </w:sdtPr>
      <w:sdtContent>
        <w:p>
          <w:pPr>
            <w:spacing w:line="360" w:lineRule="auto"/>
            <w:jc w:val="both"/>
            <w:rPr>
              <w:rFonts w:ascii="Calibri" w:eastAsia="Cambria" w:hAnsi="Calibri"/>
              <w:szCs w:val="24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ind w:firstLine="1736"/>
            <w:rPr>
              <w:szCs w:val="24"/>
              <w:lang w:eastAsia="lt-LT"/>
            </w:rPr>
          </w:pPr>
        </w:p>
        <w:p>
          <w:pPr>
            <w:ind w:left="5109" w:firstLine="1154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PRITARTA</w:t>
          </w:r>
        </w:p>
        <w:p>
          <w:pPr>
            <w:ind w:left="5109" w:firstLine="111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Šiaulių miesto savivaldybės tarybos</w:t>
          </w:r>
        </w:p>
        <w:p>
          <w:pPr>
            <w:ind w:left="5109" w:firstLine="1116"/>
            <w:rPr>
              <w:szCs w:val="24"/>
            </w:rPr>
          </w:pPr>
          <w:r>
            <w:rPr>
              <w:szCs w:val="24"/>
              <w:lang w:eastAsia="lt-LT"/>
            </w:rPr>
            <w:t xml:space="preserve">2025 m.         d. sprendimu Nr. T-               </w:t>
            <w:tab/>
            <w:tab/>
            <w:t xml:space="preserve"> </w:t>
          </w:r>
        </w:p>
        <w:p>
          <w:pPr>
            <w:spacing w:line="360" w:lineRule="auto"/>
            <w:jc w:val="center"/>
            <w:rPr>
              <w:rFonts w:ascii="Calibri" w:eastAsia="Cambria" w:hAnsi="Calibri"/>
              <w:sz w:val="28"/>
              <w:szCs w:val="28"/>
              <w:lang w:val="en-US"/>
            </w:rPr>
          </w:pPr>
        </w:p>
        <w:p>
          <w:pPr>
            <w:spacing w:line="360" w:lineRule="auto"/>
            <w:jc w:val="center"/>
            <w:rPr>
              <w:rFonts w:ascii="Calibri" w:eastAsia="Cambria" w:hAnsi="Calibri"/>
              <w:sz w:val="28"/>
              <w:szCs w:val="28"/>
              <w:lang w:val="en-US"/>
            </w:rPr>
          </w:pPr>
        </w:p>
        <w:p>
          <w:pPr>
            <w:spacing w:line="360" w:lineRule="auto"/>
            <w:jc w:val="center"/>
            <w:rPr>
              <w:rFonts w:ascii="Calibri" w:eastAsia="Cambria" w:hAnsi="Calibri"/>
              <w:sz w:val="28"/>
              <w:szCs w:val="28"/>
              <w:lang w:val="en-US"/>
            </w:rPr>
          </w:pPr>
        </w:p>
        <w:p>
          <w:pPr>
            <w:spacing w:line="360" w:lineRule="auto"/>
            <w:jc w:val="center"/>
            <w:rPr>
              <w:rFonts w:ascii="Calibri" w:eastAsia="Cambria" w:hAnsi="Calibri"/>
              <w:sz w:val="28"/>
              <w:szCs w:val="28"/>
              <w:lang w:val="en-US"/>
            </w:rPr>
          </w:pPr>
        </w:p>
        <w:p>
          <w:pPr>
            <w:spacing w:line="360" w:lineRule="auto"/>
            <w:jc w:val="center"/>
            <w:rPr>
              <w:rFonts w:eastAsia="Cambria"/>
              <w:b/>
              <w:bCs/>
              <w:sz w:val="44"/>
              <w:szCs w:val="44"/>
              <w:lang w:val="en-US"/>
            </w:rPr>
          </w:pPr>
          <w:r>
            <w:rPr>
              <w:rFonts w:eastAsia="Cambria"/>
              <w:b/>
              <w:bCs/>
              <w:sz w:val="44"/>
              <w:szCs w:val="44"/>
              <w:lang w:val="en-US"/>
            </w:rPr>
            <w:t>ŠIAULIŲ MIESTO SAVIVALDYBĖS 2015–2024 METŲ STRATEGINIO PLĖTROS PLANO ĮGYVENDINIMO 2022–2024 METAIS ATASKAITA</w:t>
          </w:r>
        </w:p>
        <w:p>
          <w:pPr>
            <w:spacing w:line="360" w:lineRule="auto"/>
            <w:jc w:val="center"/>
            <w:rPr>
              <w:rFonts w:ascii="Calibri" w:eastAsia="Cambria" w:hAnsi="Calibri"/>
              <w:sz w:val="28"/>
              <w:szCs w:val="28"/>
              <w:lang w:val="en-US"/>
            </w:rPr>
          </w:pPr>
        </w:p>
        <w:p>
          <w:pPr>
            <w:spacing w:line="360" w:lineRule="auto"/>
            <w:jc w:val="center"/>
            <w:rPr>
              <w:rFonts w:ascii="Calibri" w:eastAsia="Cambria" w:hAnsi="Calibri"/>
              <w:sz w:val="28"/>
              <w:szCs w:val="28"/>
              <w:lang w:val="en-US"/>
            </w:rPr>
          </w:pPr>
        </w:p>
        <w:p>
          <w:pPr>
            <w:spacing w:line="360" w:lineRule="auto"/>
            <w:jc w:val="center"/>
            <w:rPr>
              <w:rFonts w:ascii="Calibri" w:eastAsia="Cambria" w:hAnsi="Calibri"/>
              <w:sz w:val="28"/>
              <w:szCs w:val="28"/>
              <w:lang w:val="en-US"/>
            </w:rPr>
          </w:pPr>
        </w:p>
        <w:p>
          <w:pPr>
            <w:spacing w:line="360" w:lineRule="auto"/>
            <w:jc w:val="center"/>
            <w:rPr>
              <w:rFonts w:ascii="Calibri" w:eastAsia="Cambria" w:hAnsi="Calibri"/>
              <w:sz w:val="28"/>
              <w:szCs w:val="28"/>
              <w:lang w:val="en-US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pgSz w:w="11900" w:h="16840" w:code="9"/>
              <w:pgMar w:top="720" w:right="567" w:bottom="720" w:left="567" w:header="709" w:footer="567" w:gutter="0"/>
              <w:pgNumType w:start="1"/>
              <w:cols w:space="708"/>
              <w:titlePg/>
              <w:docGrid w:linePitch="326"/>
            </w:sectPr>
          </w:pPr>
          <w:r>
            <w:rPr>
              <w:szCs w:val="24"/>
            </w:rPr>
            <w:t>Šiauliai, 2025</w:t>
          </w:r>
        </w:p>
        <w:p>
          <w:pPr>
            <w:spacing w:line="360" w:lineRule="auto"/>
            <w:jc w:val="center"/>
            <w:rPr>
              <w:rFonts w:eastAsia="Cambria"/>
              <w:sz w:val="28"/>
              <w:szCs w:val="28"/>
              <w:lang w:val="en-US"/>
            </w:rPr>
          </w:pPr>
          <w:r>
            <w:rPr>
              <w:rFonts w:eastAsia="Cambria"/>
              <w:sz w:val="28"/>
              <w:szCs w:val="28"/>
              <w:lang w:val="en-US"/>
            </w:rPr>
            <w:t>VIZIJOS RODIKLIAI</w:t>
          </w:r>
        </w:p>
        <w:tbl>
          <w:tblPr>
            <w:tblW w:w="15730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550"/>
            <w:gridCol w:w="848"/>
            <w:gridCol w:w="2542"/>
            <w:gridCol w:w="1554"/>
            <w:gridCol w:w="848"/>
            <w:gridCol w:w="849"/>
            <w:gridCol w:w="989"/>
            <w:gridCol w:w="900"/>
            <w:gridCol w:w="848"/>
            <w:gridCol w:w="1084"/>
            <w:gridCol w:w="1024"/>
            <w:gridCol w:w="2694"/>
          </w:tblGrid>
          <w:tr>
            <w:trPr>
              <w:trHeight w:val="274"/>
              <w:jc w:val="center"/>
            </w:trPr>
            <w:tc>
              <w:tcPr>
                <w:tcW w:w="1550" w:type="dxa"/>
                <w:vMerge w:val="restart"/>
                <w:shd w:val="clear" w:color="auto" w:fill="D0CECE" w:themeFill="background2" w:themeFillShade="E6"/>
                <w:hideMark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Rodiklio</w:t>
                </w:r>
              </w:p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pavadinimas</w:t>
                </w:r>
              </w:p>
            </w:tc>
            <w:tc>
              <w:tcPr>
                <w:tcW w:w="848" w:type="dxa"/>
                <w:vMerge w:val="restart"/>
                <w:shd w:val="clear" w:color="auto" w:fill="D0CECE" w:themeFill="background2" w:themeFillShade="E6"/>
                <w:hideMark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Mata-vimo viene-tas</w:t>
                </w:r>
              </w:p>
            </w:tc>
            <w:tc>
              <w:tcPr>
                <w:tcW w:w="2542" w:type="dxa"/>
                <w:vMerge w:val="restart"/>
                <w:shd w:val="clear" w:color="auto" w:fill="D0CECE" w:themeFill="background2" w:themeFillShade="E6"/>
                <w:hideMark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Matavimo metodika</w:t>
                </w:r>
              </w:p>
            </w:tc>
            <w:tc>
              <w:tcPr>
                <w:tcW w:w="1554" w:type="dxa"/>
                <w:vMerge w:val="restart"/>
                <w:shd w:val="clear" w:color="auto" w:fill="D0CECE" w:themeFill="background2" w:themeFillShade="E6"/>
                <w:hideMark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Duomenų šaltinis</w:t>
                </w:r>
              </w:p>
            </w:tc>
            <w:tc>
              <w:tcPr>
                <w:tcW w:w="9236" w:type="dxa"/>
                <w:gridSpan w:val="8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Rezultatas</w:t>
                </w:r>
              </w:p>
            </w:tc>
          </w:tr>
          <w:tr>
            <w:trPr>
              <w:trHeight w:val="224"/>
              <w:jc w:val="center"/>
            </w:trPr>
            <w:tc>
              <w:tcPr>
                <w:tcW w:w="1550" w:type="dxa"/>
                <w:vMerge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848" w:type="dxa"/>
                <w:vMerge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542" w:type="dxa"/>
                <w:vMerge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554" w:type="dxa"/>
                <w:vMerge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848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2015 m.</w:t>
                </w:r>
              </w:p>
            </w:tc>
            <w:tc>
              <w:tcPr>
                <w:tcW w:w="849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2017 m.</w:t>
                </w:r>
              </w:p>
            </w:tc>
            <w:tc>
              <w:tcPr>
                <w:tcW w:w="989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2021 m.</w:t>
                </w:r>
              </w:p>
            </w:tc>
            <w:tc>
              <w:tcPr>
                <w:tcW w:w="900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2024 m.</w:t>
                </w:r>
              </w:p>
            </w:tc>
            <w:tc>
              <w:tcPr>
                <w:tcW w:w="848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2025 m. siekis</w:t>
                </w:r>
              </w:p>
            </w:tc>
            <w:tc>
              <w:tcPr>
                <w:tcW w:w="1084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eastAsia="Cambria" w:hAnsi="Calibri"/>
                    <w:szCs w:val="24"/>
                    <w:lang w:val="en-US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Pasiektas / nepasiek-tas</w:t>
                </w:r>
              </w:p>
            </w:tc>
            <w:tc>
              <w:tcPr>
                <w:tcW w:w="1024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val="en-US"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val="en-US" w:eastAsia="lt-LT"/>
                  </w:rPr>
                  <w:t>Realus pokytis</w:t>
                </w:r>
              </w:p>
            </w:tc>
            <w:tc>
              <w:tcPr>
                <w:tcW w:w="2694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Atsakingas</w:t>
                </w:r>
              </w:p>
            </w:tc>
          </w:tr>
          <w:tr>
            <w:trPr>
              <w:trHeight w:val="276"/>
              <w:jc w:val="center"/>
            </w:trPr>
            <w:tc>
              <w:tcPr>
                <w:tcW w:w="7342" w:type="dxa"/>
                <w:gridSpan w:val="5"/>
                <w:shd w:val="clear" w:color="auto" w:fill="FFC000" w:themeFill="accent4"/>
                <w:hideMark/>
              </w:tcPr>
              <w:p>
                <w:pPr>
                  <w:jc w:val="both"/>
                  <w:rPr>
                    <w:rFonts w:ascii="Calibri" w:eastAsia="Cambria" w:hAnsi="Calibri"/>
                    <w:b/>
                    <w:color w:val="FFFFFF"/>
                    <w:sz w:val="20"/>
                  </w:rPr>
                </w:pPr>
                <w:r>
                  <w:rPr>
                    <w:rFonts w:ascii="Calibri" w:eastAsia="Cambria" w:hAnsi="Calibri"/>
                    <w:b/>
                    <w:color w:val="FFFFFF"/>
                    <w:sz w:val="20"/>
                  </w:rPr>
                  <w:t>ATVIRAS – AKTYVI, KŪRYBINGA IR ATSAKINGA BENDRUOMENĖ</w:t>
                </w:r>
              </w:p>
            </w:tc>
            <w:tc>
              <w:tcPr>
                <w:tcW w:w="849" w:type="dxa"/>
                <w:shd w:val="clear" w:color="auto" w:fill="FFC000" w:themeFill="accent4"/>
              </w:tcPr>
              <w:p>
                <w:pPr>
                  <w:jc w:val="both"/>
                  <w:rPr>
                    <w:rFonts w:ascii="Calibri" w:eastAsia="Cambria" w:hAnsi="Calibri"/>
                    <w:b/>
                    <w:color w:val="FFFFFF"/>
                    <w:sz w:val="20"/>
                  </w:rPr>
                </w:pPr>
              </w:p>
            </w:tc>
            <w:tc>
              <w:tcPr>
                <w:tcW w:w="989" w:type="dxa"/>
                <w:shd w:val="clear" w:color="auto" w:fill="FFC000" w:themeFill="accent4"/>
              </w:tcPr>
              <w:p>
                <w:pPr>
                  <w:jc w:val="both"/>
                  <w:rPr>
                    <w:rFonts w:ascii="Calibri" w:eastAsia="Cambria" w:hAnsi="Calibri"/>
                    <w:b/>
                    <w:color w:val="FFFFFF"/>
                    <w:sz w:val="20"/>
                  </w:rPr>
                </w:pPr>
              </w:p>
            </w:tc>
            <w:tc>
              <w:tcPr>
                <w:tcW w:w="900" w:type="dxa"/>
                <w:shd w:val="clear" w:color="auto" w:fill="FFC000" w:themeFill="accent4"/>
              </w:tcPr>
              <w:p>
                <w:pPr>
                  <w:jc w:val="both"/>
                  <w:rPr>
                    <w:rFonts w:ascii="Calibri" w:eastAsia="Cambria" w:hAnsi="Calibri"/>
                    <w:b/>
                    <w:color w:val="FFFFFF"/>
                    <w:sz w:val="20"/>
                  </w:rPr>
                </w:pPr>
              </w:p>
            </w:tc>
            <w:tc>
              <w:tcPr>
                <w:tcW w:w="848" w:type="dxa"/>
                <w:shd w:val="clear" w:color="auto" w:fill="FFC000" w:themeFill="accent4"/>
              </w:tcPr>
              <w:p>
                <w:pPr>
                  <w:jc w:val="both"/>
                  <w:rPr>
                    <w:rFonts w:ascii="Calibri" w:eastAsia="Cambria" w:hAnsi="Calibri"/>
                    <w:b/>
                    <w:color w:val="FFFFFF"/>
                    <w:sz w:val="20"/>
                  </w:rPr>
                </w:pPr>
              </w:p>
            </w:tc>
            <w:tc>
              <w:tcPr>
                <w:tcW w:w="1084" w:type="dxa"/>
                <w:shd w:val="clear" w:color="auto" w:fill="FFC000" w:themeFill="accent4"/>
              </w:tcPr>
              <w:p>
                <w:pPr>
                  <w:jc w:val="both"/>
                  <w:rPr>
                    <w:rFonts w:ascii="Calibri" w:eastAsia="Cambria" w:hAnsi="Calibri"/>
                    <w:b/>
                    <w:color w:val="FFFFFF"/>
                    <w:sz w:val="20"/>
                  </w:rPr>
                </w:pPr>
              </w:p>
            </w:tc>
            <w:tc>
              <w:tcPr>
                <w:tcW w:w="1024" w:type="dxa"/>
                <w:shd w:val="clear" w:color="auto" w:fill="FFC000" w:themeFill="accent4"/>
              </w:tcPr>
              <w:p>
                <w:pPr>
                  <w:jc w:val="both"/>
                  <w:rPr>
                    <w:rFonts w:ascii="Calibri" w:eastAsia="Cambria" w:hAnsi="Calibri"/>
                    <w:b/>
                    <w:color w:val="FFFFFF"/>
                    <w:sz w:val="20"/>
                  </w:rPr>
                </w:pPr>
              </w:p>
            </w:tc>
            <w:tc>
              <w:tcPr>
                <w:tcW w:w="2694" w:type="dxa"/>
                <w:shd w:val="clear" w:color="auto" w:fill="FFC000" w:themeFill="accent4"/>
              </w:tcPr>
              <w:p>
                <w:pPr>
                  <w:jc w:val="both"/>
                  <w:rPr>
                    <w:rFonts w:ascii="Calibri" w:eastAsia="Cambria" w:hAnsi="Calibri"/>
                    <w:b/>
                    <w:color w:val="FFFFFF"/>
                    <w:sz w:val="20"/>
                  </w:rPr>
                </w:pPr>
              </w:p>
            </w:tc>
          </w:tr>
          <w:tr>
            <w:trPr>
              <w:trHeight w:val="276"/>
              <w:jc w:val="center"/>
            </w:trPr>
            <w:tc>
              <w:tcPr>
                <w:tcW w:w="155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Gyventojų skaičius</w:t>
                </w:r>
              </w:p>
            </w:tc>
            <w:tc>
              <w:tcPr>
                <w:tcW w:w="848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tūkst. gyv. </w:t>
                </w:r>
              </w:p>
            </w:tc>
            <w:tc>
              <w:tcPr>
                <w:tcW w:w="2542" w:type="dxa"/>
                <w:shd w:val="clear" w:color="auto" w:fill="FFFFFF" w:themeFill="background1"/>
                <w:hideMark/>
              </w:tcPr>
              <w:p>
                <w:pPr>
                  <w:ind w:firstLine="48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Registruotų gyventojų skaičius Šiaulių mieste</w:t>
                </w:r>
              </w:p>
            </w:tc>
            <w:tc>
              <w:tcPr>
                <w:tcW w:w="155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Statistikos departamentas</w:t>
                </w:r>
              </w:p>
            </w:tc>
            <w:tc>
              <w:tcPr>
                <w:tcW w:w="848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104,6</w:t>
                </w:r>
              </w:p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101,2</w:t>
                </w:r>
              </w:p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  <w:tc>
              <w:tcPr>
                <w:tcW w:w="98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900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110,3</w:t>
                </w:r>
              </w:p>
            </w:tc>
            <w:tc>
              <w:tcPr>
                <w:tcW w:w="84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100,0</w:t>
                </w:r>
              </w:p>
            </w:tc>
            <w:tc>
              <w:tcPr>
                <w:tcW w:w="1084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eastAsia="Cambria" w:hAnsi="Calibri"/>
                    <w:sz w:val="20"/>
                    <w:lang w:val="en-US"/>
                  </w:rPr>
                </w:pPr>
                <w:r>
                  <w:rPr>
                    <w:rFonts w:ascii="Calibri" w:eastAsia="Cambria" w:hAnsi="Calibri"/>
                    <w:sz w:val="20"/>
                    <w:lang w:val="en-US"/>
                  </w:rPr>
                  <w:t>pasiektas</w:t>
                </w:r>
              </w:p>
            </w:tc>
            <w:tc>
              <w:tcPr>
                <w:tcW w:w="1024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eastAsia="Cambria" w:hAnsi="Calibri"/>
                    <w:sz w:val="20"/>
                  </w:rPr>
                </w:pPr>
                <w:r>
                  <w:rPr>
                    <w:rFonts w:ascii="Calibri" w:eastAsia="Cambria" w:hAnsi="Calibri"/>
                    <w:sz w:val="20"/>
                  </w:rPr>
                  <w:t xml:space="preserve">+5,5 </w:t>
                </w:r>
                <w:r>
                  <w:rPr>
                    <w:rFonts w:ascii="Calibri" w:eastAsia="Cambria" w:hAnsi="Calibri" w:cs="Calibri"/>
                    <w:sz w:val="20"/>
                  </w:rPr>
                  <w:t>%</w:t>
                </w:r>
              </w:p>
            </w:tc>
            <w:tc>
              <w:tcPr>
                <w:tcW w:w="2694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eastAsia="Cambria" w:hAnsi="Calibri"/>
                    <w:sz w:val="20"/>
                  </w:rPr>
                </w:pPr>
                <w:r>
                  <w:rPr>
                    <w:rFonts w:ascii="Calibri" w:eastAsia="Cambria" w:hAnsi="Calibri"/>
                    <w:sz w:val="20"/>
                  </w:rPr>
                  <w:t>Asmenų aptarnavimo skyrius</w:t>
                </w:r>
              </w:p>
              <w:p>
                <w:pPr>
                  <w:jc w:val="both"/>
                  <w:rPr>
                    <w:rFonts w:ascii="Calibri" w:eastAsia="Cambria" w:hAnsi="Calibri"/>
                    <w:sz w:val="20"/>
                    <w:highlight w:val="green"/>
                  </w:rPr>
                </w:pPr>
              </w:p>
            </w:tc>
          </w:tr>
          <w:tr>
            <w:trPr>
              <w:trHeight w:val="276"/>
              <w:jc w:val="center"/>
            </w:trPr>
            <w:tc>
              <w:tcPr>
                <w:tcW w:w="155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Vidutinė gyvenimo trukmė</w:t>
                </w:r>
              </w:p>
            </w:tc>
            <w:tc>
              <w:tcPr>
                <w:tcW w:w="848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amžius</w:t>
                </w:r>
              </w:p>
            </w:tc>
            <w:tc>
              <w:tcPr>
                <w:tcW w:w="254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Einamų metų gyventojų mirtingumo amžiaus vidurkis</w:t>
                </w:r>
              </w:p>
            </w:tc>
            <w:tc>
              <w:tcPr>
                <w:tcW w:w="155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Statistikos departamentas</w:t>
                </w:r>
              </w:p>
            </w:tc>
            <w:tc>
              <w:tcPr>
                <w:tcW w:w="84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74,0</w:t>
                </w:r>
              </w:p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color w:val="FF0000"/>
                    <w:sz w:val="20"/>
                    <w:lang w:val="en-US"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77,7</w:t>
                </w:r>
                <w:r>
                  <w:rPr>
                    <w:rFonts w:ascii="Calibri" w:hAnsi="Calibri"/>
                    <w:sz w:val="20"/>
                    <w:lang w:val="en-US" w:eastAsia="lt-LT"/>
                  </w:rPr>
                  <w:t>*</w:t>
                </w:r>
              </w:p>
              <w:p>
                <w:pPr>
                  <w:rPr>
                    <w:rFonts w:ascii="Calibri" w:hAnsi="Calibri"/>
                    <w:sz w:val="20"/>
                    <w:highlight w:val="yellow"/>
                    <w:lang w:eastAsia="lt-LT"/>
                  </w:rPr>
                </w:pPr>
              </w:p>
            </w:tc>
            <w:tc>
              <w:tcPr>
                <w:tcW w:w="98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77,0</w:t>
                </w:r>
              </w:p>
            </w:tc>
            <w:tc>
              <w:tcPr>
                <w:tcW w:w="900" w:type="dxa"/>
                <w:shd w:val="clear" w:color="auto" w:fill="FBE4D5" w:themeFill="accent2" w:themeFillTint="33"/>
              </w:tcPr>
              <w:p>
                <w:pPr>
                  <w:rPr>
                    <w:rFonts w:ascii="Calibri" w:eastAsia="Calibri" w:hAnsi="Calibri" w:cs="Calibri"/>
                    <w:sz w:val="20"/>
                    <w:lang w:val="en-US"/>
                  </w:rPr>
                </w:pPr>
                <w:r>
                  <w:rPr>
                    <w:rFonts w:ascii="Calibri" w:eastAsia="Calibri" w:hAnsi="Calibri" w:cs="Calibri"/>
                    <w:sz w:val="20"/>
                    <w:lang w:val="en-US"/>
                  </w:rPr>
                  <w:t>79,9</w:t>
                </w:r>
              </w:p>
              <w:p>
                <w:pPr>
                  <w:rPr>
                    <w:rFonts w:ascii="Calibri" w:eastAsia="Calibri" w:hAnsi="Calibri" w:cs="Calibri"/>
                    <w:sz w:val="20"/>
                    <w:lang w:val="en-US"/>
                  </w:rPr>
                </w:pPr>
                <w:r>
                  <w:rPr>
                    <w:rFonts w:ascii="Calibri" w:eastAsia="Calibri" w:hAnsi="Calibri" w:cs="Calibri"/>
                    <w:sz w:val="20"/>
                    <w:lang w:val="en-US"/>
                  </w:rPr>
                  <w:t>(2023 m. duom.)</w:t>
                </w:r>
              </w:p>
            </w:tc>
            <w:tc>
              <w:tcPr>
                <w:tcW w:w="84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76,8</w:t>
                </w:r>
              </w:p>
            </w:tc>
            <w:tc>
              <w:tcPr>
                <w:tcW w:w="108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val="en-US" w:eastAsia="lt-LT"/>
                  </w:rPr>
                </w:pPr>
                <w:r>
                  <w:rPr>
                    <w:rFonts w:ascii="Calibri" w:hAnsi="Calibri"/>
                    <w:sz w:val="20"/>
                    <w:lang w:val="en-US" w:eastAsia="lt-LT"/>
                  </w:rPr>
                  <w:t>pasiektas</w:t>
                </w:r>
              </w:p>
            </w:tc>
            <w:tc>
              <w:tcPr>
                <w:tcW w:w="102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+8,0 </w:t>
                </w:r>
                <w:r>
                  <w:rPr>
                    <w:rFonts w:ascii="Calibri" w:hAnsi="Calibri" w:cs="Calibri"/>
                    <w:sz w:val="20"/>
                    <w:lang w:eastAsia="lt-LT"/>
                  </w:rPr>
                  <w:t>%</w:t>
                </w:r>
              </w:p>
            </w:tc>
            <w:tc>
              <w:tcPr>
                <w:tcW w:w="269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Sveikatos skyrius</w:t>
                </w:r>
              </w:p>
            </w:tc>
          </w:tr>
          <w:tr>
            <w:trPr>
              <w:trHeight w:val="336"/>
              <w:jc w:val="center"/>
            </w:trPr>
            <w:tc>
              <w:tcPr>
                <w:tcW w:w="155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Vaikų ir jaunimo dalis</w:t>
                </w:r>
              </w:p>
            </w:tc>
            <w:tc>
              <w:tcPr>
                <w:tcW w:w="848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4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Vaikų ir jaunimo dalis nuo bendro gyventojų skaičiaus</w:t>
                </w:r>
              </w:p>
            </w:tc>
            <w:tc>
              <w:tcPr>
                <w:tcW w:w="155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Statistikos departamentas</w:t>
                </w:r>
              </w:p>
            </w:tc>
            <w:tc>
              <w:tcPr>
                <w:tcW w:w="84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33,6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32,4</w:t>
                </w:r>
              </w:p>
            </w:tc>
            <w:tc>
              <w:tcPr>
                <w:tcW w:w="98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26,1</w:t>
                </w:r>
              </w:p>
            </w:tc>
            <w:tc>
              <w:tcPr>
                <w:tcW w:w="900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27,8</w:t>
                </w:r>
              </w:p>
            </w:tc>
            <w:tc>
              <w:tcPr>
                <w:tcW w:w="84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34</w:t>
                </w:r>
              </w:p>
            </w:tc>
            <w:tc>
              <w:tcPr>
                <w:tcW w:w="1084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hAnsi="Calibri"/>
                    <w:sz w:val="20"/>
                    <w:lang w:val="en-US" w:eastAsia="lt-LT"/>
                  </w:rPr>
                </w:pPr>
                <w:r>
                  <w:rPr>
                    <w:rFonts w:ascii="Calibri" w:hAnsi="Calibri"/>
                    <w:sz w:val="20"/>
                    <w:lang w:val="en-US" w:eastAsia="lt-LT"/>
                  </w:rPr>
                  <w:t>nepasiek-tas / sumažėjo</w:t>
                </w:r>
              </w:p>
            </w:tc>
            <w:tc>
              <w:tcPr>
                <w:tcW w:w="1024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–5,8 </w:t>
                </w:r>
                <w:r>
                  <w:rPr>
                    <w:rFonts w:ascii="Calibri" w:hAnsi="Calibri" w:cs="Calibri"/>
                    <w:sz w:val="20"/>
                    <w:lang w:eastAsia="lt-LT"/>
                  </w:rPr>
                  <w:t>proc. punkto</w:t>
                </w:r>
              </w:p>
            </w:tc>
            <w:tc>
              <w:tcPr>
                <w:tcW w:w="2694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>Švietimo skyrius</w:t>
                </w:r>
              </w:p>
            </w:tc>
          </w:tr>
          <w:tr>
            <w:trPr>
              <w:trHeight w:val="300"/>
              <w:jc w:val="center"/>
            </w:trPr>
            <w:tc>
              <w:tcPr>
                <w:tcW w:w="1550" w:type="dxa"/>
                <w:shd w:val="clear" w:color="auto" w:fill="FFFFFF" w:themeFill="background1"/>
                <w:vAlign w:val="center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Besimokantys ir studijuojantys Šiauliuose</w:t>
                </w:r>
              </w:p>
            </w:tc>
            <w:tc>
              <w:tcPr>
                <w:tcW w:w="848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42" w:type="dxa"/>
                <w:shd w:val="clear" w:color="auto" w:fill="FFFFFF" w:themeFill="background1"/>
                <w:vAlign w:val="center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Besimokančiųjų ir studijuojančiųjų Šiauliuose dalis nuo viso gyventojų skaičiaus</w:t>
                </w:r>
              </w:p>
            </w:tc>
            <w:tc>
              <w:tcPr>
                <w:tcW w:w="155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</w:t>
                </w:r>
              </w:p>
            </w:tc>
            <w:tc>
              <w:tcPr>
                <w:tcW w:w="84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26,1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25,3</w:t>
                </w:r>
              </w:p>
            </w:tc>
            <w:tc>
              <w:tcPr>
                <w:tcW w:w="98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20,5</w:t>
                </w:r>
              </w:p>
            </w:tc>
            <w:tc>
              <w:tcPr>
                <w:tcW w:w="900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84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30</w:t>
                </w:r>
              </w:p>
            </w:tc>
            <w:tc>
              <w:tcPr>
                <w:tcW w:w="1084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hAnsi="Calibri"/>
                    <w:sz w:val="20"/>
                    <w:lang w:val="en-US" w:eastAsia="lt-LT"/>
                  </w:rPr>
                </w:pPr>
                <w:r>
                  <w:rPr>
                    <w:rFonts w:ascii="Calibri" w:hAnsi="Calibri"/>
                    <w:sz w:val="20"/>
                    <w:lang w:val="en-US" w:eastAsia="lt-LT"/>
                  </w:rPr>
                  <w:t>nepasiek-tas / sumažėjo</w:t>
                </w:r>
              </w:p>
            </w:tc>
            <w:tc>
              <w:tcPr>
                <w:tcW w:w="1024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–7,9 </w:t>
                </w:r>
                <w:r>
                  <w:rPr>
                    <w:rFonts w:ascii="Calibri" w:hAnsi="Calibri" w:cs="Calibri"/>
                    <w:sz w:val="20"/>
                    <w:lang w:eastAsia="lt-LT"/>
                  </w:rPr>
                  <w:t>proc. punkto</w:t>
                </w:r>
              </w:p>
            </w:tc>
            <w:tc>
              <w:tcPr>
                <w:tcW w:w="2694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>Švietimo skyrius</w:t>
                </w:r>
              </w:p>
            </w:tc>
          </w:tr>
          <w:tr>
            <w:trPr>
              <w:trHeight w:val="276"/>
              <w:jc w:val="center"/>
            </w:trPr>
            <w:tc>
              <w:tcPr>
                <w:tcW w:w="7342" w:type="dxa"/>
                <w:gridSpan w:val="5"/>
                <w:shd w:val="clear" w:color="auto" w:fill="FF0000"/>
                <w:hideMark/>
              </w:tcPr>
              <w:p>
                <w:pPr>
                  <w:jc w:val="both"/>
                  <w:rPr>
                    <w:rFonts w:ascii="Calibri" w:eastAsia="Cambria" w:hAnsi="Calibri"/>
                    <w:color w:val="FFFFFF"/>
                    <w:sz w:val="20"/>
                  </w:rPr>
                </w:pPr>
                <w:r>
                  <w:rPr>
                    <w:rFonts w:ascii="Calibri" w:eastAsia="Cambria" w:hAnsi="Calibri"/>
                    <w:b/>
                    <w:bCs/>
                    <w:color w:val="FFFFFF"/>
                    <w:sz w:val="20"/>
                  </w:rPr>
                  <w:t>VERŽLUS - KONKURENCINGA VERSLO APLINKA</w:t>
                </w:r>
              </w:p>
            </w:tc>
            <w:tc>
              <w:tcPr>
                <w:tcW w:w="849" w:type="dxa"/>
                <w:shd w:val="clear" w:color="auto" w:fill="FF0000"/>
              </w:tcPr>
              <w:p>
                <w:pPr>
                  <w:jc w:val="both"/>
                  <w:rPr>
                    <w:rFonts w:ascii="Calibri" w:eastAsia="Cambria" w:hAnsi="Calibri"/>
                    <w:b/>
                    <w:bCs/>
                    <w:color w:val="FFFFFF"/>
                    <w:sz w:val="20"/>
                  </w:rPr>
                </w:pPr>
              </w:p>
            </w:tc>
            <w:tc>
              <w:tcPr>
                <w:tcW w:w="989" w:type="dxa"/>
                <w:shd w:val="clear" w:color="auto" w:fill="FF0000"/>
              </w:tcPr>
              <w:p>
                <w:pPr>
                  <w:jc w:val="both"/>
                  <w:rPr>
                    <w:rFonts w:ascii="Calibri" w:eastAsia="Cambria" w:hAnsi="Calibri"/>
                    <w:b/>
                    <w:bCs/>
                    <w:color w:val="FFFFFF"/>
                    <w:sz w:val="20"/>
                  </w:rPr>
                </w:pPr>
              </w:p>
            </w:tc>
            <w:tc>
              <w:tcPr>
                <w:tcW w:w="900" w:type="dxa"/>
                <w:shd w:val="clear" w:color="auto" w:fill="FF0000"/>
              </w:tcPr>
              <w:p>
                <w:pPr>
                  <w:jc w:val="both"/>
                  <w:rPr>
                    <w:rFonts w:ascii="Calibri" w:eastAsia="Cambria" w:hAnsi="Calibri"/>
                    <w:b/>
                    <w:bCs/>
                    <w:color w:val="FFFFFF"/>
                    <w:sz w:val="20"/>
                  </w:rPr>
                </w:pPr>
              </w:p>
            </w:tc>
            <w:tc>
              <w:tcPr>
                <w:tcW w:w="848" w:type="dxa"/>
                <w:shd w:val="clear" w:color="auto" w:fill="FF0000"/>
              </w:tcPr>
              <w:p>
                <w:pPr>
                  <w:jc w:val="both"/>
                  <w:rPr>
                    <w:rFonts w:ascii="Calibri" w:eastAsia="Cambria" w:hAnsi="Calibri"/>
                    <w:b/>
                    <w:bCs/>
                    <w:color w:val="FFFFFF"/>
                    <w:sz w:val="20"/>
                  </w:rPr>
                </w:pPr>
              </w:p>
            </w:tc>
            <w:tc>
              <w:tcPr>
                <w:tcW w:w="1084" w:type="dxa"/>
                <w:shd w:val="clear" w:color="auto" w:fill="FF0000"/>
              </w:tcPr>
              <w:p>
                <w:pPr>
                  <w:jc w:val="both"/>
                  <w:rPr>
                    <w:rFonts w:ascii="Calibri" w:eastAsia="Cambria" w:hAnsi="Calibri"/>
                    <w:b/>
                    <w:bCs/>
                    <w:color w:val="FFFFFF"/>
                    <w:sz w:val="20"/>
                  </w:rPr>
                </w:pPr>
              </w:p>
            </w:tc>
            <w:tc>
              <w:tcPr>
                <w:tcW w:w="1024" w:type="dxa"/>
                <w:shd w:val="clear" w:color="auto" w:fill="FF0000"/>
              </w:tcPr>
              <w:p>
                <w:pPr>
                  <w:jc w:val="both"/>
                  <w:rPr>
                    <w:rFonts w:ascii="Calibri" w:eastAsia="Cambria" w:hAnsi="Calibri"/>
                    <w:b/>
                    <w:bCs/>
                    <w:color w:val="FFFFFF"/>
                    <w:sz w:val="20"/>
                  </w:rPr>
                </w:pPr>
              </w:p>
            </w:tc>
            <w:tc>
              <w:tcPr>
                <w:tcW w:w="2694" w:type="dxa"/>
                <w:shd w:val="clear" w:color="auto" w:fill="FF0000"/>
              </w:tcPr>
              <w:p>
                <w:pPr>
                  <w:jc w:val="both"/>
                  <w:rPr>
                    <w:rFonts w:ascii="Calibri" w:eastAsia="Cambria" w:hAnsi="Calibri"/>
                    <w:b/>
                    <w:bCs/>
                    <w:color w:val="FFFFFF"/>
                    <w:sz w:val="20"/>
                  </w:rPr>
                </w:pPr>
              </w:p>
            </w:tc>
          </w:tr>
          <w:tr>
            <w:trPr>
              <w:trHeight w:val="552"/>
              <w:jc w:val="center"/>
            </w:trPr>
            <w:tc>
              <w:tcPr>
                <w:tcW w:w="1550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Vidutinis mėnesinis bruto darbo užmokestis</w:t>
                </w:r>
              </w:p>
            </w:tc>
            <w:tc>
              <w:tcPr>
                <w:tcW w:w="848" w:type="dxa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Eur</w:t>
                </w:r>
              </w:p>
            </w:tc>
            <w:tc>
              <w:tcPr>
                <w:tcW w:w="2542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Vidutinis mėnesinis bruto darbo užmokestis</w:t>
                </w:r>
              </w:p>
            </w:tc>
            <w:tc>
              <w:tcPr>
                <w:tcW w:w="1554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Statistikos departamentas</w:t>
                </w:r>
              </w:p>
            </w:tc>
            <w:tc>
              <w:tcPr>
                <w:tcW w:w="848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620,6</w:t>
                </w:r>
              </w:p>
            </w:tc>
            <w:tc>
              <w:tcPr>
                <w:tcW w:w="849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739,65</w:t>
                </w:r>
              </w:p>
            </w:tc>
            <w:tc>
              <w:tcPr>
                <w:tcW w:w="989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1 370,0</w:t>
                </w:r>
              </w:p>
            </w:tc>
            <w:tc>
              <w:tcPr>
                <w:tcW w:w="900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1 895,2</w:t>
                </w:r>
              </w:p>
            </w:tc>
            <w:tc>
              <w:tcPr>
                <w:tcW w:w="848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1 241,0</w:t>
                </w:r>
              </w:p>
            </w:tc>
            <w:tc>
              <w:tcPr>
                <w:tcW w:w="1084" w:type="dxa"/>
              </w:tcPr>
              <w:p>
                <w:pPr>
                  <w:jc w:val="both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1024" w:type="dxa"/>
              </w:tcPr>
              <w:p>
                <w:pPr>
                  <w:jc w:val="both"/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+38,3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 xml:space="preserve">% </w:t>
                </w:r>
              </w:p>
              <w:p>
                <w:pPr>
                  <w:jc w:val="both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2024 m. lyginant su 2021 m.</w:t>
                </w:r>
              </w:p>
            </w:tc>
            <w:tc>
              <w:tcPr>
                <w:tcW w:w="2694" w:type="dxa"/>
              </w:tcPr>
              <w:p>
                <w:pPr>
                  <w:jc w:val="both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Ekonomikos skyrius</w:t>
                </w:r>
              </w:p>
              <w:p>
                <w:pPr>
                  <w:jc w:val="both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52"/>
              <w:jc w:val="center"/>
            </w:trPr>
            <w:tc>
              <w:tcPr>
                <w:tcW w:w="155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Tiesioginės užsienio investicijos</w:t>
                </w:r>
              </w:p>
            </w:tc>
            <w:tc>
              <w:tcPr>
                <w:tcW w:w="848" w:type="dxa"/>
                <w:shd w:val="clear" w:color="auto" w:fill="FFFFFF" w:themeFill="background1"/>
                <w:hideMark/>
              </w:tcPr>
              <w:p>
                <w:pPr>
                  <w:jc w:val="both"/>
                  <w:rPr>
                    <w:rFonts w:ascii="Calibri" w:hAnsi="Calibri"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Eur/ gyv.</w:t>
                </w:r>
              </w:p>
            </w:tc>
            <w:tc>
              <w:tcPr>
                <w:tcW w:w="254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Tiesioginės užsienio investicijos, tenkančios vienam gyventojui</w:t>
                </w:r>
              </w:p>
            </w:tc>
            <w:tc>
              <w:tcPr>
                <w:tcW w:w="155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Statistikos departamentas</w:t>
                </w:r>
              </w:p>
            </w:tc>
            <w:tc>
              <w:tcPr>
                <w:tcW w:w="84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709,0</w:t>
                </w:r>
              </w:p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1 383,0*</w:t>
                </w:r>
              </w:p>
            </w:tc>
            <w:tc>
              <w:tcPr>
                <w:tcW w:w="98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2 433,0 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16"/>
                    <w:szCs w:val="16"/>
                    <w:lang w:eastAsia="lt-LT"/>
                  </w:rPr>
                  <w:t>(2020 m. duomenys)</w:t>
                </w:r>
              </w:p>
            </w:tc>
            <w:tc>
              <w:tcPr>
                <w:tcW w:w="900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3 389,0</w:t>
                </w:r>
              </w:p>
              <w:p>
                <w:pPr>
                  <w:rPr>
                    <w:rFonts w:ascii="Calibri" w:hAnsi="Calibri"/>
                    <w:color w:val="000000"/>
                    <w:sz w:val="16"/>
                    <w:szCs w:val="16"/>
                    <w:lang w:val="en-US" w:eastAsia="lt-LT"/>
                  </w:rPr>
                </w:pPr>
                <w:r>
                  <w:rPr>
                    <w:rFonts w:ascii="Calibri" w:hAnsi="Calibri"/>
                    <w:color w:val="000000"/>
                    <w:sz w:val="16"/>
                    <w:szCs w:val="16"/>
                    <w:lang w:val="en-US" w:eastAsia="lt-LT"/>
                  </w:rPr>
                  <w:t>(2023 m. duom.)</w:t>
                </w:r>
              </w:p>
            </w:tc>
            <w:tc>
              <w:tcPr>
                <w:tcW w:w="84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1 500,0</w:t>
                </w:r>
              </w:p>
            </w:tc>
            <w:tc>
              <w:tcPr>
                <w:tcW w:w="108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1024" w:type="dxa"/>
                <w:shd w:val="clear" w:color="auto" w:fill="FFFFFF" w:themeFill="background1"/>
              </w:tcPr>
              <w:p>
                <w:pPr>
                  <w:rPr>
                    <w:rFonts w:ascii="Calibri" w:hAnsi="Calibri" w:cs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  <w:t xml:space="preserve">+39,3 </w:t>
                </w:r>
                <w:r>
                  <w:rPr>
                    <w:rFonts w:ascii="Calibri" w:hAnsi="Calibri" w:cs="Calibri"/>
                    <w:bCs/>
                    <w:color w:val="000000"/>
                    <w:sz w:val="20"/>
                    <w:lang w:eastAsia="lt-LT"/>
                  </w:rPr>
                  <w:t>%</w:t>
                </w:r>
              </w:p>
              <w:p>
                <w:pP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2023 m. lyginant su 2020 m.</w:t>
                </w:r>
              </w:p>
            </w:tc>
            <w:tc>
              <w:tcPr>
                <w:tcW w:w="2694" w:type="dxa"/>
                <w:shd w:val="clear" w:color="auto" w:fill="FFFFFF" w:themeFill="background1"/>
              </w:tcPr>
              <w:p>
                <w:pPr>
                  <w:rPr>
                    <w:rFonts w:eastAsia="Cambria"/>
                    <w:sz w:val="20"/>
                    <w:lang w:val="en-US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Ekonomikos skyrius</w:t>
                </w:r>
              </w:p>
            </w:tc>
          </w:tr>
          <w:tr>
            <w:trPr>
              <w:trHeight w:val="552"/>
              <w:jc w:val="center"/>
            </w:trPr>
            <w:tc>
              <w:tcPr>
                <w:tcW w:w="1550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Gyventojų pasitenkinimas Savivaldybės darbu</w:t>
                </w:r>
              </w:p>
            </w:tc>
            <w:tc>
              <w:tcPr>
                <w:tcW w:w="848" w:type="dxa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balai</w:t>
                </w:r>
              </w:p>
            </w:tc>
            <w:tc>
              <w:tcPr>
                <w:tcW w:w="2542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Šiaulių m. gyventojų nuomonės tyrimas. Patenkintų Savivaldybės darbu gyventojų dalis</w:t>
                </w:r>
              </w:p>
            </w:tc>
            <w:tc>
              <w:tcPr>
                <w:tcW w:w="1554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</w:t>
                </w:r>
              </w:p>
            </w:tc>
            <w:tc>
              <w:tcPr>
                <w:tcW w:w="848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5,97</w:t>
                </w:r>
              </w:p>
            </w:tc>
            <w:tc>
              <w:tcPr>
                <w:tcW w:w="849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6,9</w:t>
                </w:r>
              </w:p>
            </w:tc>
            <w:tc>
              <w:tcPr>
                <w:tcW w:w="989" w:type="dxa"/>
              </w:tcPr>
              <w:p>
                <w:pPr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eastAsia="Cambria" w:hAnsi="Calibri"/>
                    <w:sz w:val="20"/>
                    <w:lang w:eastAsia="lt-LT"/>
                  </w:rPr>
                  <w:t>6,87</w:t>
                </w:r>
              </w:p>
            </w:tc>
            <w:tc>
              <w:tcPr>
                <w:tcW w:w="900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7,1</w:t>
                </w:r>
              </w:p>
              <w:p>
                <w:pPr>
                  <w:rPr>
                    <w:rFonts w:ascii="Calibri" w:eastAsia="Cambria" w:hAnsi="Calibri"/>
                    <w:sz w:val="16"/>
                    <w:szCs w:val="16"/>
                    <w:lang w:val="en-US"/>
                  </w:rPr>
                </w:pPr>
                <w: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  <w:t>(2023 m. duom.)</w:t>
                </w:r>
              </w:p>
            </w:tc>
            <w:tc>
              <w:tcPr>
                <w:tcW w:w="848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8,0</w:t>
                </w:r>
              </w:p>
              <w:p>
                <w:pPr>
                  <w:spacing w:line="360" w:lineRule="auto"/>
                  <w:jc w:val="both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84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val="en-US"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val="en-US" w:eastAsia="lt-LT"/>
                  </w:rPr>
                  <w:t>nepasiek-tas</w:t>
                </w:r>
              </w:p>
            </w:tc>
            <w:tc>
              <w:tcPr>
                <w:tcW w:w="1024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+1,1 </w:t>
                </w:r>
                <w:r>
                  <w:rPr>
                    <w:rFonts w:ascii="Calibri" w:eastAsia="Cambria" w:hAnsi="Calibri"/>
                    <w:sz w:val="20"/>
                    <w:lang w:val="en-US"/>
                  </w:rPr>
                  <w:t xml:space="preserve">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balo</w:t>
                </w:r>
              </w:p>
            </w:tc>
            <w:tc>
              <w:tcPr>
                <w:tcW w:w="2694" w:type="dxa"/>
              </w:tcPr>
              <w:p>
                <w:pPr>
                  <w:rPr>
                    <w:rFonts w:ascii="Calibri" w:hAnsi="Calibri"/>
                    <w:strike/>
                    <w:color w:val="FF0000"/>
                    <w:sz w:val="20"/>
                    <w:highlight w:val="lightGray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Asmenų aptarnavimo skyrius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76"/>
              <w:jc w:val="center"/>
            </w:trPr>
            <w:tc>
              <w:tcPr>
                <w:tcW w:w="7342" w:type="dxa"/>
                <w:gridSpan w:val="5"/>
                <w:shd w:val="clear" w:color="auto" w:fill="C00000"/>
                <w:vAlign w:val="center"/>
                <w:hideMark/>
              </w:tcPr>
              <w:p>
                <w:pPr>
                  <w:outlineLvl w:val="1"/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FFFFFF"/>
                    <w:sz w:val="20"/>
                    <w:lang w:eastAsia="lt-LT"/>
                  </w:rPr>
                  <w:t>SAUGUS – DRAUGIŠKA GAMTAI KOKYBIŠKA GYVENAMOJI APLINKA</w:t>
                </w:r>
              </w:p>
            </w:tc>
            <w:tc>
              <w:tcPr>
                <w:tcW w:w="849" w:type="dxa"/>
                <w:shd w:val="clear" w:color="auto" w:fill="C00000"/>
              </w:tcPr>
              <w:p>
                <w:pPr>
                  <w:outlineLvl w:val="1"/>
                  <w:rPr>
                    <w:rFonts w:ascii="Calibri" w:hAnsi="Calibri"/>
                    <w:b/>
                    <w:bCs/>
                    <w:color w:val="FFFFFF"/>
                    <w:sz w:val="20"/>
                    <w:lang w:eastAsia="lt-LT"/>
                  </w:rPr>
                </w:pPr>
              </w:p>
            </w:tc>
            <w:tc>
              <w:tcPr>
                <w:tcW w:w="989" w:type="dxa"/>
                <w:shd w:val="clear" w:color="auto" w:fill="C00000"/>
              </w:tcPr>
              <w:p>
                <w:pPr>
                  <w:outlineLvl w:val="1"/>
                  <w:rPr>
                    <w:rFonts w:ascii="Calibri" w:hAnsi="Calibri"/>
                    <w:b/>
                    <w:bCs/>
                    <w:color w:val="FFFFFF"/>
                    <w:sz w:val="20"/>
                    <w:lang w:eastAsia="lt-LT"/>
                  </w:rPr>
                </w:pPr>
              </w:p>
            </w:tc>
            <w:tc>
              <w:tcPr>
                <w:tcW w:w="900" w:type="dxa"/>
                <w:shd w:val="clear" w:color="auto" w:fill="C00000"/>
              </w:tcPr>
              <w:p>
                <w:pPr>
                  <w:outlineLvl w:val="1"/>
                  <w:rPr>
                    <w:rFonts w:ascii="Calibri" w:hAnsi="Calibri"/>
                    <w:b/>
                    <w:bCs/>
                    <w:color w:val="FFFFFF"/>
                    <w:sz w:val="20"/>
                    <w:lang w:eastAsia="lt-LT"/>
                  </w:rPr>
                </w:pPr>
              </w:p>
            </w:tc>
            <w:tc>
              <w:tcPr>
                <w:tcW w:w="848" w:type="dxa"/>
                <w:shd w:val="clear" w:color="auto" w:fill="C00000"/>
              </w:tcPr>
              <w:p>
                <w:pPr>
                  <w:outlineLvl w:val="1"/>
                  <w:rPr>
                    <w:rFonts w:ascii="Calibri" w:hAnsi="Calibri"/>
                    <w:b/>
                    <w:bCs/>
                    <w:color w:val="FFFFFF"/>
                    <w:sz w:val="20"/>
                    <w:lang w:eastAsia="lt-LT"/>
                  </w:rPr>
                </w:pPr>
              </w:p>
            </w:tc>
            <w:tc>
              <w:tcPr>
                <w:tcW w:w="1084" w:type="dxa"/>
                <w:shd w:val="clear" w:color="auto" w:fill="C00000"/>
              </w:tcPr>
              <w:p>
                <w:pPr>
                  <w:outlineLvl w:val="1"/>
                  <w:rPr>
                    <w:rFonts w:ascii="Calibri" w:hAnsi="Calibri"/>
                    <w:b/>
                    <w:bCs/>
                    <w:color w:val="FFFFFF"/>
                    <w:sz w:val="20"/>
                    <w:lang w:eastAsia="lt-LT"/>
                  </w:rPr>
                </w:pPr>
              </w:p>
            </w:tc>
            <w:tc>
              <w:tcPr>
                <w:tcW w:w="1024" w:type="dxa"/>
                <w:shd w:val="clear" w:color="auto" w:fill="C00000"/>
              </w:tcPr>
              <w:p>
                <w:pPr>
                  <w:outlineLvl w:val="1"/>
                  <w:rPr>
                    <w:rFonts w:ascii="Calibri" w:hAnsi="Calibri"/>
                    <w:b/>
                    <w:bCs/>
                    <w:color w:val="FFFFFF"/>
                    <w:sz w:val="20"/>
                    <w:lang w:eastAsia="lt-LT"/>
                  </w:rPr>
                </w:pPr>
              </w:p>
            </w:tc>
            <w:tc>
              <w:tcPr>
                <w:tcW w:w="2694" w:type="dxa"/>
                <w:shd w:val="clear" w:color="auto" w:fill="C00000"/>
              </w:tcPr>
              <w:p>
                <w:pPr>
                  <w:outlineLvl w:val="1"/>
                  <w:rPr>
                    <w:rFonts w:ascii="Calibri" w:hAnsi="Calibri"/>
                    <w:b/>
                    <w:bCs/>
                    <w:color w:val="FFFFFF"/>
                    <w:sz w:val="20"/>
                    <w:lang w:eastAsia="lt-LT"/>
                  </w:rPr>
                </w:pPr>
              </w:p>
            </w:tc>
          </w:tr>
          <w:tr>
            <w:trPr>
              <w:trHeight w:val="483"/>
              <w:jc w:val="center"/>
            </w:trPr>
            <w:tc>
              <w:tcPr>
                <w:tcW w:w="1550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Nusikalstamu-mo lygis</w:t>
                </w:r>
              </w:p>
            </w:tc>
            <w:tc>
              <w:tcPr>
                <w:tcW w:w="848" w:type="dxa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vnt./ 1000 gyv.</w:t>
                </w:r>
              </w:p>
            </w:tc>
            <w:tc>
              <w:tcPr>
                <w:tcW w:w="2542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Nusikalstamų veikų skaičius 100 000 gyventojų</w:t>
                </w:r>
              </w:p>
            </w:tc>
            <w:tc>
              <w:tcPr>
                <w:tcW w:w="1554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Statistikos departamentas</w:t>
                </w:r>
              </w:p>
            </w:tc>
            <w:tc>
              <w:tcPr>
                <w:tcW w:w="848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2 979</w:t>
                </w:r>
              </w:p>
            </w:tc>
            <w:tc>
              <w:tcPr>
                <w:tcW w:w="849" w:type="dxa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2 100</w:t>
                </w:r>
              </w:p>
            </w:tc>
            <w:tc>
              <w:tcPr>
                <w:tcW w:w="989" w:type="dxa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1 480</w:t>
                </w:r>
              </w:p>
            </w:tc>
            <w:tc>
              <w:tcPr>
                <w:tcW w:w="900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1 512</w:t>
                </w:r>
              </w:p>
            </w:tc>
            <w:tc>
              <w:tcPr>
                <w:tcW w:w="848" w:type="dxa"/>
              </w:tcPr>
              <w:p>
                <w:pPr>
                  <w:rPr>
                    <w:rFonts w:ascii="Calibri" w:hAnsi="Calibri"/>
                    <w:sz w:val="20"/>
                    <w:lang w:val="en-US"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2 600*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084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pasiektas /sumažėjo</w:t>
                </w:r>
              </w:p>
            </w:tc>
            <w:tc>
              <w:tcPr>
                <w:tcW w:w="1024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–49,2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%</w:t>
                </w:r>
              </w:p>
            </w:tc>
            <w:tc>
              <w:tcPr>
                <w:tcW w:w="2694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Civilinės saugos, </w:t>
                </w:r>
                <w:r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  <w:t>ir teisėtvarkos</w:t>
                </w: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 skyrius</w:t>
                </w:r>
              </w:p>
            </w:tc>
          </w:tr>
          <w:tr>
            <w:trPr>
              <w:trHeight w:val="552"/>
              <w:jc w:val="center"/>
            </w:trPr>
            <w:tc>
              <w:tcPr>
                <w:tcW w:w="155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Aplinkos oro kokybė</w:t>
                </w:r>
              </w:p>
            </w:tc>
            <w:tc>
              <w:tcPr>
                <w:tcW w:w="848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kg/gyv.</w:t>
                </w:r>
              </w:p>
            </w:tc>
            <w:tc>
              <w:tcPr>
                <w:tcW w:w="254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Išmetamų teršalų į atmosferą iš stacionarių taršos šaltinių kiekis, tenkantis vienam gyventojui</w:t>
                </w:r>
              </w:p>
            </w:tc>
            <w:tc>
              <w:tcPr>
                <w:tcW w:w="155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Statistikos departamentas </w:t>
                </w:r>
              </w:p>
            </w:tc>
            <w:tc>
              <w:tcPr>
                <w:tcW w:w="84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val="en-US"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5,4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8</w:t>
                </w:r>
              </w:p>
            </w:tc>
            <w:tc>
              <w:tcPr>
                <w:tcW w:w="98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11,2</w:t>
                </w:r>
              </w:p>
            </w:tc>
            <w:tc>
              <w:tcPr>
                <w:tcW w:w="900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9,8</w:t>
                </w:r>
              </w:p>
            </w:tc>
            <w:tc>
              <w:tcPr>
                <w:tcW w:w="84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5 </w:t>
                </w:r>
              </w:p>
            </w:tc>
            <w:tc>
              <w:tcPr>
                <w:tcW w:w="108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  <w:t>nepasiek-tas / padidėjo</w:t>
                </w:r>
              </w:p>
            </w:tc>
            <w:tc>
              <w:tcPr>
                <w:tcW w:w="102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  <w:t xml:space="preserve">+81,5 </w:t>
                </w:r>
                <w:r>
                  <w:rPr>
                    <w:rFonts w:ascii="Calibri" w:hAnsi="Calibri" w:cs="Calibri"/>
                    <w:bCs/>
                    <w:color w:val="000000"/>
                    <w:sz w:val="20"/>
                    <w:lang w:eastAsia="lt-LT"/>
                  </w:rPr>
                  <w:t>%</w:t>
                </w:r>
              </w:p>
            </w:tc>
            <w:tc>
              <w:tcPr>
                <w:tcW w:w="269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  <w:t>Miesto ūkio ir aplinkos skyrius</w:t>
                </w:r>
              </w:p>
              <w:p>
                <w:pPr>
                  <w:rPr>
                    <w:rFonts w:ascii="Calibri" w:eastAsia="Cambria" w:hAnsi="Calibri"/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rPr>
              <w:trHeight w:val="552"/>
              <w:jc w:val="center"/>
            </w:trPr>
            <w:tc>
              <w:tcPr>
                <w:tcW w:w="155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Atsinaujinančių energijos išteklių naudojimas centrinio šildymo sektoriuje</w:t>
                </w:r>
              </w:p>
            </w:tc>
            <w:tc>
              <w:tcPr>
                <w:tcW w:w="848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4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Galutinio energijos suvartojimo atsinaujinančių energijos išteklių dalis centrinio šildymo sektoriuje</w:t>
                </w:r>
              </w:p>
            </w:tc>
            <w:tc>
              <w:tcPr>
                <w:tcW w:w="155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</w:t>
                </w:r>
              </w:p>
            </w:tc>
            <w:tc>
              <w:tcPr>
                <w:tcW w:w="84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80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n.d.</w:t>
                </w:r>
              </w:p>
            </w:tc>
            <w:tc>
              <w:tcPr>
                <w:tcW w:w="98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74,7</w:t>
                </w:r>
              </w:p>
            </w:tc>
            <w:tc>
              <w:tcPr>
                <w:tcW w:w="900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81,5</w:t>
                </w:r>
              </w:p>
            </w:tc>
            <w:tc>
              <w:tcPr>
                <w:tcW w:w="84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85</w:t>
                </w:r>
              </w:p>
            </w:tc>
            <w:tc>
              <w:tcPr>
                <w:tcW w:w="108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  <w:t>nepasiek-tas</w:t>
                </w:r>
              </w:p>
            </w:tc>
            <w:tc>
              <w:tcPr>
                <w:tcW w:w="102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  <w:t xml:space="preserve">+1,5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 xml:space="preserve"> proc. punkto</w:t>
                </w:r>
              </w:p>
            </w:tc>
            <w:tc>
              <w:tcPr>
                <w:tcW w:w="269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  <w:t>Miesto ūkio ir aplinkos skyrius</w:t>
                </w:r>
              </w:p>
            </w:tc>
          </w:tr>
          <w:tr>
            <w:trPr>
              <w:trHeight w:val="382"/>
              <w:jc w:val="center"/>
            </w:trPr>
            <w:tc>
              <w:tcPr>
                <w:tcW w:w="1550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Miesto patrauklumo gyventi vertinimas</w:t>
                </w:r>
              </w:p>
            </w:tc>
            <w:tc>
              <w:tcPr>
                <w:tcW w:w="848" w:type="dxa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Balas</w:t>
                </w:r>
              </w:p>
            </w:tc>
            <w:tc>
              <w:tcPr>
                <w:tcW w:w="2542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Šiaulių m. gyventojų nuomonės tyrimas, miesto kaip patrauklios gyvenamosios vietovės vertinimas </w:t>
                </w:r>
              </w:p>
            </w:tc>
            <w:tc>
              <w:tcPr>
                <w:tcW w:w="1554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</w:t>
                </w:r>
              </w:p>
            </w:tc>
            <w:tc>
              <w:tcPr>
                <w:tcW w:w="848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7,76</w:t>
                </w:r>
              </w:p>
            </w:tc>
            <w:tc>
              <w:tcPr>
                <w:tcW w:w="849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7,9</w:t>
                </w:r>
              </w:p>
            </w:tc>
            <w:tc>
              <w:tcPr>
                <w:tcW w:w="989" w:type="dxa"/>
              </w:tcPr>
              <w:p>
                <w:pPr>
                  <w:rPr>
                    <w:rFonts w:ascii="Calibri" w:eastAsia="Cambria" w:hAnsi="Calibri"/>
                    <w:sz w:val="20"/>
                    <w:lang w:eastAsia="lt-LT"/>
                  </w:rPr>
                </w:pPr>
                <w:r>
                  <w:rPr>
                    <w:rFonts w:ascii="Calibri" w:eastAsia="Cambria" w:hAnsi="Calibri"/>
                    <w:sz w:val="20"/>
                    <w:lang w:eastAsia="lt-LT"/>
                  </w:rPr>
                  <w:t>7,7</w:t>
                </w:r>
              </w:p>
              <w:p>
                <w:pPr>
                  <w:ind w:firstLine="48"/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00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7,7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  <w:t>(2023 m. duom.)</w:t>
                </w:r>
              </w:p>
            </w:tc>
            <w:tc>
              <w:tcPr>
                <w:tcW w:w="848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84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nepasiek-tas</w:t>
                </w:r>
              </w:p>
            </w:tc>
            <w:tc>
              <w:tcPr>
                <w:tcW w:w="1024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–0,06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balo</w:t>
                </w:r>
              </w:p>
            </w:tc>
            <w:tc>
              <w:tcPr>
                <w:tcW w:w="2694" w:type="dxa"/>
              </w:tcPr>
              <w:p>
                <w:pPr>
                  <w:rPr>
                    <w:rFonts w:ascii="Calibri" w:eastAsia="Calibri" w:hAnsi="Calibri" w:cs="Calibri"/>
                    <w:sz w:val="20"/>
                  </w:rPr>
                </w:pPr>
                <w:r>
                  <w:rPr>
                    <w:rFonts w:ascii="Calibri" w:eastAsia="Calibri" w:hAnsi="Calibri" w:cs="Calibri"/>
                    <w:color w:val="000000"/>
                    <w:sz w:val="18"/>
                    <w:szCs w:val="18"/>
                  </w:rPr>
                  <w:t>Asmenų aptarnavimo skyrius</w:t>
                </w:r>
              </w:p>
            </w:tc>
          </w:tr>
        </w:tbl>
        <w:p>
          <w:pPr>
            <w:rPr>
              <w:rFonts w:eastAsia="+mn-ea" w:cs="+mn-cs"/>
              <w:color w:val="898989"/>
              <w:kern w:val="24"/>
              <w:sz w:val="20"/>
              <w:lang w:val="en-US" w:eastAsia="lt-LT"/>
            </w:rPr>
          </w:pPr>
        </w:p>
        <w:p>
          <w:pPr>
            <w:rPr>
              <w:szCs w:val="24"/>
              <w:lang w:eastAsia="lt-LT"/>
            </w:rPr>
          </w:pPr>
          <w:r>
            <w:rPr>
              <w:rFonts w:eastAsia="+mn-ea" w:cs="+mn-cs"/>
              <w:color w:val="898989"/>
              <w:kern w:val="24"/>
              <w:sz w:val="20"/>
              <w:lang w:val="en-US" w:eastAsia="lt-LT"/>
            </w:rPr>
            <w:t xml:space="preserve">* </w:t>
          </w:r>
          <w:r>
            <w:rPr>
              <w:rFonts w:eastAsia="+mn-ea" w:cs="+mn-cs"/>
              <w:kern w:val="24"/>
              <w:sz w:val="20"/>
              <w:lang w:val="en-GB" w:eastAsia="lt-LT"/>
            </w:rPr>
            <w:t xml:space="preserve">Duomenys  keisti 2019-11-07 d. Savivaldyb</w:t>
          </w:r>
          <w:r>
            <w:rPr>
              <w:rFonts w:eastAsia="+mn-ea" w:cs="+mn-cs"/>
              <w:kern w:val="24"/>
              <w:sz w:val="20"/>
              <w:lang w:eastAsia="lt-LT"/>
            </w:rPr>
            <w:t>ė</w:t>
          </w:r>
          <w:r>
            <w:rPr>
              <w:rFonts w:eastAsia="+mn-ea" w:cs="+mn-cs"/>
              <w:kern w:val="24"/>
              <w:sz w:val="20"/>
              <w:lang w:val="en-GB" w:eastAsia="lt-LT"/>
            </w:rPr>
            <w:t xml:space="preserve">s tarybos sprendimu </w:t>
          </w:r>
          <w:r>
            <w:rPr>
              <w:szCs w:val="24"/>
              <w:lang w:eastAsia="lt-LT"/>
            </w:rPr>
            <w:t xml:space="preserve"> </w:t>
          </w:r>
          <w:r>
            <w:rPr>
              <w:rFonts w:eastAsia="+mn-ea" w:cs="+mn-cs"/>
              <w:kern w:val="24"/>
              <w:sz w:val="20"/>
              <w:lang w:val="en-GB" w:eastAsia="lt-LT"/>
            </w:rPr>
            <w:t>Nr. T-397</w:t>
          </w:r>
        </w:p>
        <w:p>
          <w:pPr>
            <w:spacing w:line="360" w:lineRule="auto"/>
            <w:jc w:val="both"/>
            <w:rPr>
              <w:rFonts w:ascii="Calibri" w:eastAsia="Cambria" w:hAnsi="Calibri"/>
              <w:szCs w:val="24"/>
            </w:rPr>
            <w:sectPr>
              <w:headerReference w:type="default" r:id="rId13"/>
              <w:footerReference w:type="first" r:id="rId14"/>
              <w:pgSz w:w="16840" w:h="11900" w:orient="landscape" w:code="9"/>
              <w:pgMar w:top="720" w:right="624" w:bottom="720" w:left="624" w:header="709" w:footer="567" w:gutter="0"/>
              <w:pgNumType w:start="2"/>
              <w:cols w:space="708"/>
              <w:docGrid w:linePitch="326"/>
            </w:sectPr>
          </w:pPr>
        </w:p>
        <w:p>
          <w:pPr>
            <w:tabs>
              <w:tab w:val="center" w:pos="4320"/>
              <w:tab w:val="right" w:pos="8640"/>
            </w:tabs>
            <w:spacing w:line="360" w:lineRule="auto"/>
            <w:jc w:val="both"/>
            <w:rPr>
              <w:rFonts w:ascii="Calibri" w:eastAsia="Cambria" w:hAnsi="Calibri"/>
              <w:szCs w:val="24"/>
              <w:lang w:val="en-US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jc w:val="center"/>
            <w:rPr>
              <w:rFonts w:eastAsia="Cambria"/>
              <w:bCs/>
              <w:szCs w:val="24"/>
            </w:rPr>
          </w:pPr>
          <w:r>
            <w:rPr>
              <w:rFonts w:eastAsia="Cambria"/>
              <w:bCs/>
              <w:szCs w:val="24"/>
            </w:rPr>
            <w:t>ŠSPP pirmo prioriteto strateginių tikslų ir uždavinių matavimo rodikliai</w:t>
          </w:r>
        </w:p>
        <w:p>
          <w:pPr>
            <w:rPr>
              <w:sz w:val="10"/>
              <w:szCs w:val="10"/>
            </w:rPr>
          </w:pPr>
        </w:p>
        <w:tbl>
          <w:tblPr>
            <w:tblW w:w="15730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FFFFF"/>
            <w:tblLayout w:type="fixed"/>
            <w:tblLook w:val="04A0" w:firstRow="1" w:lastRow="0" w:firstColumn="1" w:lastColumn="0" w:noHBand="0" w:noVBand="1"/>
          </w:tblPr>
          <w:tblGrid>
            <w:gridCol w:w="704"/>
            <w:gridCol w:w="1701"/>
            <w:gridCol w:w="851"/>
            <w:gridCol w:w="2551"/>
            <w:gridCol w:w="1559"/>
            <w:gridCol w:w="993"/>
            <w:gridCol w:w="992"/>
            <w:gridCol w:w="992"/>
            <w:gridCol w:w="1134"/>
            <w:gridCol w:w="851"/>
            <w:gridCol w:w="992"/>
            <w:gridCol w:w="992"/>
            <w:gridCol w:w="1418"/>
          </w:tblGrid>
          <w:tr>
            <w:trPr>
              <w:trHeight w:val="392"/>
              <w:jc w:val="center"/>
            </w:trPr>
            <w:tc>
              <w:tcPr>
                <w:tcW w:w="704" w:type="dxa"/>
                <w:vMerge w:val="restart"/>
                <w:shd w:val="clear" w:color="auto" w:fill="D0CECE" w:themeFill="background2" w:themeFillShade="E6"/>
                <w:hideMark/>
              </w:tcPr>
              <w:p>
                <w:pP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Nr.</w:t>
                </w:r>
              </w:p>
            </w:tc>
            <w:tc>
              <w:tcPr>
                <w:tcW w:w="1701" w:type="dxa"/>
                <w:vMerge w:val="restart"/>
                <w:shd w:val="clear" w:color="auto" w:fill="D0CECE" w:themeFill="background2" w:themeFillShade="E6"/>
                <w:hideMark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Rodiklio pavadinimas</w:t>
                </w:r>
              </w:p>
            </w:tc>
            <w:tc>
              <w:tcPr>
                <w:tcW w:w="851" w:type="dxa"/>
                <w:vMerge w:val="restart"/>
                <w:shd w:val="clear" w:color="auto" w:fill="D0CECE" w:themeFill="background2" w:themeFillShade="E6"/>
                <w:hideMark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Mata-vimo viene-tas</w:t>
                </w:r>
              </w:p>
            </w:tc>
            <w:tc>
              <w:tcPr>
                <w:tcW w:w="2551" w:type="dxa"/>
                <w:vMerge w:val="restart"/>
                <w:shd w:val="clear" w:color="auto" w:fill="D0CECE" w:themeFill="background2" w:themeFillShade="E6"/>
                <w:hideMark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Matavimo metodika</w:t>
                </w:r>
              </w:p>
            </w:tc>
            <w:tc>
              <w:tcPr>
                <w:tcW w:w="1559" w:type="dxa"/>
                <w:vMerge w:val="restart"/>
                <w:shd w:val="clear" w:color="auto" w:fill="D0CECE" w:themeFill="background2" w:themeFillShade="E6"/>
                <w:hideMark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Duomenų šaltinis</w:t>
                </w:r>
              </w:p>
            </w:tc>
            <w:tc>
              <w:tcPr>
                <w:tcW w:w="8364" w:type="dxa"/>
                <w:gridSpan w:val="8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Rezultatas</w:t>
                </w:r>
              </w:p>
            </w:tc>
          </w:tr>
          <w:tr>
            <w:trPr>
              <w:trHeight w:val="202"/>
              <w:jc w:val="center"/>
            </w:trPr>
            <w:tc>
              <w:tcPr>
                <w:tcW w:w="704" w:type="dxa"/>
                <w:vMerge/>
                <w:shd w:val="clear" w:color="auto" w:fill="D0CECE" w:themeFill="background2" w:themeFillShade="E6"/>
              </w:tcPr>
              <w:p>
                <w:pP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01" w:type="dxa"/>
                <w:vMerge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vMerge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551" w:type="dxa"/>
                <w:vMerge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559" w:type="dxa"/>
                <w:vMerge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3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2015 m.</w:t>
                </w:r>
              </w:p>
            </w:tc>
            <w:tc>
              <w:tcPr>
                <w:tcW w:w="992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2017 m.</w:t>
                </w:r>
              </w:p>
            </w:tc>
            <w:tc>
              <w:tcPr>
                <w:tcW w:w="992" w:type="dxa"/>
                <w:shd w:val="clear" w:color="auto" w:fill="D0CECE" w:themeFill="background2" w:themeFillShade="E6"/>
              </w:tcPr>
              <w:p>
                <w:pPr>
                  <w:jc w:val="both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2021 m.</w:t>
                </w:r>
              </w:p>
            </w:tc>
            <w:tc>
              <w:tcPr>
                <w:tcW w:w="1134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2024 m.</w:t>
                </w:r>
              </w:p>
            </w:tc>
            <w:tc>
              <w:tcPr>
                <w:tcW w:w="851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2025 m. siekis</w:t>
                </w:r>
              </w:p>
            </w:tc>
            <w:tc>
              <w:tcPr>
                <w:tcW w:w="992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Pasiek-tas/ nepa-siektas</w:t>
                </w:r>
              </w:p>
            </w:tc>
            <w:tc>
              <w:tcPr>
                <w:tcW w:w="992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val="en-US" w:eastAsia="lt-LT"/>
                  </w:rPr>
                  <w:t>Realus pokytis</w:t>
                </w:r>
              </w:p>
            </w:tc>
            <w:tc>
              <w:tcPr>
                <w:tcW w:w="1418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Atsakingas</w:t>
                </w:r>
              </w:p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85"/>
              <w:jc w:val="center"/>
            </w:trPr>
            <w:tc>
              <w:tcPr>
                <w:tcW w:w="704" w:type="dxa"/>
                <w:shd w:val="clear" w:color="auto" w:fill="FFC000" w:themeFill="accent4"/>
                <w:hideMark/>
              </w:tcPr>
              <w:p>
                <w:pPr>
                  <w:rPr>
                    <w:rFonts w:ascii="Calibri" w:hAnsi="Calibri"/>
                    <w:b/>
                    <w:bCs/>
                    <w:color w:val="FFFFFF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1.1.</w:t>
                </w:r>
              </w:p>
            </w:tc>
            <w:tc>
              <w:tcPr>
                <w:tcW w:w="15026" w:type="dxa"/>
                <w:gridSpan w:val="12"/>
                <w:shd w:val="clear" w:color="auto" w:fill="FFC000" w:themeFill="accent4"/>
              </w:tcPr>
              <w:p>
                <w:pPr>
                  <w:rPr>
                    <w:rFonts w:ascii="Calibri" w:hAnsi="Calibri"/>
                    <w:b/>
                    <w:bCs/>
                    <w:color w:val="FFFFFF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Plėtoti inovatyvią švietimo ir kultūros sistemą, ugdančią aktyvią ir kūrybingą asmenybę</w:t>
                </w:r>
              </w:p>
            </w:tc>
          </w:tr>
          <w:tr>
            <w:trPr>
              <w:trHeight w:val="625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E1-1.1.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Brandos egzaminų rezultatai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Išvestinis rodiklis apskaičiuojamas remiantis mokyklų ir Nacionalinio egzaminų centro duomenimis. Brandos egzaminų rezultatų pokytis lyginamas su praėjusiais metais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Savivaldybė, Nacionalinis egzaminų centras, mokyklos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97,6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spacing w:line="360" w:lineRule="auto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98,2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96,1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95,8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>nepa-siektas / sumažėjo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 xml:space="preserve">–2,2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proc. punkto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>Švietimo skyrius</w:t>
                </w:r>
              </w:p>
              <w:p>
                <w:pPr>
                  <w:rPr>
                    <w:rFonts w:ascii="Calibri" w:hAnsi="Calibri"/>
                    <w:bCs/>
                    <w:color w:val="000000"/>
                    <w:sz w:val="20"/>
                    <w:highlight w:val="yellow"/>
                    <w:lang w:eastAsia="lt-LT"/>
                  </w:rPr>
                </w:pPr>
              </w:p>
            </w:tc>
          </w:tr>
          <w:tr>
            <w:trPr>
              <w:trHeight w:val="578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E2-1.1.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Įstojantys į universitetines ir neuniversitetines mokyklas abiturientai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Įstojančių į universitetines ir neuniversitetines mokyklas abiturientų dalis nuo visų gavusiųjų brandos atestatą.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Savivaldybė, mokyklos, </w:t>
                </w:r>
                <w:r>
                  <w:rPr>
                    <w:rFonts w:ascii="Calibri" w:hAnsi="Calibri"/>
                    <w:sz w:val="20"/>
                    <w:lang w:eastAsia="lt-LT"/>
                  </w:rPr>
                  <w:t xml:space="preserve">ŠVIS 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70,3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(Tik Lietuvoje)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59,1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(Tik Lietuvoje)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shd w:val="clear" w:color="auto" w:fill="FFFFFF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63,2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(Tik Lietuvoje)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val="en-US"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val="en-US" w:eastAsia="lt-LT"/>
                  </w:rPr>
                  <w:t xml:space="preserve">65,0 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val="en-US"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val="en-US" w:eastAsia="lt-LT"/>
                  </w:rPr>
                  <w:t>(Tik Lietuvoje</w:t>
                </w:r>
                <w:r>
                  <w:rPr>
                    <w:rFonts w:ascii="Calibri" w:hAnsi="Calibri"/>
                    <w:color w:val="000000"/>
                    <w:sz w:val="20"/>
                    <w:lang w:val="en-US" w:eastAsia="lt-LT"/>
                  </w:rPr>
                  <w:t>)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>nepa-siektas / sumažėjo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 xml:space="preserve">–5,3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proc. punkto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>Švietimo skyrius</w:t>
                </w:r>
              </w:p>
            </w:tc>
          </w:tr>
          <w:tr>
            <w:trPr>
              <w:trHeight w:val="659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E3-1.1.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Studentai, įsidarbinę pagal specialybę 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Studentų, </w:t>
                </w:r>
                <w:r>
                  <w:rPr>
                    <w:rFonts w:ascii="Calibri" w:hAnsi="Calibri"/>
                    <w:sz w:val="20"/>
                    <w:lang w:eastAsia="lt-LT"/>
                  </w:rPr>
                  <w:t>įsidarbinusių pagal specialybę, dalis, palyginti su Užimtumo tarnyboje įregistruotų Šiaulių miesto aukštųjų mokyklų absolventų dalimi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Savivaldybė, Užimtumo tarnyba, Šiaulių kolegija</w:t>
                </w:r>
              </w:p>
            </w:tc>
            <w:tc>
              <w:tcPr>
                <w:tcW w:w="993" w:type="dxa"/>
                <w:shd w:val="clear" w:color="auto" w:fill="FFFFFF" w:themeFill="background1"/>
                <w:noWrap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29,2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34,3</w:t>
                </w:r>
              </w:p>
            </w:tc>
            <w:tc>
              <w:tcPr>
                <w:tcW w:w="992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n. d.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n. d.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>nėra duome-nų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>Švietimo skyrius</w:t>
                </w:r>
              </w:p>
            </w:tc>
          </w:tr>
          <w:tr>
            <w:trPr>
              <w:trHeight w:val="421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E4-1.1.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Informacinių komunikacinių technologijų (IKT) naudojimas švietimo įstaigose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Mokytojų, naudojančių pamokose skaitmenines mokymosi aplinkas, d</w:t>
                </w: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alis nuo visų mokytojų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Savivaldybė, mokyklos 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94,1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spacing w:line="360" w:lineRule="auto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93,3</w:t>
                </w:r>
              </w:p>
              <w:p>
                <w:pPr>
                  <w:spacing w:line="360" w:lineRule="auto"/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93,3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98,3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Stabili-zuoti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 xml:space="preserve">+4,2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proc. punkto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>Švietimo skyrius</w:t>
                </w:r>
              </w:p>
            </w:tc>
          </w:tr>
          <w:tr>
            <w:trPr>
              <w:trHeight w:val="336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E5-1.1.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Kultūros objektų lankytojai</w:t>
                </w:r>
              </w:p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vnt.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Šiaulių miesto kultūros objektų lankytojų skaičius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Savivaldybė, kultūros įstaigos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898 828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991 604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986 571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1 014 606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 xml:space="preserve">+12,9 </w:t>
                </w:r>
                <w:r>
                  <w:rPr>
                    <w:rFonts w:ascii="Calibri" w:hAnsi="Calibri" w:cs="Calibri"/>
                    <w:bCs/>
                    <w:sz w:val="20"/>
                    <w:lang w:eastAsia="lt-LT"/>
                  </w:rPr>
                  <w:t>%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 xml:space="preserve">Kultūros skyrius </w:t>
                </w:r>
              </w:p>
            </w:tc>
          </w:tr>
          <w:tr>
            <w:trPr>
              <w:trHeight w:val="143"/>
              <w:jc w:val="center"/>
            </w:trPr>
            <w:tc>
              <w:tcPr>
                <w:tcW w:w="704" w:type="dxa"/>
                <w:shd w:val="clear" w:color="auto" w:fill="D9D9D9" w:themeFill="background1" w:themeFillShade="D9"/>
                <w:hideMark/>
              </w:tcPr>
              <w:p>
                <w:pP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  <w:t>1.1.1.</w:t>
                </w:r>
              </w:p>
            </w:tc>
            <w:tc>
              <w:tcPr>
                <w:tcW w:w="15026" w:type="dxa"/>
                <w:gridSpan w:val="12"/>
                <w:shd w:val="clear" w:color="auto" w:fill="D9D9D9" w:themeFill="background1" w:themeFillShade="D9"/>
              </w:tcPr>
              <w:p>
                <w:pP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  <w:t>Sudaryti sąlygas asmeninei karjerai</w:t>
                </w:r>
              </w:p>
            </w:tc>
          </w:tr>
          <w:tr>
            <w:trPr>
              <w:trHeight w:val="276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P1-1.1.1.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Atestuoti pedagogai švietimo įstaigose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Atestuotų pedagogų dalis švietimo įstaigose.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Savivaldybė, mokyklos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93,1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92,2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92,4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92,3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nepa-siektas / sumažėjo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–0,8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proc. punkto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Švietimo skyrius</w:t>
                </w:r>
              </w:p>
            </w:tc>
          </w:tr>
          <w:tr>
            <w:trPr>
              <w:trHeight w:val="862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P2-1.1.1.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Neformaliojo ugdymo apimtys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Neformaliojo ugdymo būrelius lankančių mokinių dalis nuo bendro mokinių skaičiaus metais.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Mokinių, lankančių bent vieną neformaliojo švietimo užsiėmimą ne mokykloje, dalis nuo visų mokinių.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Savivaldybė, mokyklos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spacing w:line="360" w:lineRule="auto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71</w:t>
                </w:r>
              </w:p>
              <w:p>
                <w:pPr>
                  <w:spacing w:line="360" w:lineRule="auto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spacing w:line="360" w:lineRule="auto"/>
                  <w:rPr>
                    <w:rFonts w:ascii="Calibri" w:hAnsi="Calibri"/>
                    <w:color w:val="000000"/>
                    <w:sz w:val="20"/>
                    <w:highlight w:val="cyan"/>
                    <w:lang w:eastAsia="lt-LT"/>
                  </w:rPr>
                </w:pPr>
              </w:p>
              <w:p>
                <w:pPr>
                  <w:spacing w:line="360" w:lineRule="auto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spacing w:line="360" w:lineRule="auto"/>
                  <w:rPr>
                    <w:rFonts w:ascii="Calibri" w:hAnsi="Calibri"/>
                    <w:sz w:val="20"/>
                    <w:highlight w:val="cyan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61,1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spacing w:line="360" w:lineRule="auto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84</w:t>
                </w:r>
              </w:p>
              <w:p>
                <w:pPr>
                  <w:spacing w:line="360" w:lineRule="auto"/>
                  <w:rPr>
                    <w:rFonts w:ascii="Calibri" w:hAnsi="Calibri"/>
                    <w:sz w:val="20"/>
                    <w:lang w:eastAsia="lt-LT"/>
                  </w:rPr>
                </w:pPr>
              </w:p>
              <w:p>
                <w:pPr>
                  <w:spacing w:line="360" w:lineRule="auto"/>
                  <w:rPr>
                    <w:rFonts w:ascii="Calibri" w:hAnsi="Calibri"/>
                    <w:sz w:val="20"/>
                    <w:lang w:eastAsia="lt-LT"/>
                  </w:rPr>
                </w:pPr>
              </w:p>
              <w:p>
                <w:pPr>
                  <w:spacing w:line="360" w:lineRule="auto"/>
                  <w:rPr>
                    <w:rFonts w:ascii="Calibri" w:hAnsi="Calibri"/>
                    <w:sz w:val="20"/>
                    <w:lang w:eastAsia="lt-LT"/>
                  </w:rPr>
                </w:pPr>
              </w:p>
              <w:p>
                <w:pPr>
                  <w:spacing w:line="360" w:lineRule="auto"/>
                  <w:rPr>
                    <w:rFonts w:ascii="Calibri" w:hAnsi="Calibri"/>
                    <w:sz w:val="20"/>
                    <w:highlight w:val="cyan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63,0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71,8</w:t>
                </w:r>
              </w:p>
              <w:p>
                <w:pPr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eastAsia="Cambria" w:hAnsi="Calibri"/>
                    <w:sz w:val="20"/>
                    <w:lang w:eastAsia="lt-LT"/>
                  </w:rPr>
                  <w:t>65,1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73,2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63,3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pasiektas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+2,2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proc. punkto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+2,2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proc. punkto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Švietimo skyrius</w:t>
                </w:r>
              </w:p>
            </w:tc>
          </w:tr>
          <w:tr>
            <w:trPr>
              <w:trHeight w:val="413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P3-1.1.1.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Švietimo įstaigose ugdomi 0–5 metų vaikai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Švietimo įstaigose ugdomų 0–5 m. vaikų dalis, palyginti su bendru to amžiaus vaikų skaičiumi.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</w:t>
                </w:r>
                <w:r>
                  <w:rPr>
                    <w:rFonts w:ascii="Calibri" w:hAnsi="Calibri"/>
                    <w:sz w:val="20"/>
                    <w:lang w:eastAsia="lt-LT"/>
                  </w:rPr>
                  <w:t xml:space="preserve">ybė, Gyventojų registras, mokinių registras 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73,7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74,9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73,4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77,1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+3,4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proc. punkto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Švietimo skyrius</w:t>
                </w:r>
              </w:p>
            </w:tc>
          </w:tr>
          <w:tr>
            <w:trPr>
              <w:trHeight w:val="552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P4-1.1.1.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Mokinių vasaros užimtumas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ind w:right="678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Mokinių, dalyvavusių bent vienoje miesto vasaros užimtumo programoje, skaičius ir dalis nuo bendro mokinių skaičiaus.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Savivaldybė, mokyklos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spacing w:line="360" w:lineRule="auto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8,0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spacing w:line="360" w:lineRule="auto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12,4</w:t>
                </w:r>
              </w:p>
              <w:p>
                <w:pPr>
                  <w:spacing w:line="360" w:lineRule="auto"/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9,2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9,0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+1,0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proc. punkto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Švietimo skyrius</w:t>
                </w:r>
              </w:p>
            </w:tc>
          </w:tr>
          <w:tr>
            <w:trPr>
              <w:trHeight w:val="678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P5-1.1.1.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Mokinių ir jų tėvų mokyklų vertinimas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Mokinių ir jų tėvų, labai gerai ir gerai vertinančių mokyklos veiklą ugdant mokinių asmenybes, dalis. Rodiklis sudarytas remiantis Geros mokyklos koncepcija.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Savivaldybė, mokyklos, ugdymo įstaigų įsivertinimo ir pažangos analizė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75/84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spacing w:line="360" w:lineRule="auto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89,7/93,3</w:t>
                </w:r>
              </w:p>
              <w:p>
                <w:pPr>
                  <w:spacing w:line="360" w:lineRule="auto"/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77,5/85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n. d.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>duome-nys neberen-kami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Švietimo skyrius</w:t>
                </w:r>
              </w:p>
            </w:tc>
          </w:tr>
          <w:tr>
            <w:trPr>
              <w:trHeight w:val="136"/>
              <w:jc w:val="center"/>
            </w:trPr>
            <w:tc>
              <w:tcPr>
                <w:tcW w:w="704" w:type="dxa"/>
                <w:shd w:val="clear" w:color="auto" w:fill="D9D9D9" w:themeFill="background1" w:themeFillShade="D9"/>
                <w:hideMark/>
              </w:tcPr>
              <w:p>
                <w:pP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  <w:t>1.1.2.</w:t>
                </w:r>
              </w:p>
            </w:tc>
            <w:tc>
              <w:tcPr>
                <w:tcW w:w="15026" w:type="dxa"/>
                <w:gridSpan w:val="12"/>
                <w:shd w:val="clear" w:color="auto" w:fill="D9D9D9" w:themeFill="background1" w:themeFillShade="D9"/>
              </w:tcPr>
              <w:p>
                <w:pP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  <w:t>Plėtoti įvairaus spektro kultūros paslaugas, išnaudojant regiono ir metropolinio miesto potencialą</w:t>
                </w:r>
              </w:p>
            </w:tc>
          </w:tr>
          <w:tr>
            <w:trPr>
              <w:trHeight w:val="452"/>
              <w:jc w:val="center"/>
            </w:trPr>
            <w:tc>
              <w:tcPr>
                <w:tcW w:w="704" w:type="dxa"/>
                <w:vMerge w:val="restart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P1-1.1.2.</w:t>
                </w:r>
              </w:p>
            </w:tc>
            <w:tc>
              <w:tcPr>
                <w:tcW w:w="1701" w:type="dxa"/>
                <w:vMerge w:val="restart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Lankytojai pagal kultūros objektus: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vnt.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Lankytojų skaičius bibliotekose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559" w:type="dxa"/>
                <w:vMerge w:val="restart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Savivaldybė, kultūros įstaigos, Statistikos departamentas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514 771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517 133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378 077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393 550</w:t>
                </w:r>
              </w:p>
            </w:tc>
            <w:tc>
              <w:tcPr>
                <w:tcW w:w="851" w:type="dxa"/>
                <w:vMerge w:val="restart"/>
                <w:shd w:val="clear" w:color="auto" w:fill="FFFFFF" w:themeFill="background1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nepa-siektas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–23,5 %</w:t>
                </w:r>
              </w:p>
            </w:tc>
            <w:tc>
              <w:tcPr>
                <w:tcW w:w="1418" w:type="dxa"/>
                <w:vMerge w:val="restart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Kultūros skyrius</w:t>
                </w:r>
              </w:p>
              <w:p>
                <w:pPr>
                  <w:ind w:firstLine="1200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171"/>
              <w:jc w:val="center"/>
            </w:trPr>
            <w:tc>
              <w:tcPr>
                <w:tcW w:w="704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01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vnt.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Lankytojų skaičius teatruose</w:t>
                </w:r>
              </w:p>
            </w:tc>
            <w:tc>
              <w:tcPr>
                <w:tcW w:w="1559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3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30 795</w:t>
                </w:r>
              </w:p>
            </w:tc>
            <w:tc>
              <w:tcPr>
                <w:tcW w:w="992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33 169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12 762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31 395</w:t>
                </w:r>
              </w:p>
            </w:tc>
            <w:tc>
              <w:tcPr>
                <w:tcW w:w="851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+1,9 %</w:t>
                </w:r>
              </w:p>
            </w:tc>
            <w:tc>
              <w:tcPr>
                <w:tcW w:w="1418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175"/>
              <w:jc w:val="center"/>
            </w:trPr>
            <w:tc>
              <w:tcPr>
                <w:tcW w:w="704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01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vnt.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Lankytojų skaičius galerijose</w:t>
                </w:r>
              </w:p>
            </w:tc>
            <w:tc>
              <w:tcPr>
                <w:tcW w:w="1559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3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20 495</w:t>
                </w:r>
              </w:p>
            </w:tc>
            <w:tc>
              <w:tcPr>
                <w:tcW w:w="992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21 844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64 628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63 222</w:t>
                </w:r>
              </w:p>
            </w:tc>
            <w:tc>
              <w:tcPr>
                <w:tcW w:w="851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3 kartais</w:t>
                </w:r>
              </w:p>
            </w:tc>
            <w:tc>
              <w:tcPr>
                <w:tcW w:w="1418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165"/>
              <w:jc w:val="center"/>
            </w:trPr>
            <w:tc>
              <w:tcPr>
                <w:tcW w:w="704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01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tcBorders>
                  <w:bottom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vnt.</w:t>
                </w:r>
              </w:p>
            </w:tc>
            <w:tc>
              <w:tcPr>
                <w:tcW w:w="2551" w:type="dxa"/>
                <w:tcBorders>
                  <w:bottom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Lankytojų skaičius koncertų salėse</w:t>
                </w:r>
              </w:p>
            </w:tc>
            <w:tc>
              <w:tcPr>
                <w:tcW w:w="1559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3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55 346</w:t>
                </w:r>
              </w:p>
            </w:tc>
            <w:tc>
              <w:tcPr>
                <w:tcW w:w="992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92 491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129 246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127 416</w:t>
                </w:r>
              </w:p>
            </w:tc>
            <w:tc>
              <w:tcPr>
                <w:tcW w:w="851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2,3 karto</w:t>
                </w:r>
              </w:p>
            </w:tc>
            <w:tc>
              <w:tcPr>
                <w:tcW w:w="1418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165"/>
              <w:jc w:val="center"/>
            </w:trPr>
            <w:tc>
              <w:tcPr>
                <w:tcW w:w="704" w:type="dxa"/>
                <w:vMerge/>
                <w:vAlign w:val="center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01" w:type="dxa"/>
                <w:vMerge/>
                <w:vAlign w:val="center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vnt.</w:t>
                </w:r>
              </w:p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551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Lankytojų skaičius muziejuose</w:t>
                </w:r>
              </w:p>
            </w:tc>
            <w:tc>
              <w:tcPr>
                <w:tcW w:w="1559" w:type="dxa"/>
                <w:vMerge/>
                <w:vAlign w:val="center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3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110 437</w:t>
                </w:r>
              </w:p>
            </w:tc>
            <w:tc>
              <w:tcPr>
                <w:tcW w:w="992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126 854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104 958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140 805</w:t>
                </w:r>
              </w:p>
            </w:tc>
            <w:tc>
              <w:tcPr>
                <w:tcW w:w="851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+27,5 %</w:t>
                </w:r>
              </w:p>
            </w:tc>
            <w:tc>
              <w:tcPr>
                <w:tcW w:w="1418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169"/>
              <w:jc w:val="center"/>
            </w:trPr>
            <w:tc>
              <w:tcPr>
                <w:tcW w:w="704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01" w:type="dxa"/>
                <w:vMerge/>
                <w:tcBorders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vnt.</w:t>
                </w:r>
              </w:p>
            </w:tc>
            <w:tc>
              <w:tcPr>
                <w:tcW w:w="25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Lankytojų skaičius kultūros centruose</w:t>
                </w:r>
              </w:p>
            </w:tc>
            <w:tc>
              <w:tcPr>
                <w:tcW w:w="1559" w:type="dxa"/>
                <w:vMerge/>
                <w:tcBorders>
                  <w:lef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3" w:type="dxa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166 984</w:t>
                </w:r>
              </w:p>
            </w:tc>
            <w:tc>
              <w:tcPr>
                <w:tcW w:w="992" w:type="dxa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200 113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296 900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258 218</w:t>
                </w:r>
              </w:p>
            </w:tc>
            <w:tc>
              <w:tcPr>
                <w:tcW w:w="851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+54,6 %</w:t>
                </w:r>
              </w:p>
            </w:tc>
            <w:tc>
              <w:tcPr>
                <w:tcW w:w="1418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393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P2-1.1.2.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Mėgėjų ir meno kolektyvų populiarumas</w:t>
                </w:r>
              </w:p>
            </w:tc>
            <w:tc>
              <w:tcPr>
                <w:tcW w:w="851" w:type="dxa"/>
                <w:tcBorders>
                  <w:top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vnt.</w:t>
                </w:r>
              </w:p>
            </w:tc>
            <w:tc>
              <w:tcPr>
                <w:tcW w:w="2551" w:type="dxa"/>
                <w:tcBorders>
                  <w:top w:val="single" w:sz="4" w:space="0" w:color="auto"/>
                </w:tcBorders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Mėgėjų ir meno kolektyvų bei dalyvių skaičiaus santykis.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Savivaldybė, Statistikos departamentas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23/647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22/649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22/771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19/600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nepa-siektas / sumažėjo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–17,4 %/  –7,3 %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Kultūros skyrius</w:t>
                </w:r>
              </w:p>
            </w:tc>
          </w:tr>
          <w:tr>
            <w:trPr>
              <w:trHeight w:val="552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P3-1.1.2.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Dalyvavimas respublikiniuose ir regioniniuose konkursuose, festivaliuose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vnt.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Kolektyvų, biudžetinių įstaigų, dalyvaujančių respublikiniuose ir regioniniuose konkursuose, festivaliuose, skaičius.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Savivaldybė, kultūros įstaigos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19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20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30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19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val="en-US"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nepa-siektas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Augimas buvo iki 2021 m., bet 2024 m. liko toks pat, kaip ir 2015 m.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Kultūros skyrius</w:t>
                </w:r>
              </w:p>
            </w:tc>
          </w:tr>
          <w:tr>
            <w:trPr>
              <w:trHeight w:val="172"/>
              <w:jc w:val="center"/>
            </w:trPr>
            <w:tc>
              <w:tcPr>
                <w:tcW w:w="704" w:type="dxa"/>
                <w:shd w:val="clear" w:color="auto" w:fill="D9D9D9" w:themeFill="background1" w:themeFillShade="D9"/>
                <w:hideMark/>
              </w:tcPr>
              <w:p>
                <w:pPr>
                  <w:rPr>
                    <w:rFonts w:ascii="Calibri" w:hAnsi="Calibri"/>
                    <w:b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sz w:val="20"/>
                    <w:lang w:eastAsia="lt-LT"/>
                  </w:rPr>
                  <w:t>1.1.3.</w:t>
                </w:r>
              </w:p>
            </w:tc>
            <w:tc>
              <w:tcPr>
                <w:tcW w:w="15026" w:type="dxa"/>
                <w:gridSpan w:val="12"/>
                <w:shd w:val="clear" w:color="auto" w:fill="D9D9D9" w:themeFill="background1" w:themeFillShade="D9"/>
              </w:tcPr>
              <w:p>
                <w:pPr>
                  <w:rPr>
                    <w:rFonts w:ascii="Calibri" w:hAnsi="Calibri"/>
                    <w:b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sz w:val="20"/>
                    <w:lang w:eastAsia="lt-LT"/>
                  </w:rPr>
                  <w:t>Ugdyti visuomenės sąmoningumą, pilietiškumą, skatinant verslo, švietimo, NVO, kultūros ir mokslo bendradarbiavimą</w:t>
                </w:r>
              </w:p>
            </w:tc>
          </w:tr>
          <w:tr>
            <w:trPr>
              <w:trHeight w:val="448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P1-1.1.3.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Mokiniai, savanoriai, dalyvaujantys miesto veiklose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Mokinių, dalyvavusių miesto veiklose savanorystės principu, dalis. 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25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45</w:t>
                </w:r>
              </w:p>
            </w:tc>
            <w:tc>
              <w:tcPr>
                <w:tcW w:w="992" w:type="dxa"/>
              </w:tcPr>
              <w:p>
                <w:pPr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51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71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+46,0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proc. punkto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Švietimo skyrius </w:t>
                </w:r>
              </w:p>
            </w:tc>
          </w:tr>
          <w:tr>
            <w:trPr>
              <w:trHeight w:val="564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P2-1.1.3.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Aktyvios bendradarbia-vimo sutartys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Veikiančių (aktyvių) bendradarbiavimo sutarčių dalis nuo visų bendradarbiavimo sutarčių; </w:t>
                </w:r>
                <w:r>
                  <w:rPr>
                    <w:rFonts w:ascii="Calibri" w:hAnsi="Calibri"/>
                    <w:sz w:val="20"/>
                    <w:lang w:eastAsia="lt-LT"/>
                  </w:rPr>
                  <w:t>įmonės, organizacijos, kurios per kalendorinius metus iniciavo socialinės-pilietinės, profesinio veiklinimo, savanorystės veiklas).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71,4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spacing w:line="360" w:lineRule="auto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87,0</w:t>
                </w:r>
              </w:p>
              <w:p>
                <w:pPr>
                  <w:spacing w:line="360" w:lineRule="auto"/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</w:tcPr>
              <w:p>
                <w:pPr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95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86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 xml:space="preserve">+14,6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proc. punkto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>Švietimo skyrius</w:t>
                </w:r>
              </w:p>
            </w:tc>
          </w:tr>
          <w:tr>
            <w:trPr>
              <w:trHeight w:val="552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P3-1.1.4.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Mokinių socialinių kompetencijų ugdymas 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vnt.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Aktyvių bendradarbiavimo su įmonėmis sutarčių </w:t>
                </w:r>
                <w:r>
                  <w:rPr>
                    <w:rFonts w:ascii="Calibri" w:hAnsi="Calibri"/>
                    <w:sz w:val="20"/>
                    <w:lang w:eastAsia="lt-LT"/>
                  </w:rPr>
                  <w:t>skaičius</w:t>
                </w: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, pagal kurias mokiniai gali atlikti praktiką </w:t>
                </w:r>
                <w:r>
                  <w:rPr>
                    <w:rFonts w:ascii="Calibri" w:hAnsi="Calibri"/>
                    <w:sz w:val="20"/>
                    <w:lang w:eastAsia="lt-LT"/>
                  </w:rPr>
                  <w:t>(intensyvus profesinis veiklinimas) įmonėse.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spacing w:line="360" w:lineRule="auto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35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56</w:t>
                </w:r>
              </w:p>
            </w:tc>
            <w:tc>
              <w:tcPr>
                <w:tcW w:w="992" w:type="dxa"/>
              </w:tcPr>
              <w:p>
                <w:pPr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60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eastAsia="Cambria" w:hAnsi="Calibri"/>
                    <w:szCs w:val="24"/>
                    <w:lang w:val="en-US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86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2,5 karto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Švietimo skyrius</w:t>
                </w:r>
              </w:p>
            </w:tc>
          </w:tr>
          <w:tr>
            <w:trPr>
              <w:trHeight w:val="129"/>
              <w:jc w:val="center"/>
            </w:trPr>
            <w:tc>
              <w:tcPr>
                <w:tcW w:w="704" w:type="dxa"/>
                <w:shd w:val="clear" w:color="auto" w:fill="FFC000" w:themeFill="accent4"/>
                <w:hideMark/>
              </w:tcPr>
              <w:p>
                <w:pP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1.2.</w:t>
                </w:r>
              </w:p>
            </w:tc>
            <w:tc>
              <w:tcPr>
                <w:tcW w:w="15026" w:type="dxa"/>
                <w:gridSpan w:val="12"/>
                <w:shd w:val="clear" w:color="auto" w:fill="FFC000" w:themeFill="accent4"/>
              </w:tcPr>
              <w:p>
                <w:pP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Kurti modernią kūno kultūros ir sveikatos sistemą</w:t>
                </w:r>
              </w:p>
            </w:tc>
          </w:tr>
          <w:tr>
            <w:trPr>
              <w:trHeight w:val="303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E1-1.2.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eastAsia="Cambria" w:hAnsi="Calibri"/>
                    <w:sz w:val="20"/>
                    <w:lang w:val="en-US"/>
                  </w:rPr>
                  <w:t>Savarankiškai sportuojantys asmenys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Savarankiškai sportuojančių asmenų dalis (apklausos metodas) nuo visų miesto gyventojų. 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</w:t>
                </w:r>
              </w:p>
            </w:tc>
            <w:tc>
              <w:tcPr>
                <w:tcW w:w="99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n. d.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n. d.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n. d.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val="en-US" w:eastAsia="lt-LT"/>
                  </w:rPr>
                </w:pPr>
                <w:r>
                  <w:rPr>
                    <w:rFonts w:ascii="Calibri" w:hAnsi="Calibri"/>
                    <w:sz w:val="20"/>
                    <w:lang w:val="en-US" w:eastAsia="lt-LT"/>
                  </w:rPr>
                  <w:t xml:space="preserve">n. d. 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  <w:t>nėra duomenų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20"/>
                    <w:lang w:eastAsia="lt-LT"/>
                  </w:rPr>
                  <w:t>Sporto skyrius</w:t>
                </w:r>
              </w:p>
            </w:tc>
          </w:tr>
          <w:tr>
            <w:trPr>
              <w:trHeight w:val="413"/>
              <w:jc w:val="center"/>
            </w:trPr>
            <w:tc>
              <w:tcPr>
                <w:tcW w:w="704" w:type="dxa"/>
                <w:vMerge w:val="restart"/>
                <w:shd w:val="clear" w:color="auto" w:fill="FFFFFF" w:themeFill="background1"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E2-1.2.</w:t>
                </w:r>
              </w:p>
            </w:tc>
            <w:tc>
              <w:tcPr>
                <w:tcW w:w="1701" w:type="dxa"/>
                <w:vMerge w:val="restart"/>
                <w:shd w:val="clear" w:color="auto" w:fill="FFFFFF" w:themeFill="background1"/>
                <w:vAlign w:val="center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Gyventojų sergamumas</w:t>
                </w:r>
              </w:p>
            </w:tc>
            <w:tc>
              <w:tcPr>
                <w:tcW w:w="851" w:type="dxa"/>
                <w:vMerge w:val="restart"/>
                <w:shd w:val="clear" w:color="auto" w:fill="FFFFFF" w:themeFill="background1"/>
                <w:vAlign w:val="center"/>
                <w:hideMark/>
              </w:tcPr>
              <w:p>
                <w:pPr>
                  <w:jc w:val="center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vnt./ 100000 gyv.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Standartizuotas miesto gyventojų mirtingumas nuo piktybinių navikų.</w:t>
                </w:r>
              </w:p>
            </w:tc>
            <w:tc>
              <w:tcPr>
                <w:tcW w:w="1559" w:type="dxa"/>
                <w:vMerge w:val="restart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Savivaldybė, sveikatos priežiūros įstaigos, Visuomenės sveikatos biuras</w:t>
                </w:r>
              </w:p>
            </w:tc>
            <w:tc>
              <w:tcPr>
                <w:tcW w:w="99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310,39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292,4</w:t>
                </w:r>
              </w:p>
            </w:tc>
            <w:tc>
              <w:tcPr>
                <w:tcW w:w="992" w:type="dxa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255,2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eastAsia="Calibri" w:hAnsi="Calibri" w:cs="Calibri"/>
                    <w:sz w:val="20"/>
                  </w:rPr>
                </w:pPr>
                <w:r>
                  <w:rPr>
                    <w:rFonts w:ascii="Calibri" w:eastAsia="Calibri" w:hAnsi="Calibri" w:cs="Calibri"/>
                    <w:sz w:val="20"/>
                  </w:rPr>
                  <w:t>250,1</w:t>
                </w:r>
              </w:p>
              <w:p>
                <w:pPr>
                  <w:ind w:firstLine="48"/>
                  <w:rPr>
                    <w:rFonts w:ascii="Calibri" w:eastAsia="Cambria" w:hAnsi="Calibri"/>
                    <w:szCs w:val="24"/>
                    <w:lang w:val="en-US"/>
                  </w:rPr>
                </w:pPr>
                <w: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  <w:t>(2023 m. duom.)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vMerge w:val="restart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Mažinti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sz w:val="20"/>
                    <w:lang w:eastAsia="lt-LT"/>
                  </w:rPr>
                </w:pPr>
                <w:r>
                  <w:rPr>
                    <w:rFonts w:ascii="Calibri" w:eastAsia="Cambria" w:hAnsi="Calibri"/>
                    <w:sz w:val="20"/>
                    <w:lang w:eastAsia="lt-LT"/>
                  </w:rPr>
                  <w:t xml:space="preserve">–19,4 </w:t>
                </w:r>
                <w:r>
                  <w:rPr>
                    <w:rFonts w:ascii="Calibri" w:eastAsia="Cambria" w:hAnsi="Calibri" w:cs="Calibri"/>
                    <w:sz w:val="20"/>
                    <w:lang w:eastAsia="lt-LT"/>
                  </w:rPr>
                  <w:t>%</w:t>
                </w:r>
              </w:p>
            </w:tc>
            <w:tc>
              <w:tcPr>
                <w:tcW w:w="1418" w:type="dxa"/>
                <w:vMerge w:val="restart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eastAsia="Cambria" w:hAnsi="Calibri"/>
                    <w:sz w:val="20"/>
                    <w:lang w:eastAsia="lt-LT"/>
                  </w:rPr>
                  <w:t>Sveikatos skyrius</w:t>
                </w:r>
              </w:p>
            </w:tc>
          </w:tr>
          <w:tr>
            <w:trPr>
              <w:trHeight w:val="391"/>
              <w:jc w:val="center"/>
            </w:trPr>
            <w:tc>
              <w:tcPr>
                <w:tcW w:w="704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</w:p>
            </w:tc>
            <w:tc>
              <w:tcPr>
                <w:tcW w:w="1701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sz w:val="20"/>
                    <w:highlight w:val="yellow"/>
                    <w:lang w:eastAsia="lt-LT"/>
                  </w:rPr>
                </w:pPr>
              </w:p>
            </w:tc>
            <w:tc>
              <w:tcPr>
                <w:tcW w:w="851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sz w:val="20"/>
                    <w:highlight w:val="yellow"/>
                    <w:lang w:eastAsia="lt-LT"/>
                  </w:rPr>
                </w:pP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Standartizuotas miesto gyventojų mirtingumas nuo cerebrovaskulinių ligų.</w:t>
                </w:r>
              </w:p>
            </w:tc>
            <w:tc>
              <w:tcPr>
                <w:tcW w:w="1559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</w:p>
            </w:tc>
            <w:tc>
              <w:tcPr>
                <w:tcW w:w="99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214,35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242,9</w:t>
                </w:r>
              </w:p>
            </w:tc>
            <w:tc>
              <w:tcPr>
                <w:tcW w:w="992" w:type="dxa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206,3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eastAsia="Calibri" w:hAnsi="Calibri" w:cs="Calibri"/>
                    <w:sz w:val="20"/>
                  </w:rPr>
                </w:pPr>
                <w:r>
                  <w:rPr>
                    <w:rFonts w:ascii="Calibri" w:eastAsia="Calibri" w:hAnsi="Calibri" w:cs="Calibri"/>
                    <w:sz w:val="20"/>
                  </w:rPr>
                  <w:t>149,8</w:t>
                </w:r>
              </w:p>
              <w:p>
                <w:pPr>
                  <w:ind w:firstLine="48"/>
                  <w:rPr>
                    <w:rFonts w:ascii="Calibri" w:eastAsia="Cambria" w:hAnsi="Calibri"/>
                    <w:szCs w:val="24"/>
                    <w:lang w:val="en-US"/>
                  </w:rPr>
                </w:pPr>
                <w: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  <w:t>(2023 m. duom.)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</w:p>
            </w:tc>
            <w:tc>
              <w:tcPr>
                <w:tcW w:w="851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–30,1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%</w:t>
                </w:r>
              </w:p>
            </w:tc>
            <w:tc>
              <w:tcPr>
                <w:tcW w:w="1418" w:type="dxa"/>
                <w:vMerge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409"/>
              <w:jc w:val="center"/>
            </w:trPr>
            <w:tc>
              <w:tcPr>
                <w:tcW w:w="704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01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Standartizuotas miesto gyventojų mirtingumas nuo kraujotakos sist. ligų.</w:t>
                </w:r>
              </w:p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  <w:tc>
              <w:tcPr>
                <w:tcW w:w="1559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714,60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627,2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642,3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eastAsia="Calibri" w:hAnsi="Calibri" w:cs="Calibri"/>
                    <w:sz w:val="20"/>
                  </w:rPr>
                </w:pPr>
                <w:r>
                  <w:rPr>
                    <w:rFonts w:ascii="Calibri" w:eastAsia="Calibri" w:hAnsi="Calibri" w:cs="Calibri"/>
                    <w:sz w:val="20"/>
                  </w:rPr>
                  <w:t xml:space="preserve">525,8 </w:t>
                </w:r>
              </w:p>
              <w:p>
                <w:pPr>
                  <w:rPr>
                    <w:rFonts w:ascii="Calibri" w:eastAsia="Cambria" w:hAnsi="Calibri"/>
                    <w:szCs w:val="24"/>
                    <w:lang w:val="en-US"/>
                  </w:rPr>
                </w:pPr>
                <w: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  <w:t>(2023 m. duom.)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–26,4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%</w:t>
                </w:r>
              </w:p>
            </w:tc>
            <w:tc>
              <w:tcPr>
                <w:tcW w:w="1418" w:type="dxa"/>
                <w:vMerge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32"/>
              <w:jc w:val="center"/>
            </w:trPr>
            <w:tc>
              <w:tcPr>
                <w:tcW w:w="704" w:type="dxa"/>
                <w:shd w:val="clear" w:color="auto" w:fill="D9D9D9" w:themeFill="background1" w:themeFillShade="D9"/>
                <w:hideMark/>
              </w:tcPr>
              <w:p>
                <w:pP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  <w:t>1.2.1.</w:t>
                </w:r>
              </w:p>
              <w:p>
                <w:pP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5026" w:type="dxa"/>
                <w:gridSpan w:val="12"/>
                <w:shd w:val="clear" w:color="auto" w:fill="D9D9D9" w:themeFill="background1" w:themeFillShade="D9"/>
              </w:tcPr>
              <w:p>
                <w:pP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  <w:t>Formuoti bendruomenės narių sveiką gyvenseną ir jos kultūrą</w:t>
                </w:r>
              </w:p>
            </w:tc>
          </w:tr>
          <w:tr>
            <w:trPr>
              <w:trHeight w:val="564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P1-1.2.1.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Neįgaliųjų įtraukimas į sportinę veiklą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Sporto organizacijų veikloje dalyvaujančių asmenų skaičiaus padidėjimas nuo esamo 2015 m. asmenų skaičiaus.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Sporto organizacijų statistines ataskaitos duomenys, Savivaldybė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3,9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16,3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37,2</w:t>
                </w:r>
              </w:p>
              <w:p>
                <w:pPr>
                  <w:rPr>
                    <w:rFonts w:ascii="Calibri" w:eastAsia="Cambria" w:hAnsi="Calibri"/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FF0000"/>
                    <w:sz w:val="20"/>
                    <w:lang w:val="en-US" w:eastAsia="lt-LT"/>
                  </w:rPr>
                </w:pPr>
                <w:r>
                  <w:rPr>
                    <w:rFonts w:ascii="Calibri" w:hAnsi="Calibri"/>
                    <w:sz w:val="20"/>
                    <w:lang w:val="en-US" w:eastAsia="lt-LT"/>
                  </w:rPr>
                  <w:t>35,7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+31,8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proc. punkto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Sporto skyrius</w:t>
                </w:r>
              </w:p>
            </w:tc>
          </w:tr>
          <w:tr>
            <w:trPr>
              <w:trHeight w:val="319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P2-1.2.1.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Sportinėje veikloje dalyvaujantys gyventojai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Sportinėje veikloje dalyvaujančių procentas skaičiuojamas nuo bendro miesto gyventojų skaičiaus.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Statistikos departamentas, Savivaldybė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20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29,5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21,3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32,0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+12,0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 xml:space="preserve"> proc. punkto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Sporto skyrius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130"/>
              <w:jc w:val="center"/>
            </w:trPr>
            <w:tc>
              <w:tcPr>
                <w:tcW w:w="704" w:type="dxa"/>
                <w:shd w:val="clear" w:color="auto" w:fill="D9D9D9" w:themeFill="background1" w:themeFillShade="D9"/>
                <w:hideMark/>
              </w:tcPr>
              <w:p>
                <w:pP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1.2.2.</w:t>
                </w:r>
              </w:p>
            </w:tc>
            <w:tc>
              <w:tcPr>
                <w:tcW w:w="15026" w:type="dxa"/>
                <w:gridSpan w:val="12"/>
                <w:shd w:val="clear" w:color="auto" w:fill="D9D9D9" w:themeFill="background1" w:themeFillShade="D9"/>
              </w:tcPr>
              <w:p>
                <w:pPr>
                  <w:rPr>
                    <w:rFonts w:ascii="Calibri" w:hAnsi="Calibri"/>
                    <w:b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sz w:val="20"/>
                    <w:lang w:eastAsia="lt-LT"/>
                  </w:rPr>
                  <w:t>Plėtoti aukšto meistriškumo sportininkų rengimo sistemą</w:t>
                </w:r>
              </w:p>
            </w:tc>
          </w:tr>
          <w:tr>
            <w:trPr>
              <w:trHeight w:val="690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P1-1.2.2.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Sportininkai, dalyvaujantys tarptautiniuose čempionatuose, varžybose 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vnt.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Sportininkų, dalyvaujančių Olimpinėse žaidynėse, pasaulio, Europos čempionatuose, taurės varžybose, skaičius.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Savivaldybė, Sporto organizacijų statistines ataskaitos duomenys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167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193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244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369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2,2 karto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Sporto skyrius</w:t>
                </w:r>
              </w:p>
            </w:tc>
          </w:tr>
          <w:tr>
            <w:trPr>
              <w:trHeight w:val="566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P2-1.2.2.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Sportininkai, dalyvaujantys parolimpinėse žaidynėse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vnt.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Dalyvaujančių parolimpinėse žaidynėse sportininkų skaičius.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Savivaldybė, Sporto organizacijų statistines ataskaitos duomenys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0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2016 m. - 2;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2017 m. - 0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ind w:firstLine="48"/>
                  <w:rPr>
                    <w:rFonts w:ascii="Calibri" w:hAnsi="Calibri"/>
                    <w:color w:val="000000"/>
                    <w:sz w:val="20"/>
                    <w:lang w:val="en-US"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val="en-US" w:eastAsia="lt-LT"/>
                  </w:rPr>
                  <w:t>3 paralimpiečiai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highlight w:val="green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Iš viso dalyvavo 6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Sporto skyrius</w:t>
                </w:r>
              </w:p>
            </w:tc>
          </w:tr>
          <w:tr>
            <w:trPr>
              <w:trHeight w:val="96"/>
              <w:jc w:val="center"/>
            </w:trPr>
            <w:tc>
              <w:tcPr>
                <w:tcW w:w="704" w:type="dxa"/>
                <w:shd w:val="clear" w:color="auto" w:fill="D9D9D9" w:themeFill="background1" w:themeFillShade="D9"/>
                <w:hideMark/>
              </w:tcPr>
              <w:p>
                <w:pP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  <w:t>1.2.3.</w:t>
                </w:r>
              </w:p>
            </w:tc>
            <w:tc>
              <w:tcPr>
                <w:tcW w:w="15026" w:type="dxa"/>
                <w:gridSpan w:val="12"/>
                <w:shd w:val="clear" w:color="auto" w:fill="D9D9D9" w:themeFill="background1" w:themeFillShade="D9"/>
              </w:tcPr>
              <w:p>
                <w:pP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  <w:t>Užtikrinti tolygias, prieinamas ambulatorines asmens sveikatos priežiūros paslaugas</w:t>
                </w:r>
              </w:p>
            </w:tc>
          </w:tr>
          <w:tr>
            <w:trPr>
              <w:trHeight w:val="426"/>
              <w:jc w:val="center"/>
            </w:trPr>
            <w:tc>
              <w:tcPr>
                <w:tcW w:w="704" w:type="dxa"/>
                <w:vMerge w:val="restart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P1-1.2.3.</w:t>
                </w:r>
              </w:p>
            </w:tc>
            <w:tc>
              <w:tcPr>
                <w:tcW w:w="1701" w:type="dxa"/>
                <w:vMerge w:val="restart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Sveikatos priežiūros paslaugų laukimo eilė </w:t>
                </w:r>
              </w:p>
            </w:tc>
            <w:tc>
              <w:tcPr>
                <w:tcW w:w="851" w:type="dxa"/>
                <w:vMerge w:val="restart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Gydytojų specialistų teikiamų paslaugų laukimo vidutinė trukmė.</w:t>
                </w:r>
              </w:p>
            </w:tc>
            <w:tc>
              <w:tcPr>
                <w:tcW w:w="1559" w:type="dxa"/>
                <w:vMerge w:val="restart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Savivaldybė, Šiaulių teritorinė ligonių kasa</w:t>
                </w:r>
              </w:p>
              <w:p>
                <w:pPr>
                  <w:ind w:firstLine="48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25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18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eastAsia="Cambria" w:hAnsi="Calibri"/>
                    <w:sz w:val="20"/>
                    <w:lang w:eastAsia="lt-LT"/>
                  </w:rPr>
                  <w:t>14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15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Mažinti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ind w:firstLine="48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–40,0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%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Sveikatos skyrius</w:t>
                </w:r>
              </w:p>
            </w:tc>
          </w:tr>
          <w:tr>
            <w:trPr>
              <w:trHeight w:val="409"/>
              <w:jc w:val="center"/>
            </w:trPr>
            <w:tc>
              <w:tcPr>
                <w:tcW w:w="704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01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Pirminės ambulatorinės asmens sveikatos priežiūros gydytojų teikiamų paslaugų laukimo vidutinė trukmė. </w:t>
                </w:r>
              </w:p>
            </w:tc>
            <w:tc>
              <w:tcPr>
                <w:tcW w:w="1559" w:type="dxa"/>
                <w:vMerge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7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5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7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6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Mažinti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ind w:firstLine="48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–14,3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%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Sveikatos skyrius</w:t>
                </w:r>
              </w:p>
            </w:tc>
          </w:tr>
          <w:tr>
            <w:trPr>
              <w:trHeight w:val="230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P2-1.2.3.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Atvykę į Šiaulius dirbti gydytojai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vnt.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Pritrauktų / atvykusių į Šiaulius dirbti gydytojų skaičius.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Savivaldybė, sveikatos įstaigos</w:t>
                </w:r>
              </w:p>
            </w:tc>
            <w:tc>
              <w:tcPr>
                <w:tcW w:w="99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13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11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9/7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16/7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+23,1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%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Sveikatos skyrius</w:t>
                </w:r>
              </w:p>
            </w:tc>
          </w:tr>
          <w:tr>
            <w:trPr>
              <w:trHeight w:val="158"/>
              <w:jc w:val="center"/>
            </w:trPr>
            <w:tc>
              <w:tcPr>
                <w:tcW w:w="704" w:type="dxa"/>
                <w:shd w:val="clear" w:color="auto" w:fill="FFC000" w:themeFill="accent4"/>
                <w:hideMark/>
              </w:tcPr>
              <w:p>
                <w:pP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1.3.</w:t>
                </w:r>
              </w:p>
            </w:tc>
            <w:tc>
              <w:tcPr>
                <w:tcW w:w="15026" w:type="dxa"/>
                <w:gridSpan w:val="12"/>
                <w:shd w:val="clear" w:color="auto" w:fill="FFC000" w:themeFill="accent4"/>
              </w:tcPr>
              <w:p>
                <w:pP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Kurti saugią socialinę aplinką</w:t>
                </w:r>
              </w:p>
            </w:tc>
          </w:tr>
          <w:tr>
            <w:trPr>
              <w:trHeight w:val="430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E1-1.3.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color w:val="000000"/>
                    <w:sz w:val="20"/>
                  </w:rPr>
                  <w:t>Nestacionarių paslaugų gavėjai</w:t>
                </w:r>
              </w:p>
              <w:p>
                <w:pPr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color w:val="000000"/>
                    <w:sz w:val="20"/>
                  </w:rPr>
                  <w:t>vnt.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eastAsia="Cambria" w:hAnsi="Calibri" w:cs="Arial"/>
                    <w:color w:val="000000"/>
                    <w:sz w:val="20"/>
                  </w:rPr>
                </w:pPr>
                <w:r>
                  <w:rPr>
                    <w:rFonts w:ascii="Calibri" w:eastAsia="Cambria" w:hAnsi="Calibri" w:cs="Arial"/>
                    <w:color w:val="000000"/>
                    <w:sz w:val="20"/>
                  </w:rPr>
                  <w:t xml:space="preserve">Nestacionarių paslaugų gavėjų skaičius. </w:t>
                </w:r>
              </w:p>
              <w:p>
                <w:pPr>
                  <w:rPr>
                    <w:rFonts w:ascii="Calibri" w:eastAsia="Cambria" w:hAnsi="Calibri" w:cs="Arial"/>
                    <w:color w:val="000000"/>
                    <w:sz w:val="20"/>
                  </w:rPr>
                </w:pP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jc w:val="both"/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color w:val="000000"/>
                    <w:sz w:val="20"/>
                  </w:rPr>
                  <w:t>Savivaldybė, socialinės įstaigos</w:t>
                </w:r>
              </w:p>
            </w:tc>
            <w:tc>
              <w:tcPr>
                <w:tcW w:w="99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color w:val="000000"/>
                    <w:sz w:val="20"/>
                  </w:rPr>
                  <w:t>129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color w:val="000000"/>
                    <w:sz w:val="20"/>
                  </w:rPr>
                  <w:t>220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1 254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jc w:val="both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6 138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eastAsia="Cambria" w:hAnsi="Calibri"/>
                    <w:bCs/>
                    <w:color w:val="000000"/>
                    <w:sz w:val="20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eastAsia="Cambria" w:hAnsi="Calibri"/>
                    <w:bCs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bCs/>
                    <w:color w:val="000000"/>
                    <w:sz w:val="20"/>
                  </w:rPr>
                  <w:t>47,6 karto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bCs/>
                    <w:color w:val="000000"/>
                    <w:sz w:val="20"/>
                  </w:rPr>
                  <w:t>Socialinių paslaugų skyrius</w:t>
                </w:r>
              </w:p>
            </w:tc>
          </w:tr>
          <w:tr>
            <w:trPr>
              <w:trHeight w:val="399"/>
              <w:jc w:val="center"/>
            </w:trPr>
            <w:tc>
              <w:tcPr>
                <w:tcW w:w="70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E2-1.3.</w:t>
                </w:r>
              </w:p>
            </w:tc>
            <w:tc>
              <w:tcPr>
                <w:tcW w:w="1701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color w:val="000000"/>
                    <w:sz w:val="20"/>
                  </w:rPr>
                  <w:t>Stacionariose socialinės globos įstaigose teikiamų paslaugų gavėjai</w:t>
                </w:r>
              </w:p>
              <w:p>
                <w:pPr>
                  <w:jc w:val="both"/>
                  <w:rPr>
                    <w:rFonts w:ascii="Calibri" w:eastAsia="Cambria" w:hAnsi="Calibri"/>
                    <w:color w:val="000000"/>
                    <w:sz w:val="20"/>
                  </w:rPr>
                </w:pP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jc w:val="center"/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color w:val="000000"/>
                    <w:sz w:val="20"/>
                  </w:rPr>
                  <w:t>vnt.</w:t>
                </w:r>
              </w:p>
            </w:tc>
            <w:tc>
              <w:tcPr>
                <w:tcW w:w="2551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sz w:val="20"/>
                  </w:rPr>
                  <w:t>Gyventojų skaičius</w:t>
                </w:r>
                <w:r>
                  <w:rPr>
                    <w:rFonts w:ascii="Calibri" w:eastAsia="Cambria" w:hAnsi="Calibri"/>
                    <w:color w:val="000000"/>
                    <w:sz w:val="20"/>
                  </w:rPr>
                  <w:t>, kuriems teikiamos paslaugos stacionariose socialinės globos įstaigose.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color w:val="000000"/>
                    <w:sz w:val="20"/>
                  </w:rPr>
                  <w:t>Savivaldybė, socialinės įstaigos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color w:val="000000"/>
                    <w:sz w:val="20"/>
                  </w:rPr>
                  <w:t>58</w:t>
                </w:r>
              </w:p>
              <w:p>
                <w:pPr>
                  <w:spacing w:line="360" w:lineRule="auto"/>
                  <w:rPr>
                    <w:rFonts w:ascii="Calibri" w:eastAsia="Cambria" w:hAnsi="Calibri"/>
                    <w:sz w:val="20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color w:val="000000"/>
                    <w:sz w:val="20"/>
                  </w:rPr>
                  <w:t>139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457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jc w:val="both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438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Mažinti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eastAsia="Cambria" w:hAnsi="Calibri"/>
                    <w:bCs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bCs/>
                    <w:color w:val="000000"/>
                    <w:sz w:val="20"/>
                  </w:rPr>
                  <w:t>nepa-siektas / padidėjo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eastAsia="Cambria" w:hAnsi="Calibri"/>
                    <w:bCs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bCs/>
                    <w:color w:val="000000"/>
                    <w:sz w:val="20"/>
                  </w:rPr>
                  <w:t>7,6 karto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bCs/>
                    <w:color w:val="000000"/>
                    <w:sz w:val="20"/>
                  </w:rPr>
                  <w:t>Socialinių paslaugų skyrius</w:t>
                </w:r>
              </w:p>
            </w:tc>
          </w:tr>
          <w:tr>
            <w:trPr>
              <w:trHeight w:val="399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E3-1.3.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Socialinę atskirtį patiriančių asmenų (ilgalaikių bedarbių) integracija į darbo rinką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Į darbo rinką integruotų socialinę atskirtį patiriančių asmenų (ilgalaikių bedarbių) dalis nuo visų ilgalaikių bedarbių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3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3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4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7,7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Didinti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bCs/>
                    <w:color w:val="000000"/>
                    <w:sz w:val="20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bCs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bCs/>
                    <w:color w:val="000000"/>
                    <w:sz w:val="20"/>
                  </w:rPr>
                  <w:t xml:space="preserve">+4,7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proc. punkto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bCs/>
                    <w:color w:val="000000"/>
                    <w:sz w:val="20"/>
                  </w:rPr>
                  <w:t>Socialinių paslaugų skyrius</w:t>
                </w:r>
              </w:p>
            </w:tc>
          </w:tr>
          <w:tr>
            <w:trPr>
              <w:trHeight w:val="276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E4-1.3.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Lėšos, skirtos socialinei paramai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tūkst. eur.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Lėšos, panaudotos piniginei paramai teikti.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2 321,1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1 469,4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eastAsia="Cambria" w:hAnsi="Calibri"/>
                    <w:sz w:val="20"/>
                    <w:lang w:eastAsia="lt-LT"/>
                  </w:rPr>
                  <w:t>2 569,5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2 615,0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Mažinti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bCs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bCs/>
                    <w:color w:val="000000"/>
                    <w:sz w:val="20"/>
                  </w:rPr>
                  <w:t>nepa-siektas / padidėjo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bCs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bCs/>
                    <w:color w:val="000000"/>
                    <w:sz w:val="20"/>
                  </w:rPr>
                  <w:t xml:space="preserve">+12,7 </w:t>
                </w:r>
                <w:r>
                  <w:rPr>
                    <w:rFonts w:ascii="Calibri" w:eastAsia="Cambria" w:hAnsi="Calibri" w:cs="Calibri"/>
                    <w:bCs/>
                    <w:color w:val="000000"/>
                    <w:sz w:val="20"/>
                  </w:rPr>
                  <w:t>%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color w:val="000000"/>
                    <w:sz w:val="20"/>
                  </w:rPr>
                </w:pPr>
                <w:r>
                  <w:rPr>
                    <w:rFonts w:ascii="Calibri" w:eastAsia="Cambria" w:hAnsi="Calibri"/>
                    <w:bCs/>
                    <w:color w:val="000000"/>
                    <w:sz w:val="20"/>
                  </w:rPr>
                  <w:t>Socialinių išmokų ir kompensacijų skyrius</w:t>
                </w:r>
              </w:p>
            </w:tc>
          </w:tr>
          <w:tr>
            <w:trPr>
              <w:trHeight w:val="147"/>
              <w:jc w:val="center"/>
            </w:trPr>
            <w:tc>
              <w:tcPr>
                <w:tcW w:w="704" w:type="dxa"/>
                <w:shd w:val="clear" w:color="auto" w:fill="D9D9D9" w:themeFill="background1" w:themeFillShade="D9"/>
                <w:hideMark/>
              </w:tcPr>
              <w:p>
                <w:pP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  <w:t>1.3.1.</w:t>
                </w:r>
              </w:p>
            </w:tc>
            <w:tc>
              <w:tcPr>
                <w:tcW w:w="15026" w:type="dxa"/>
                <w:gridSpan w:val="12"/>
                <w:shd w:val="clear" w:color="auto" w:fill="D9D9D9" w:themeFill="background1" w:themeFillShade="D9"/>
              </w:tcPr>
              <w:p>
                <w:pP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  <w:t>Kurti šeimai palankią aplinką, galimybes derinti pareigas šeimai / asmeniui ir darbui</w:t>
                </w:r>
              </w:p>
            </w:tc>
          </w:tr>
          <w:tr>
            <w:trPr>
              <w:trHeight w:val="389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P1-1.3.1.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Socialinę riziką patiriančios šeimos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Socialinės rizikos šeimų skaičiaus pokytis, palyginti su praėjusiais metais. 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5,9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20,4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8,0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1,7 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Mažinti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–4,2 </w:t>
                </w:r>
                <w:r>
                  <w:rPr>
                    <w:rFonts w:ascii="Calibri" w:hAnsi="Calibri" w:cs="Calibri"/>
                    <w:color w:val="000000"/>
                    <w:sz w:val="20"/>
                    <w:lang w:eastAsia="lt-LT"/>
                  </w:rPr>
                  <w:t>proc. punkto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Socialinių paslaugų skyrius</w:t>
                </w:r>
              </w:p>
            </w:tc>
          </w:tr>
          <w:tr>
            <w:trPr>
              <w:trHeight w:val="465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P2-1.3.1.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Likę be tėvų globos vaikai, augantys institucijose</w:t>
                </w:r>
              </w:p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Likusių be tėvų globos vaikų, augančių institucijose, skaičiaus pokytis, palyginti su praėjusiais metais.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100 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(86 vaikai)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74,4 </w:t>
                </w:r>
              </w:p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(64 vaikai)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40,7 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(35 vaikai)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28,4 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val="en-US"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val="en-US" w:eastAsia="lt-LT"/>
                  </w:rPr>
                  <w:t>(25 vaikai)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Mažinti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–71 </w:t>
                </w:r>
                <w:r>
                  <w:rPr>
                    <w:rFonts w:ascii="Calibri" w:hAnsi="Calibri" w:cs="Calibri"/>
                    <w:sz w:val="20"/>
                    <w:lang w:eastAsia="lt-LT"/>
                  </w:rPr>
                  <w:t xml:space="preserve">proc. punkto/  –61 vaikas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Socialinių paslaugų skyrius</w:t>
                </w:r>
              </w:p>
              <w:p>
                <w:pPr>
                  <w:rPr>
                    <w:rFonts w:ascii="Calibri" w:hAnsi="Calibri"/>
                    <w:strike/>
                    <w:sz w:val="20"/>
                    <w:lang w:eastAsia="lt-LT"/>
                  </w:rPr>
                </w:pPr>
              </w:p>
            </w:tc>
          </w:tr>
          <w:tr>
            <w:trPr>
              <w:trHeight w:val="415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P3-1.3.1.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Smurtą artimoje aplinkoje patiriantys asmenys  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Smurtą artimoje aplinkoje patiriančių asmenų  pokytis, palyginant su praėjusiais metais. 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30 (468)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183 (1 277)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61 (2239)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67 (2 358)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val="en-US" w:eastAsia="lt-LT"/>
                  </w:rPr>
                </w:pP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Mažinti</w:t>
                </w:r>
              </w:p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nepa-siektas / padidėjo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5 kartais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Socialinių paslaugų skyrius</w:t>
                </w:r>
              </w:p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</w:tr>
          <w:tr>
            <w:trPr>
              <w:trHeight w:val="618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P4-1.3.1.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Darbingo amžiaus asmenys, nedirbantys dėl savo artimųjų </w:t>
                </w:r>
                <w:r>
                  <w:rPr>
                    <w:rFonts w:ascii="Calibri" w:hAnsi="Calibri"/>
                    <w:sz w:val="20"/>
                    <w:lang w:eastAsia="lt-LT"/>
                  </w:rPr>
                  <w:t xml:space="preserve">slaugymo ir gaunantys socialinę </w:t>
                </w:r>
              </w:p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pašalpą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Darbingo amžiaus asmenų, nedirbančių dėl savo artimųjų slaugymo </w:t>
                </w:r>
                <w:r>
                  <w:rPr>
                    <w:rFonts w:ascii="Calibri" w:hAnsi="Calibri"/>
                    <w:sz w:val="20"/>
                    <w:lang w:eastAsia="lt-LT"/>
                  </w:rPr>
                  <w:t>ir gaunančių socialinę pašalpą,</w:t>
                </w: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 skaičiaus pokytis, palyginti su praėjusiais metais.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–11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–12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+1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–29,0 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Mažinti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20"/>
                    <w:lang w:eastAsia="lt-LT"/>
                  </w:rPr>
                  <w:t>nepa-siektas / padidėjo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+18,0 </w:t>
                </w:r>
                <w:r>
                  <w:rPr>
                    <w:rFonts w:ascii="Calibri" w:hAnsi="Calibri" w:cs="Calibri"/>
                    <w:sz w:val="20"/>
                    <w:lang w:eastAsia="lt-LT"/>
                  </w:rPr>
                  <w:t>proc. punkto</w:t>
                </w: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 xml:space="preserve">Socialinių išmokų ir kompensacijų skyrius </w:t>
                </w:r>
              </w:p>
              <w:p>
                <w:pPr>
                  <w:rPr>
                    <w:rFonts w:ascii="Calibri" w:hAnsi="Calibri"/>
                    <w:sz w:val="20"/>
                    <w:lang w:eastAsia="lt-LT"/>
                  </w:rPr>
                </w:pPr>
              </w:p>
            </w:tc>
          </w:tr>
          <w:tr>
            <w:trPr>
              <w:trHeight w:val="70"/>
              <w:jc w:val="center"/>
            </w:trPr>
            <w:tc>
              <w:tcPr>
                <w:tcW w:w="704" w:type="dxa"/>
                <w:shd w:val="clear" w:color="auto" w:fill="D9D9D9" w:themeFill="background1" w:themeFillShade="D9"/>
                <w:hideMark/>
              </w:tcPr>
              <w:p>
                <w:pP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  <w:t>1.3.2.</w:t>
                </w:r>
              </w:p>
            </w:tc>
            <w:tc>
              <w:tcPr>
                <w:tcW w:w="15026" w:type="dxa"/>
                <w:gridSpan w:val="12"/>
                <w:shd w:val="clear" w:color="auto" w:fill="D9D9D9" w:themeFill="background1" w:themeFillShade="D9"/>
              </w:tcPr>
              <w:p>
                <w:pP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20"/>
                    <w:lang w:eastAsia="lt-LT"/>
                  </w:rPr>
                  <w:t>Užtikrinti vaikų raidos sutrikimų ankstyvosios reabilitacijos ir abilitacijos prieinamumą</w:t>
                </w:r>
              </w:p>
            </w:tc>
          </w:tr>
          <w:tr>
            <w:trPr>
              <w:trHeight w:val="552"/>
              <w:jc w:val="center"/>
            </w:trPr>
            <w:tc>
              <w:tcPr>
                <w:tcW w:w="70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P1-1.3.2.</w:t>
                </w:r>
              </w:p>
            </w:tc>
            <w:tc>
              <w:tcPr>
                <w:tcW w:w="170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Kompleksines paslaugas gavusių neįgaliųjų ar specialiųjų poreikių vaikai</w:t>
                </w:r>
              </w:p>
            </w:tc>
            <w:tc>
              <w:tcPr>
                <w:tcW w:w="851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proc.</w:t>
                </w:r>
              </w:p>
            </w:tc>
            <w:tc>
              <w:tcPr>
                <w:tcW w:w="2551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Kompleksines paslaugas gavusių neįgaliųjų ar specialiųjų poreikių vaikų skaičiaus pokytis, palyginti su praėjusiais metais. 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Savivaldybė</w:t>
                </w:r>
              </w:p>
            </w:tc>
            <w:tc>
              <w:tcPr>
                <w:tcW w:w="99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100 </w:t>
                </w:r>
              </w:p>
            </w:tc>
            <w:tc>
              <w:tcPr>
                <w:tcW w:w="992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100 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FF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 xml:space="preserve">100 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100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Stabili-zuoti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20"/>
                    <w:lang w:eastAsia="lt-LT"/>
                  </w:rPr>
                  <w:t>Sveikatos skyrius</w:t>
                </w:r>
              </w:p>
            </w:tc>
          </w:tr>
        </w:tbl>
        <w:p>
          <w:pPr>
            <w:spacing w:line="360" w:lineRule="auto"/>
            <w:jc w:val="both"/>
            <w:rPr>
              <w:rFonts w:ascii="Calibri" w:eastAsia="Cambria" w:hAnsi="Calibri"/>
              <w:sz w:val="20"/>
              <w:highlight w:val="yellow"/>
            </w:rPr>
            <w:sectPr>
              <w:headerReference w:type="default" r:id="rId15"/>
              <w:footerReference w:type="first" r:id="rId16"/>
              <w:pgSz w:w="16840" w:h="11900" w:orient="landscape" w:code="9"/>
              <w:pgMar w:top="1418" w:right="624" w:bottom="1134" w:left="624" w:header="709" w:footer="567" w:gutter="0"/>
              <w:cols w:space="708"/>
              <w:titlePg/>
              <w:docGrid w:linePitch="326"/>
            </w:sectPr>
          </w:pPr>
        </w:p>
        <w:p>
          <w:pPr>
            <w:rPr>
              <w:sz w:val="10"/>
              <w:szCs w:val="10"/>
            </w:rPr>
          </w:pPr>
        </w:p>
        <w:p>
          <w:pPr>
            <w:jc w:val="center"/>
            <w:rPr>
              <w:rFonts w:eastAsia="Cambria"/>
              <w:bCs/>
              <w:szCs w:val="24"/>
            </w:rPr>
          </w:pPr>
          <w:r>
            <w:rPr>
              <w:rFonts w:eastAsia="Cambria"/>
              <w:bCs/>
              <w:szCs w:val="24"/>
            </w:rPr>
            <w:t>ŠSPP antro prioriteto strateginių tikslų ir uždavinių rodikliai</w:t>
          </w:r>
        </w:p>
        <w:p>
          <w:pPr>
            <w:rPr>
              <w:sz w:val="10"/>
              <w:szCs w:val="10"/>
            </w:rPr>
          </w:pPr>
        </w:p>
        <w:tbl>
          <w:tblPr>
            <w:tblW w:w="15876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FFFFF"/>
            <w:tblLayout w:type="fixed"/>
            <w:tblLook w:val="04A0" w:firstRow="1" w:lastRow="0" w:firstColumn="1" w:lastColumn="0" w:noHBand="0" w:noVBand="1"/>
          </w:tblPr>
          <w:tblGrid>
            <w:gridCol w:w="678"/>
            <w:gridCol w:w="1873"/>
            <w:gridCol w:w="850"/>
            <w:gridCol w:w="2410"/>
            <w:gridCol w:w="1559"/>
            <w:gridCol w:w="1134"/>
            <w:gridCol w:w="1134"/>
            <w:gridCol w:w="993"/>
            <w:gridCol w:w="993"/>
            <w:gridCol w:w="849"/>
            <w:gridCol w:w="993"/>
            <w:gridCol w:w="851"/>
            <w:gridCol w:w="1559"/>
          </w:tblGrid>
          <w:tr>
            <w:trPr>
              <w:trHeight w:val="202"/>
            </w:trPr>
            <w:tc>
              <w:tcPr>
                <w:tcW w:w="678" w:type="dxa"/>
                <w:vMerge w:val="restart"/>
                <w:shd w:val="clear" w:color="auto" w:fill="D0CECE" w:themeFill="background2" w:themeFillShade="E6"/>
                <w:hideMark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Nr.</w:t>
                </w:r>
              </w:p>
            </w:tc>
            <w:tc>
              <w:tcPr>
                <w:tcW w:w="1873" w:type="dxa"/>
                <w:vMerge w:val="restart"/>
                <w:shd w:val="clear" w:color="auto" w:fill="D0CECE" w:themeFill="background2" w:themeFillShade="E6"/>
                <w:hideMark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Rodiklio pavadinimas</w:t>
                </w:r>
              </w:p>
            </w:tc>
            <w:tc>
              <w:tcPr>
                <w:tcW w:w="850" w:type="dxa"/>
                <w:vMerge w:val="restart"/>
                <w:shd w:val="clear" w:color="auto" w:fill="D0CECE" w:themeFill="background2" w:themeFillShade="E6"/>
                <w:hideMark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Mata-vimo viene-tas</w:t>
                </w:r>
              </w:p>
            </w:tc>
            <w:tc>
              <w:tcPr>
                <w:tcW w:w="2410" w:type="dxa"/>
                <w:vMerge w:val="restart"/>
                <w:shd w:val="clear" w:color="auto" w:fill="D0CECE" w:themeFill="background2" w:themeFillShade="E6"/>
                <w:hideMark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Matavimo metodika</w:t>
                </w:r>
              </w:p>
            </w:tc>
            <w:tc>
              <w:tcPr>
                <w:tcW w:w="1559" w:type="dxa"/>
                <w:vMerge w:val="restart"/>
                <w:shd w:val="clear" w:color="auto" w:fill="D0CECE" w:themeFill="background2" w:themeFillShade="E6"/>
                <w:hideMark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Duomenų šaltinis</w:t>
                </w:r>
              </w:p>
            </w:tc>
            <w:tc>
              <w:tcPr>
                <w:tcW w:w="8506" w:type="dxa"/>
                <w:gridSpan w:val="8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Rezultatas</w:t>
                </w:r>
              </w:p>
            </w:tc>
          </w:tr>
          <w:tr>
            <w:trPr>
              <w:trHeight w:val="202"/>
            </w:trPr>
            <w:tc>
              <w:tcPr>
                <w:tcW w:w="678" w:type="dxa"/>
                <w:vMerge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873" w:type="dxa"/>
                <w:vMerge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850" w:type="dxa"/>
                <w:vMerge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410" w:type="dxa"/>
                <w:vMerge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559" w:type="dxa"/>
                <w:vMerge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2015 m.</w:t>
                </w:r>
              </w:p>
            </w:tc>
            <w:tc>
              <w:tcPr>
                <w:tcW w:w="1134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2017 m.</w:t>
                </w:r>
              </w:p>
            </w:tc>
            <w:tc>
              <w:tcPr>
                <w:tcW w:w="993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2021 m.</w:t>
                </w:r>
              </w:p>
            </w:tc>
            <w:tc>
              <w:tcPr>
                <w:tcW w:w="993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2024 m.</w:t>
                </w:r>
              </w:p>
            </w:tc>
            <w:tc>
              <w:tcPr>
                <w:tcW w:w="849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2025 m. siekis</w:t>
                </w:r>
              </w:p>
            </w:tc>
            <w:tc>
              <w:tcPr>
                <w:tcW w:w="993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Pasiek-tas / nepa-siektas</w:t>
                </w:r>
              </w:p>
            </w:tc>
            <w:tc>
              <w:tcPr>
                <w:tcW w:w="851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val="en-US" w:eastAsia="lt-LT"/>
                  </w:rPr>
                  <w:t>Realus pokytis</w:t>
                </w:r>
              </w:p>
            </w:tc>
            <w:tc>
              <w:tcPr>
                <w:tcW w:w="1559" w:type="dxa"/>
                <w:shd w:val="clear" w:color="auto" w:fill="D0CECE" w:themeFill="background2" w:themeFillShade="E6"/>
              </w:tcPr>
              <w:p>
                <w:pPr>
                  <w:jc w:val="center"/>
                  <w:rPr>
                    <w:rFonts w:ascii="Calibri" w:hAnsi="Calibri"/>
                    <w:b/>
                    <w:bCs/>
                    <w:color w:val="000000"/>
                    <w:sz w:val="20"/>
                    <w:highlight w:val="lightGray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color w:val="000000"/>
                    <w:sz w:val="20"/>
                    <w:lang w:eastAsia="lt-LT"/>
                  </w:rPr>
                  <w:t>Atsakingas</w:t>
                </w:r>
              </w:p>
            </w:tc>
          </w:tr>
          <w:tr>
            <w:trPr>
              <w:trHeight w:val="154"/>
            </w:trPr>
            <w:tc>
              <w:tcPr>
                <w:tcW w:w="678" w:type="dxa"/>
                <w:shd w:val="clear" w:color="auto" w:fill="FF0000"/>
                <w:hideMark/>
              </w:tcPr>
              <w:p>
                <w:pP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2.1.</w:t>
                </w:r>
              </w:p>
            </w:tc>
            <w:tc>
              <w:tcPr>
                <w:tcW w:w="15198" w:type="dxa"/>
                <w:gridSpan w:val="12"/>
                <w:shd w:val="clear" w:color="auto" w:fill="FF0000"/>
              </w:tcPr>
              <w:p>
                <w:pP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Suformuoti ir išlaikyti palankią aplinką investicijų atėjimui Šiaulių mieste</w:t>
                </w:r>
              </w:p>
            </w:tc>
          </w:tr>
          <w:tr>
            <w:trPr>
              <w:trHeight w:val="412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E1-2.1.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Materialinės investicijos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Eur/ gyv.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Materialinės investicijos, tenkančios vienam gyventojui.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Statistikos departamentas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spacing w:line="360" w:lineRule="auto"/>
                  <w:jc w:val="center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2 184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2 440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jc w:val="center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 xml:space="preserve">2 213 </w:t>
                </w:r>
              </w:p>
              <w:p>
                <w:pPr>
                  <w:jc w:val="center"/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/>
                    <w:sz w:val="16"/>
                    <w:szCs w:val="16"/>
                    <w:lang w:eastAsia="lt-LT"/>
                  </w:rPr>
                  <w:t>(2020 m.)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2 917</w:t>
                </w:r>
              </w:p>
              <w:p>
                <w:pPr>
                  <w:jc w:val="center"/>
                  <w:rPr>
                    <w:rFonts w:ascii="Calibri" w:hAnsi="Calibri"/>
                    <w:color w:val="000000"/>
                    <w:sz w:val="14"/>
                    <w:szCs w:val="14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  <w:t>(2023 m. duom.)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  <w:t xml:space="preserve">+33,6 </w:t>
                </w:r>
                <w:r>
                  <w:rPr>
                    <w:rFonts w:ascii="Calibri" w:hAnsi="Calibri" w:cs="Calibri"/>
                    <w:bCs/>
                    <w:color w:val="000000"/>
                    <w:sz w:val="18"/>
                    <w:szCs w:val="18"/>
                    <w:lang w:eastAsia="lt-LT"/>
                  </w:rPr>
                  <w:t>%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Ekonomikos skyrius</w:t>
                </w:r>
              </w:p>
            </w:tc>
          </w:tr>
          <w:tr>
            <w:trPr>
              <w:trHeight w:val="419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E2-2.1.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Smulkių ir vidutinių įmonių apyvarta 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Eur/10000 gyv.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Smulkių ir vidutinių įmonių apyvarta per metus 10 000 gyventojų.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spacing w:line="360" w:lineRule="auto"/>
                  <w:jc w:val="center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298 078,5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346 048,0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jc w:val="center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353 356,4</w:t>
                </w:r>
              </w:p>
              <w:p>
                <w:pPr>
                  <w:jc w:val="center"/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/>
                    <w:sz w:val="16"/>
                    <w:szCs w:val="16"/>
                    <w:lang w:eastAsia="lt-LT"/>
                  </w:rPr>
                  <w:t>(2020 m.)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504 323,4</w:t>
                </w:r>
                <w: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  <w:t xml:space="preserve"> (2023 m. duom.)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  <w:t xml:space="preserve">+69,2 </w:t>
                </w:r>
                <w:r>
                  <w:rPr>
                    <w:rFonts w:ascii="Calibri" w:hAnsi="Calibri" w:cs="Calibri"/>
                    <w:bCs/>
                    <w:color w:val="000000"/>
                    <w:sz w:val="18"/>
                    <w:szCs w:val="18"/>
                    <w:lang w:eastAsia="lt-LT"/>
                  </w:rPr>
                  <w:t>%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Ekonomikos skyrius</w:t>
                </w:r>
              </w:p>
              <w:p>
                <w:pPr>
                  <w:jc w:val="both"/>
                  <w:rPr>
                    <w:rFonts w:eastAsia="Cambria"/>
                    <w:color w:val="FF0000"/>
                    <w:sz w:val="18"/>
                    <w:szCs w:val="18"/>
                    <w:lang w:val="en-US"/>
                  </w:rPr>
                </w:pPr>
              </w:p>
            </w:tc>
          </w:tr>
          <w:tr>
            <w:trPr>
              <w:trHeight w:val="298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E3-2.1.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Šiaulių miesto verslo įmonių investicijos į mokslinius tyrimus ir eksperimentinę plėtrą (MTEP)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proc.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Šiaulių miesto verslo įmonių investicijų dalis į MTEP nuo visos Lietuvos verslo investicijų į MTEP.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n. d.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n. d.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n. d.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n. d. 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  <w:t>nėra duomenų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Ekonomikos  skyrius</w:t>
                </w:r>
              </w:p>
            </w:tc>
          </w:tr>
          <w:tr>
            <w:trPr>
              <w:trHeight w:val="503"/>
            </w:trPr>
            <w:tc>
              <w:tcPr>
                <w:tcW w:w="678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E3-2.1.</w:t>
                </w:r>
              </w:p>
            </w:tc>
            <w:tc>
              <w:tcPr>
                <w:tcW w:w="187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Registruoti bedarbiai ir darbingo amžiaus gyventojai</w:t>
                </w:r>
              </w:p>
            </w:tc>
            <w:tc>
              <w:tcPr>
                <w:tcW w:w="850" w:type="dxa"/>
                <w:shd w:val="clear" w:color="auto" w:fill="FFFFFF" w:themeFill="background1"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proc.</w:t>
                </w:r>
              </w:p>
            </w:tc>
            <w:tc>
              <w:tcPr>
                <w:tcW w:w="2410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Registruotų bedarbių ir darbingo amžiaus gyventojų santykis.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Statistikos departamentas, Užimtumo tarnyba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5,7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5,3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5,5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7,1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Stabilizuoti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  <w:t>nepa-siektas / padidėjo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  <w:t xml:space="preserve">+1,4 </w:t>
                </w:r>
                <w:r>
                  <w:rPr>
                    <w:rFonts w:ascii="Calibri" w:hAnsi="Calibri" w:cs="Calibri"/>
                    <w:color w:val="000000"/>
                    <w:sz w:val="18"/>
                    <w:szCs w:val="18"/>
                    <w:lang w:eastAsia="lt-LT"/>
                  </w:rPr>
                  <w:t>proc. punkto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Ekonomikos  skyrius</w:t>
                </w:r>
              </w:p>
            </w:tc>
          </w:tr>
          <w:tr>
            <w:trPr>
              <w:trHeight w:val="158"/>
            </w:trPr>
            <w:tc>
              <w:tcPr>
                <w:tcW w:w="678" w:type="dxa"/>
                <w:shd w:val="clear" w:color="auto" w:fill="D9D9D9" w:themeFill="background1" w:themeFillShade="D9"/>
                <w:hideMark/>
              </w:tcPr>
              <w:p>
                <w:pP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  <w:t>2.1.1.</w:t>
                </w:r>
              </w:p>
            </w:tc>
            <w:tc>
              <w:tcPr>
                <w:tcW w:w="15198" w:type="dxa"/>
                <w:gridSpan w:val="12"/>
                <w:shd w:val="clear" w:color="auto" w:fill="D9D9D9" w:themeFill="background1" w:themeFillShade="D9"/>
              </w:tcPr>
              <w:p>
                <w:pP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  <w:t>Optimizuoti verslo koordinavimo sistemą</w:t>
                </w:r>
              </w:p>
            </w:tc>
          </w:tr>
          <w:tr>
            <w:trPr>
              <w:trHeight w:val="419"/>
            </w:trPr>
            <w:tc>
              <w:tcPr>
                <w:tcW w:w="678" w:type="dxa"/>
                <w:vMerge w:val="restart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P1-2.1.1.</w:t>
                </w:r>
              </w:p>
            </w:tc>
            <w:tc>
              <w:tcPr>
                <w:tcW w:w="1873" w:type="dxa"/>
                <w:vMerge w:val="restart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Struktūrinis nedarbo lygis</w:t>
                </w:r>
              </w:p>
            </w:tc>
            <w:tc>
              <w:tcPr>
                <w:tcW w:w="850" w:type="dxa"/>
                <w:vMerge w:val="restart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proc.</w:t>
                </w:r>
              </w:p>
            </w:tc>
            <w:tc>
              <w:tcPr>
                <w:tcW w:w="2410" w:type="dxa"/>
                <w:vMerge w:val="restart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Struktūrinio nedarbo lygio pokytis Savivaldybėje lyginant su praėjusiais metais.</w:t>
                </w:r>
                <w:r>
                  <w:rPr>
                    <w:color w:val="000000"/>
                    <w:sz w:val="18"/>
                    <w:szCs w:val="18"/>
                    <w:lang w:eastAsia="lt-LT"/>
                  </w:rPr>
                  <w:t xml:space="preserve"> </w:t>
                </w:r>
              </w:p>
            </w:tc>
            <w:tc>
              <w:tcPr>
                <w:tcW w:w="1559" w:type="dxa"/>
                <w:vMerge w:val="restart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</w:pP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 xml:space="preserve">16–24 m. – 21 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  <w:t>%</w:t>
                </w:r>
              </w:p>
              <w:p>
                <w:pP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</w:pP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  <w:t>25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>–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  <w:t>29 m. – 13 %</w:t>
                </w:r>
              </w:p>
              <w:p>
                <w:pP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</w:pP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  <w:t>30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>–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  <w:t>49 m. – 41 %</w:t>
                </w:r>
              </w:p>
              <w:p>
                <w:pPr>
                  <w:rPr>
                    <w:rFonts w:ascii="Calibri" w:hAnsi="Calibri" w:cs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  <w:t>Vir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>š 50 m. – 25 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  <w:t>%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jc w:val="center"/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</w:pP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 xml:space="preserve">16–24 m. – 19 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  <w:t>%</w:t>
                </w:r>
              </w:p>
              <w:p>
                <w:pPr>
                  <w:jc w:val="center"/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</w:pP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  <w:t>25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>–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  <w:t>29 m. – 12 %</w:t>
                </w:r>
              </w:p>
              <w:p>
                <w:pPr>
                  <w:jc w:val="center"/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</w:pP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  <w:t>30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>–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  <w:t>49 m. – 42 %</w:t>
                </w:r>
              </w:p>
              <w:p>
                <w:pPr>
                  <w:jc w:val="center"/>
                  <w:rPr>
                    <w:rFonts w:ascii="Calibri" w:hAnsi="Calibri" w:cs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  <w:t>Vir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 xml:space="preserve">š 50 m. – 27 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val="en-US" w:eastAsia="lt-LT"/>
                  </w:rPr>
                  <w:t>%</w:t>
                </w:r>
              </w:p>
            </w:tc>
            <w:tc>
              <w:tcPr>
                <w:tcW w:w="993" w:type="dxa"/>
                <w:vMerge w:val="restart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/>
                    <w:sz w:val="16"/>
                    <w:szCs w:val="16"/>
                    <w:lang w:eastAsia="lt-LT"/>
                  </w:rPr>
                  <w:t>19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>–</w:t>
                </w:r>
                <w:r>
                  <w:rPr>
                    <w:rFonts w:ascii="Calibri" w:hAnsi="Calibri"/>
                    <w:sz w:val="16"/>
                    <w:szCs w:val="16"/>
                    <w:lang w:eastAsia="lt-LT"/>
                  </w:rPr>
                  <w:t>29 m. sumažėjo 3,7 %</w:t>
                </w:r>
              </w:p>
              <w:p>
                <w:pPr>
                  <w:rPr>
                    <w:rFonts w:ascii="Calibri" w:hAnsi="Calibri"/>
                    <w:sz w:val="16"/>
                    <w:szCs w:val="16"/>
                    <w:lang w:eastAsia="lt-LT"/>
                  </w:rPr>
                </w:pPr>
              </w:p>
              <w:p>
                <w:pPr>
                  <w:rPr>
                    <w:rFonts w:ascii="Calibri" w:eastAsia="Cambria" w:hAnsi="Calibri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/>
                    <w:sz w:val="16"/>
                    <w:szCs w:val="16"/>
                    <w:lang w:eastAsia="lt-LT"/>
                  </w:rPr>
                  <w:t>Virš 50 m. padidėjo 9,29 %</w:t>
                </w:r>
              </w:p>
              <w:p>
                <w:pPr>
                  <w:rPr>
                    <w:rFonts w:ascii="Calibri" w:eastAsia="Cambria" w:hAnsi="Calibri"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eastAsia="Cambria" w:hAnsi="Calibri"/>
                    <w:sz w:val="16"/>
                    <w:szCs w:val="16"/>
                    <w:lang w:eastAsia="lt-LT"/>
                  </w:rPr>
                  <w:t>(lyginant su 2020 m.)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6"/>
                    <w:szCs w:val="16"/>
                    <w:lang w:val="en-US" w:eastAsia="lt-LT"/>
                  </w:rPr>
                </w:pPr>
                <w:r>
                  <w:rPr>
                    <w:rFonts w:ascii="Calibri" w:hAnsi="Calibri"/>
                    <w:color w:val="000000"/>
                    <w:sz w:val="16"/>
                    <w:szCs w:val="16"/>
                    <w:lang w:val="en-US" w:eastAsia="lt-LT"/>
                  </w:rPr>
                  <w:t>16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>–</w:t>
                </w:r>
                <w:r>
                  <w:rPr>
                    <w:rFonts w:ascii="Calibri" w:hAnsi="Calibri"/>
                    <w:color w:val="000000"/>
                    <w:sz w:val="16"/>
                    <w:szCs w:val="16"/>
                    <w:lang w:val="en-US" w:eastAsia="lt-LT"/>
                  </w:rPr>
                  <w:t>24 m. padid. 0,8 %</w:t>
                </w:r>
              </w:p>
              <w:p>
                <w:pP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  <w:t>25</w:t>
                </w: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 xml:space="preserve">– </w:t>
                </w:r>
                <w: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  <w:t>29 m.</w:t>
                </w:r>
              </w:p>
              <w:p>
                <w:pPr>
                  <w:rPr>
                    <w:rFonts w:ascii="Calibri" w:hAnsi="Calibri"/>
                    <w:color w:val="000000"/>
                    <w:sz w:val="16"/>
                    <w:szCs w:val="16"/>
                    <w:lang w:val="en-US" w:eastAsia="lt-LT"/>
                  </w:rPr>
                </w:pPr>
                <w:r>
                  <w:rPr>
                    <w:rFonts w:ascii="Calibri" w:hAnsi="Calibri"/>
                    <w:color w:val="000000"/>
                    <w:sz w:val="16"/>
                    <w:szCs w:val="16"/>
                    <w:lang w:val="en-US" w:eastAsia="lt-LT"/>
                  </w:rPr>
                  <w:t>padid. 0,8 %</w:t>
                </w:r>
              </w:p>
            </w:tc>
            <w:tc>
              <w:tcPr>
                <w:tcW w:w="849" w:type="dxa"/>
                <w:vMerge w:val="restart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Mažinti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559" w:type="dxa"/>
                <w:vMerge w:val="restart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Ekonomikos skyrius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419"/>
            </w:trPr>
            <w:tc>
              <w:tcPr>
                <w:tcW w:w="678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873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50" w:type="dxa"/>
                <w:vMerge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410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559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>Specialistai – 15,3 / 17,9 %</w:t>
                </w:r>
              </w:p>
              <w:p>
                <w:pP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>Kvalifikuoti darbininkai – 33,8 / 57,0 %</w:t>
                </w:r>
              </w:p>
              <w:p>
                <w:pPr>
                  <w:rPr>
                    <w:rFonts w:ascii="Calibri" w:hAnsi="Calibri" w:cs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>Nekvalifikuoti darbininkai – 50,8 / 25,1 %</w:t>
                </w:r>
              </w:p>
              <w:p>
                <w:pPr>
                  <w:rPr>
                    <w:rFonts w:ascii="Calibri" w:hAnsi="Calibri" w:cs="Calibri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 w:cs="Calibri"/>
                    <w:sz w:val="16"/>
                    <w:szCs w:val="16"/>
                    <w:lang w:eastAsia="lt-LT"/>
                  </w:rPr>
                  <w:t>Užimtumo tarnyba tokių duomenų nebepateikia.</w:t>
                </w:r>
              </w:p>
              <w:p>
                <w:pPr>
                  <w:rPr>
                    <w:rFonts w:ascii="Calibri" w:hAnsi="Calibri" w:cs="Calibri"/>
                    <w:color w:val="FF0000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 w:cs="Calibri"/>
                    <w:sz w:val="16"/>
                    <w:szCs w:val="16"/>
                    <w:lang w:eastAsia="lt-LT"/>
                  </w:rPr>
                  <w:t>19–29 m. ir virš 50 m. asmenų grupių palyginti neįmanoma dėl trūkstamų duomenų.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>Specialistai – 15,8 / 17,0 %</w:t>
                </w:r>
              </w:p>
              <w:p>
                <w:pP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>Kvalifikuoti darbininkai – 35,0 / 55,9 %</w:t>
                </w:r>
              </w:p>
              <w:p>
                <w:pPr>
                  <w:rPr>
                    <w:rFonts w:ascii="Calibri" w:hAnsi="Calibri" w:cs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 w:cs="Calibri"/>
                    <w:color w:val="000000"/>
                    <w:sz w:val="16"/>
                    <w:szCs w:val="16"/>
                    <w:lang w:eastAsia="lt-LT"/>
                  </w:rPr>
                  <w:t>Nekvalifikuoti darbininkai – 49,20 / 27,1 %</w:t>
                </w:r>
              </w:p>
              <w:p>
                <w:pPr>
                  <w:rPr>
                    <w:rFonts w:ascii="Calibri" w:hAnsi="Calibri" w:cs="Calibri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 w:cs="Calibri"/>
                    <w:sz w:val="16"/>
                    <w:szCs w:val="16"/>
                    <w:lang w:eastAsia="lt-LT"/>
                  </w:rPr>
                  <w:t>Užimtumo tarnyba tokių duomenų nebepateikia.</w:t>
                </w:r>
              </w:p>
              <w:p>
                <w:pPr>
                  <w:rPr>
                    <w:rFonts w:ascii="Calibri" w:eastAsia="Cambria" w:hAnsi="Calibri" w:cs="Calibri"/>
                    <w:color w:val="FF0000"/>
                    <w:szCs w:val="24"/>
                    <w:lang w:eastAsia="lt-LT"/>
                  </w:rPr>
                </w:pPr>
                <w:r>
                  <w:rPr>
                    <w:rFonts w:ascii="Calibri" w:hAnsi="Calibri" w:cs="Calibri"/>
                    <w:sz w:val="16"/>
                    <w:szCs w:val="16"/>
                    <w:lang w:eastAsia="lt-LT"/>
                  </w:rPr>
                  <w:t>19–29 m. sumaž. 7,8 %, virš 50 m. -duomenys pateikiami tik nuo 2018 m.</w:t>
                </w:r>
              </w:p>
            </w:tc>
            <w:tc>
              <w:tcPr>
                <w:tcW w:w="993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6"/>
                    <w:szCs w:val="16"/>
                    <w:lang w:val="en-US" w:eastAsia="lt-LT"/>
                  </w:rPr>
                </w:pPr>
                <w:r>
                  <w:rPr>
                    <w:rFonts w:ascii="Calibri" w:hAnsi="Calibri"/>
                    <w:color w:val="000000"/>
                    <w:sz w:val="16"/>
                    <w:szCs w:val="16"/>
                    <w:lang w:val="en-US" w:eastAsia="lt-LT"/>
                  </w:rPr>
                  <w:t>Vyresn. nei 50 m. padid. 0,7 %</w:t>
                </w:r>
              </w:p>
              <w:p>
                <w:pPr>
                  <w:rPr>
                    <w:rFonts w:ascii="Calibri" w:hAnsi="Calibri"/>
                    <w:color w:val="000000"/>
                    <w:sz w:val="16"/>
                    <w:szCs w:val="16"/>
                    <w:lang w:val="en-US" w:eastAsia="lt-LT"/>
                  </w:rPr>
                </w:pPr>
                <w:r>
                  <w:rPr>
                    <w:rFonts w:ascii="Calibri" w:hAnsi="Calibri"/>
                    <w:color w:val="000000"/>
                    <w:sz w:val="16"/>
                    <w:szCs w:val="16"/>
                    <w:lang w:val="en-US" w:eastAsia="lt-LT"/>
                  </w:rPr>
                  <w:t>(lyginant su 2023 m.)</w:t>
                </w:r>
              </w:p>
            </w:tc>
            <w:tc>
              <w:tcPr>
                <w:tcW w:w="849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559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413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P2-2.1.1.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Įtraukti subjektai į </w:t>
                </w: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vieningą</w:t>
                </w: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 verslo sistemą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vnt.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Į sukurtą vieningą verslo sistemą Šiaulių mieste su koordinuojama atstovybe įtrauktų subjektų skaičius.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36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36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27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27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nepa-siektas / sumažėjo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–25,0 </w:t>
                </w:r>
                <w:r>
                  <w:rPr>
                    <w:rFonts w:ascii="Calibri" w:hAnsi="Calibri" w:cs="Calibri"/>
                    <w:color w:val="000000"/>
                    <w:sz w:val="18"/>
                    <w:szCs w:val="18"/>
                    <w:lang w:eastAsia="lt-LT"/>
                  </w:rPr>
                  <w:t>%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Ekonomikos  skyrius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159"/>
            </w:trPr>
            <w:tc>
              <w:tcPr>
                <w:tcW w:w="678" w:type="dxa"/>
                <w:shd w:val="clear" w:color="auto" w:fill="D9D9D9" w:themeFill="background1" w:themeFillShade="D9"/>
                <w:hideMark/>
              </w:tcPr>
              <w:p>
                <w:pP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  <w:t>2.1.2.</w:t>
                </w:r>
              </w:p>
            </w:tc>
            <w:tc>
              <w:tcPr>
                <w:tcW w:w="15198" w:type="dxa"/>
                <w:gridSpan w:val="12"/>
                <w:shd w:val="clear" w:color="auto" w:fill="D9D9D9" w:themeFill="background1" w:themeFillShade="D9"/>
              </w:tcPr>
              <w:p>
                <w:pP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  <w:t>Padidinti miesto investicinį patrauklumą</w:t>
                </w:r>
              </w:p>
            </w:tc>
          </w:tr>
          <w:tr>
            <w:trPr>
              <w:trHeight w:val="506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P1-2.1.2.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Pritraukti investuotojai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vnt.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Pritrauktų, stambių (pvz. sukuriančių ne mažiau kaip 20 darbo vietų) investuotojų skaičius.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4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2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2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FFFFFF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eastAsia="Cambria" w:hAnsi="Calibri"/>
                    <w:color w:val="000000"/>
                    <w:sz w:val="18"/>
                    <w:szCs w:val="18"/>
                    <w:lang w:val="en-US" w:eastAsia="lt-LT"/>
                  </w:rPr>
                  <w:t>Iš viso pri-traukta 9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Ekonomikos skyrius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427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P2-2.1.2.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Vietinės investicijos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Eur/ gyv.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Vietinės investicijos, tenkančios vienam gyventojui.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1 339,8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1 980,0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1 457,8</w:t>
                </w:r>
              </w:p>
              <w:p>
                <w:pP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/>
                    <w:sz w:val="16"/>
                    <w:szCs w:val="16"/>
                    <w:lang w:eastAsia="lt-LT"/>
                  </w:rPr>
                  <w:t>(2020 m.)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3 032,25 </w:t>
                </w:r>
                <w: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  <w:t>(2023 m. duom.)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2,3 karto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Ekonomikos skyrius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47"/>
            </w:trPr>
            <w:tc>
              <w:tcPr>
                <w:tcW w:w="678" w:type="dxa"/>
                <w:shd w:val="clear" w:color="auto" w:fill="D9D9D9" w:themeFill="background1" w:themeFillShade="D9"/>
                <w:hideMark/>
              </w:tcPr>
              <w:p>
                <w:pP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  <w:t>2.1.3.</w:t>
                </w:r>
              </w:p>
            </w:tc>
            <w:tc>
              <w:tcPr>
                <w:tcW w:w="15198" w:type="dxa"/>
                <w:gridSpan w:val="12"/>
                <w:shd w:val="clear" w:color="auto" w:fill="D9D9D9" w:themeFill="background1" w:themeFillShade="D9"/>
              </w:tcPr>
              <w:p>
                <w:pP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  <w:t>Gerinti viešųjų paslaugų verslui procesus</w:t>
                </w:r>
              </w:p>
            </w:tc>
          </w:tr>
          <w:tr>
            <w:trPr>
              <w:trHeight w:val="562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P1-2.1.3.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Verslui išduodami leidimai/</w:t>
                </w:r>
                <w:r>
                  <w:rPr>
                    <w:rFonts w:ascii="Calibri" w:hAnsi="Calibri"/>
                    <w:color w:val="FF0000"/>
                    <w:sz w:val="18"/>
                    <w:szCs w:val="18"/>
                    <w:lang w:eastAsia="lt-LT"/>
                  </w:rPr>
                  <w:t xml:space="preserve"> </w:t>
                </w: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el. būdu 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proc.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Verslui išduodamų leidimų/</w:t>
                </w:r>
                <w:r>
                  <w:rPr>
                    <w:rFonts w:ascii="Calibri" w:hAnsi="Calibri"/>
                    <w:color w:val="FF0000"/>
                    <w:sz w:val="18"/>
                    <w:szCs w:val="18"/>
                    <w:lang w:eastAsia="lt-LT"/>
                  </w:rPr>
                  <w:t xml:space="preserve"> </w:t>
                </w: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sričių (pvz., higienai, statybai, planams rengti ir t. t.) el. būdu dalis nuo visų išduodamų leidimų skaičiaus.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0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18,69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100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100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100,0 </w:t>
                </w:r>
                <w:r>
                  <w:rPr>
                    <w:rFonts w:ascii="Calibri" w:hAnsi="Calibri" w:cs="Calibri"/>
                    <w:color w:val="000000"/>
                    <w:sz w:val="18"/>
                    <w:szCs w:val="18"/>
                    <w:lang w:eastAsia="lt-LT"/>
                  </w:rPr>
                  <w:t>%</w:t>
                </w:r>
              </w:p>
            </w:tc>
            <w:tc>
              <w:tcPr>
                <w:tcW w:w="1559" w:type="dxa"/>
              </w:tcPr>
              <w:p>
                <w:pPr>
                  <w:rPr>
                    <w:rFonts w:ascii="Calibri" w:hAnsi="Calibri"/>
                    <w:strike/>
                    <w:color w:val="FF0000"/>
                    <w:sz w:val="20"/>
                    <w:highlight w:val="lightGray"/>
                    <w:lang w:eastAsia="lt-LT"/>
                  </w:rPr>
                </w:pPr>
                <w:r>
                  <w:rPr>
                    <w:rFonts w:ascii="Calibri" w:hAnsi="Calibri"/>
                    <w:sz w:val="20"/>
                    <w:lang w:eastAsia="lt-LT"/>
                  </w:rPr>
                  <w:t>Asmenų aptarnavimo skyrius</w:t>
                </w:r>
              </w:p>
              <w:p>
                <w:pPr>
                  <w:rPr>
                    <w:rFonts w:ascii="Calibri" w:hAnsi="Calibri"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highlight w:val="green"/>
                    <w:lang w:eastAsia="lt-LT"/>
                  </w:rPr>
                </w:pPr>
              </w:p>
            </w:tc>
          </w:tr>
          <w:tr>
            <w:trPr>
              <w:trHeight w:val="407"/>
            </w:trPr>
            <w:tc>
              <w:tcPr>
                <w:tcW w:w="678" w:type="dxa"/>
                <w:vMerge w:val="restart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P2-2.1.3.</w:t>
                </w:r>
              </w:p>
            </w:tc>
            <w:tc>
              <w:tcPr>
                <w:tcW w:w="1873" w:type="dxa"/>
                <w:vMerge w:val="restart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Bendradarbiavimas gerinant sąlygas verslui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proc.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Naujai įregistruotų juridinių asmenų skaičiaus pokytis lyginant su praėjusiais metais. 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Savivaldybė, Registrų centras</w:t>
                </w:r>
              </w:p>
            </w:tc>
            <w:tc>
              <w:tcPr>
                <w:tcW w:w="113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-18,5 (7 900)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1,6     (7 421)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9,6 (7 765)</w:t>
                </w:r>
              </w:p>
              <w:p>
                <w:pPr>
                  <w:rPr>
                    <w:rFonts w:ascii="Calibri" w:hAnsi="Calibri"/>
                    <w:strike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-3,15 (7 216)</w:t>
                </w:r>
              </w:p>
              <w:p>
                <w:pPr>
                  <w:rPr>
                    <w:rFonts w:ascii="Calibri" w:hAnsi="Calibri"/>
                    <w:strike/>
                    <w:color w:val="000000"/>
                    <w:sz w:val="16"/>
                    <w:szCs w:val="16"/>
                    <w:lang w:val="en-US" w:eastAsia="lt-LT"/>
                  </w:rPr>
                </w:pP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nepa-siektas / sumažėjo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–8,7 </w:t>
                </w:r>
                <w:r>
                  <w:rPr>
                    <w:rFonts w:ascii="Calibri" w:hAnsi="Calibri" w:cs="Calibri"/>
                    <w:color w:val="000000"/>
                    <w:sz w:val="18"/>
                    <w:szCs w:val="18"/>
                    <w:lang w:eastAsia="lt-LT"/>
                  </w:rPr>
                  <w:t>% įregist-ruotų JA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Ekonomikos  skyrius</w:t>
                </w:r>
              </w:p>
            </w:tc>
          </w:tr>
          <w:tr>
            <w:trPr>
              <w:trHeight w:val="385"/>
            </w:trPr>
            <w:tc>
              <w:tcPr>
                <w:tcW w:w="678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873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proc.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Išregistruotų juridinių asmenų skaičiaus pokytis lyginant su praėjusiais metais.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Savivaldybė,</w:t>
                </w:r>
              </w:p>
              <w:p>
                <w:pPr>
                  <w:ind w:firstLine="43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Registrų centras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32,6 (252)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-74,0 (199)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119,3 (362)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/>
                    <w:sz w:val="16"/>
                    <w:szCs w:val="16"/>
                    <w:lang w:eastAsia="lt-LT"/>
                  </w:rPr>
                  <w:t>-18,4 (348)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Mažinti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nepa-siektas / padidėjo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+38,1 </w:t>
                </w:r>
                <w:r>
                  <w:rPr>
                    <w:rFonts w:ascii="Calibri" w:hAnsi="Calibri" w:cs="Calibri"/>
                    <w:color w:val="000000"/>
                    <w:sz w:val="18"/>
                    <w:szCs w:val="18"/>
                    <w:lang w:eastAsia="lt-LT"/>
                  </w:rPr>
                  <w:t>%</w:t>
                </w: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 išregist-ruotų JA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val="en-US"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val="en-US" w:eastAsia="lt-LT"/>
                  </w:rPr>
                  <w:t>Ekonomikos skyrius</w:t>
                </w:r>
              </w:p>
            </w:tc>
          </w:tr>
          <w:tr>
            <w:trPr>
              <w:trHeight w:val="542"/>
            </w:trPr>
            <w:tc>
              <w:tcPr>
                <w:tcW w:w="678" w:type="dxa"/>
                <w:vMerge w:val="restart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P3-2.1.3.</w:t>
                </w:r>
              </w:p>
            </w:tc>
            <w:tc>
              <w:tcPr>
                <w:tcW w:w="1873" w:type="dxa"/>
                <w:vMerge w:val="restart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Įmonių parama studentams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Eur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Stipendijų </w:t>
                </w: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suma</w:t>
                </w: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, kurias skiria įmonės, skaičius lyginant su praėjusiais metais.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542,4</w:t>
                </w:r>
              </w:p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highlight w:val="red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542,4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EE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4 200,0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sz w:val="18"/>
                    <w:szCs w:val="18"/>
                    <w:lang w:val="en-US"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75 975,0</w:t>
                </w:r>
              </w:p>
              <w:p>
                <w:pPr>
                  <w:rPr>
                    <w:rFonts w:ascii="Calibri" w:hAnsi="Calibri"/>
                    <w:color w:val="EE0000"/>
                    <w:sz w:val="18"/>
                    <w:szCs w:val="18"/>
                    <w:lang w:val="en-US" w:eastAsia="lt-LT"/>
                  </w:rPr>
                </w:pP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Stabilizuoti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padidėjo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18 kartų</w:t>
                </w:r>
              </w:p>
              <w:p>
                <w:pP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  <w:t xml:space="preserve">2024 m. lyginant su 2021 m. </w:t>
                </w:r>
              </w:p>
            </w:tc>
            <w:tc>
              <w:tcPr>
                <w:tcW w:w="1559" w:type="dxa"/>
                <w:vMerge w:val="restart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Ekonomikos  skyrius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678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873" w:type="dxa"/>
                <w:vMerge/>
                <w:vAlign w:val="center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vnt.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Įmonių</w:t>
                </w: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 xml:space="preserve"> skaičius</w:t>
                </w: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, kurios skiria stipendijas.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2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2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6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val="en-US"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val="en-US" w:eastAsia="lt-LT"/>
                  </w:rPr>
                  <w:t>44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padidėjo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22 kartais </w:t>
                </w:r>
              </w:p>
            </w:tc>
            <w:tc>
              <w:tcPr>
                <w:tcW w:w="1559" w:type="dxa"/>
                <w:vMerge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768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P4-2.1.3.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Verslui teikiamų paslaugų trukmė Savivaldybėje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d.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Teikiamų paslaugų, susijusių su verslu, trukmės trumpinimas. Vidutinis dienų skaičius vienai verslo paslaugai</w:t>
                </w:r>
                <w:r>
                  <w:rPr>
                    <w:rFonts w:ascii="Calibri" w:hAnsi="Calibri"/>
                    <w:color w:val="EE0000"/>
                    <w:sz w:val="18"/>
                    <w:szCs w:val="18"/>
                    <w:lang w:eastAsia="lt-LT"/>
                  </w:rPr>
                  <w:t xml:space="preserve"> </w:t>
                </w: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 xml:space="preserve">suteikti 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Leidimai ir licencijos - 0,26 d.d.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Pažyma apie valstybinės žemės nuomos mokestį – 4 d.d.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Leidimai ir licencijos - 0,22 d.d.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Pažyma apie valstybinės žemės nuomos mokestį – 3 d.d.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Leidimai ir licencijos – </w:t>
                </w: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0,19 d.d.</w:t>
                </w:r>
              </w:p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Pažyma apie valstyb-inės žemės nuomos mokestį </w:t>
                </w: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– 2 d. d.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eastAsia="Cambria" w:hAnsi="Calibri"/>
                    <w:szCs w:val="24"/>
                    <w:lang w:val="pt-BR"/>
                  </w:rPr>
                </w:pPr>
                <w:r>
                  <w:rPr>
                    <w:rFonts w:ascii="Calibri" w:eastAsia="Calibri" w:hAnsi="Calibri" w:cs="Calibri"/>
                    <w:color w:val="000000"/>
                    <w:sz w:val="18"/>
                    <w:szCs w:val="18"/>
                  </w:rPr>
                  <w:t xml:space="preserve">Leidimai ir licencijos – 0,27 d. d. </w:t>
                </w:r>
                <w:r>
                  <w:rPr>
                    <w:rFonts w:ascii="Calibri" w:eastAsia="Calibri" w:hAnsi="Calibri" w:cs="Calibri"/>
                    <w:color w:val="000000"/>
                    <w:sz w:val="22"/>
                    <w:szCs w:val="22"/>
                  </w:rPr>
                  <w:t xml:space="preserve"> </w:t>
                </w:r>
              </w:p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Pažyma apie valstybi-nės žemės nuomos mokestį </w:t>
                </w: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– 3 d. d.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Mažinti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nepa-siektas / padidėjo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pasiektas / sumažėjo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+3,8 </w:t>
                </w:r>
                <w:r>
                  <w:rPr>
                    <w:rFonts w:ascii="Calibri" w:hAnsi="Calibri" w:cs="Calibri"/>
                    <w:color w:val="000000"/>
                    <w:sz w:val="18"/>
                    <w:szCs w:val="18"/>
                    <w:lang w:eastAsia="lt-LT"/>
                  </w:rPr>
                  <w:t>%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–25,0 </w:t>
                </w:r>
                <w:r>
                  <w:rPr>
                    <w:rFonts w:ascii="Calibri" w:hAnsi="Calibri" w:cs="Calibri"/>
                    <w:color w:val="000000"/>
                    <w:sz w:val="18"/>
                    <w:szCs w:val="18"/>
                    <w:lang w:eastAsia="lt-LT"/>
                  </w:rPr>
                  <w:t>%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Ekonomikos skyrius</w:t>
                </w:r>
              </w:p>
              <w:p>
                <w:pPr>
                  <w:jc w:val="both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97"/>
            </w:trPr>
            <w:tc>
              <w:tcPr>
                <w:tcW w:w="678" w:type="dxa"/>
                <w:shd w:val="clear" w:color="auto" w:fill="FF0000"/>
                <w:hideMark/>
              </w:tcPr>
              <w:p>
                <w:pP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2.2.</w:t>
                </w:r>
              </w:p>
            </w:tc>
            <w:tc>
              <w:tcPr>
                <w:tcW w:w="15198" w:type="dxa"/>
                <w:gridSpan w:val="12"/>
                <w:shd w:val="clear" w:color="auto" w:fill="FF0000"/>
              </w:tcPr>
              <w:p>
                <w:pP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 xml:space="preserve">Plėtoti </w:t>
                </w:r>
                <w:r>
                  <w:rPr>
                    <w:rFonts w:ascii="Calibri" w:hAnsi="Calibri"/>
                    <w:b/>
                    <w:bCs/>
                    <w:sz w:val="20"/>
                    <w:highlight w:val="red"/>
                    <w:lang w:eastAsia="lt-LT"/>
                  </w:rPr>
                  <w:t>pažintinį-kultūrinį</w:t>
                </w: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 xml:space="preserve"> ir kurti aktyvaus laisvalaikio turizmą</w:t>
                </w:r>
              </w:p>
            </w:tc>
          </w:tr>
          <w:tr>
            <w:trPr>
              <w:trHeight w:val="276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E1-2.2.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TIC lankytojai (turistai) Šiaulių mieste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vnt.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TIC lankytojų (turistų) skaičius. 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BĮ Turizmo informacijos centras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15 041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48 916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13 842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38 003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2,5 karto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Kultūros skyrius</w:t>
                </w:r>
              </w:p>
            </w:tc>
          </w:tr>
          <w:tr>
            <w:trPr>
              <w:trHeight w:val="802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E2-2.2.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Vidutinė turisto viešnagės trukmė 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Vidutinė turisto viešnagės trukmė Šiaulių mieste.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BĮ Turizmo informacijos centras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tabs>
                    <w:tab w:val="left" w:pos="895"/>
                  </w:tabs>
                  <w:spacing w:line="360" w:lineRule="auto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1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1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3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3 kartais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Kultūros skyrius</w:t>
                </w:r>
              </w:p>
            </w:tc>
          </w:tr>
          <w:tr>
            <w:trPr>
              <w:trHeight w:val="130"/>
            </w:trPr>
            <w:tc>
              <w:tcPr>
                <w:tcW w:w="678" w:type="dxa"/>
                <w:shd w:val="clear" w:color="auto" w:fill="D9D9D9" w:themeFill="background1" w:themeFillShade="D9"/>
                <w:hideMark/>
              </w:tcPr>
              <w:p>
                <w:pP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  <w:t>2.2.1.</w:t>
                </w:r>
              </w:p>
            </w:tc>
            <w:tc>
              <w:tcPr>
                <w:tcW w:w="15198" w:type="dxa"/>
                <w:gridSpan w:val="12"/>
                <w:shd w:val="clear" w:color="auto" w:fill="D9D9D9" w:themeFill="background1" w:themeFillShade="D9"/>
              </w:tcPr>
              <w:p>
                <w:pP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  <w:t xml:space="preserve">Miesto įvaizdžio ir tapatybės stiprinimas plėtojant </w:t>
                </w:r>
                <w:r>
                  <w:rPr>
                    <w:rFonts w:ascii="Calibri" w:hAnsi="Calibri"/>
                    <w:b/>
                    <w:color w:val="000000"/>
                    <w:sz w:val="18"/>
                    <w:szCs w:val="18"/>
                    <w:highlight w:val="lightGray"/>
                    <w:shd w:val="clear" w:color="auto" w:fill="D0CECE"/>
                    <w:lang w:eastAsia="lt-LT"/>
                  </w:rPr>
                  <w:t>pažintinį-kultūrinį</w:t>
                </w:r>
                <w: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  <w:t xml:space="preserve"> turizmą</w:t>
                </w:r>
              </w:p>
            </w:tc>
          </w:tr>
          <w:tr>
            <w:trPr>
              <w:trHeight w:val="435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P1-2.2.1.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Sukurti nauji pažintinio-kultūrinio turizmo produktai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vnt.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Sukurtų naujų pažintinio-kultūrinio turizmo produktų skaičius.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Savivaldybė, BĮ Turizmo informacijos centras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6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19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42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24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4 kartais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Kultūros skyrius</w:t>
                </w:r>
              </w:p>
            </w:tc>
          </w:tr>
          <w:tr>
            <w:trPr>
              <w:trHeight w:val="413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eastAsia="Cambria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eastAsia="Cambria" w:hAnsi="Calibri"/>
                    <w:color w:val="000000"/>
                    <w:sz w:val="18"/>
                    <w:szCs w:val="18"/>
                  </w:rPr>
                  <w:t>P2-2.2.1.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jc w:val="both"/>
                  <w:rPr>
                    <w:rFonts w:ascii="Calibri" w:eastAsia="Cambria" w:hAnsi="Calibri"/>
                    <w:color w:val="FF0000"/>
                    <w:sz w:val="18"/>
                    <w:szCs w:val="18"/>
                  </w:rPr>
                </w:pPr>
                <w:r>
                  <w:rPr>
                    <w:rFonts w:ascii="Calibri" w:eastAsia="Cambria" w:hAnsi="Calibri"/>
                    <w:sz w:val="18"/>
                    <w:szCs w:val="18"/>
                  </w:rPr>
                  <w:t>Šiaulių miesto renginių lankytojai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eastAsia="Cambria" w:hAnsi="Calibri"/>
                    <w:color w:val="000000"/>
                    <w:sz w:val="18"/>
                    <w:szCs w:val="18"/>
                  </w:rPr>
                </w:pPr>
                <w:r>
                  <w:rPr>
                    <w:rFonts w:ascii="Calibri" w:eastAsia="Cambria" w:hAnsi="Calibri"/>
                    <w:color w:val="000000"/>
                    <w:sz w:val="18"/>
                    <w:szCs w:val="18"/>
                  </w:rPr>
                  <w:t>vnt.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eastAsia="Cambria" w:hAnsi="Calibri"/>
                    <w:color w:val="000000"/>
                    <w:sz w:val="18"/>
                    <w:szCs w:val="18"/>
                  </w:rPr>
                </w:pPr>
                <w:r>
                  <w:rPr>
                    <w:rFonts w:ascii="Calibri" w:eastAsia="Cambria" w:hAnsi="Calibri"/>
                    <w:color w:val="000000"/>
                    <w:sz w:val="18"/>
                    <w:szCs w:val="18"/>
                  </w:rPr>
                  <w:t>Šiaulių miesto renginių lankytojų skaičius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eastAsia="Cambria" w:hAnsi="Calibri"/>
                    <w:color w:val="000000"/>
                    <w:sz w:val="18"/>
                    <w:szCs w:val="18"/>
                  </w:rPr>
                </w:pPr>
                <w:r>
                  <w:rPr>
                    <w:rFonts w:ascii="Calibri" w:eastAsia="Cambria" w:hAnsi="Calibri"/>
                    <w:color w:val="000000"/>
                    <w:sz w:val="18"/>
                    <w:szCs w:val="18"/>
                  </w:rPr>
                  <w:t>Savivaldybė, BĮ Turizmo informacijos centras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color w:val="000000"/>
                    <w:sz w:val="18"/>
                    <w:szCs w:val="18"/>
                  </w:rPr>
                </w:pPr>
                <w:r>
                  <w:rPr>
                    <w:rFonts w:ascii="Calibri" w:eastAsia="Cambria" w:hAnsi="Calibri"/>
                    <w:color w:val="000000"/>
                    <w:sz w:val="18"/>
                    <w:szCs w:val="18"/>
                  </w:rPr>
                  <w:t>n. d.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color w:val="000000"/>
                    <w:sz w:val="18"/>
                    <w:szCs w:val="18"/>
                  </w:rPr>
                </w:pPr>
                <w:r>
                  <w:rPr>
                    <w:rFonts w:ascii="Calibri" w:eastAsia="Cambria" w:hAnsi="Calibri"/>
                    <w:color w:val="000000"/>
                    <w:sz w:val="18"/>
                    <w:szCs w:val="18"/>
                  </w:rPr>
                  <w:t>n. d.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eastAsia="Cambria" w:hAnsi="Calibri"/>
                    <w:color w:val="000000"/>
                    <w:szCs w:val="24"/>
                    <w:highlight w:val="yellow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n. d.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n. d.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nėra duomenų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Kultūros skyrius</w:t>
                </w:r>
              </w:p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192"/>
            </w:trPr>
            <w:tc>
              <w:tcPr>
                <w:tcW w:w="678" w:type="dxa"/>
                <w:shd w:val="clear" w:color="auto" w:fill="D9D9D9" w:themeFill="background1" w:themeFillShade="D9"/>
                <w:hideMark/>
              </w:tcPr>
              <w:p>
                <w:pP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  <w:t>2.2.2.</w:t>
                </w:r>
              </w:p>
            </w:tc>
            <w:tc>
              <w:tcPr>
                <w:tcW w:w="15198" w:type="dxa"/>
                <w:gridSpan w:val="12"/>
                <w:shd w:val="clear" w:color="auto" w:fill="D9D9D9" w:themeFill="background1" w:themeFillShade="D9"/>
              </w:tcPr>
              <w:p>
                <w:pP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  <w:t>Unikalių gamtinių sąlygų išnaudojimas vystant aktyvaus laisvalaikio turizmą</w:t>
                </w:r>
              </w:p>
            </w:tc>
          </w:tr>
          <w:tr>
            <w:trPr>
              <w:trHeight w:val="439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P1-2.2.2.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Sukurti nauji aktyvaus laisvalaikio turizmo produktai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vnt.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Sukurtų naujų aktyvaus laisvalaikio turizmo produktų skaičius.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Savivaldybė, BĮ Turizmo informacijos centras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tabs>
                    <w:tab w:val="left" w:pos="778"/>
                  </w:tabs>
                  <w:spacing w:line="360" w:lineRule="auto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0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2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12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13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highlight w:val="green"/>
                    <w:lang w:eastAsia="lt-LT"/>
                  </w:rPr>
                </w:pP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Kultūros skyrius</w:t>
                </w:r>
              </w:p>
            </w:tc>
          </w:tr>
          <w:tr>
            <w:trPr>
              <w:trHeight w:val="418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P2-2.2.2.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Renginiai, iniciatyvos, veiklos ir pan., teikiamos paslaugos Šiaulių miesto rekreacinėse erdvėse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vnt.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Įvykusių / suorganizuotų renginių, iniciatyvų, veiklų ir pan., teikiamų paslaugų Šiaulių miesto rekreacinėse erdvėse skaičius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Savivaldybė, BĮ Turizmo informacijos centras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84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120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6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n. d.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nėra duomenų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eastAsia="Calibri" w:hAnsi="Calibri" w:cs="Calibri"/>
                    <w:sz w:val="18"/>
                    <w:szCs w:val="18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Kultūros skyrius</w:t>
                </w:r>
              </w:p>
              <w:p>
                <w:pPr>
                  <w:rPr>
                    <w:rFonts w:ascii="Calibri" w:eastAsia="Cambria" w:hAnsi="Calibri"/>
                    <w:szCs w:val="24"/>
                  </w:rPr>
                </w:pPr>
              </w:p>
            </w:tc>
          </w:tr>
          <w:tr>
            <w:trPr>
              <w:trHeight w:val="125"/>
            </w:trPr>
            <w:tc>
              <w:tcPr>
                <w:tcW w:w="678" w:type="dxa"/>
                <w:shd w:val="clear" w:color="auto" w:fill="FF0000"/>
                <w:hideMark/>
              </w:tcPr>
              <w:p>
                <w:pP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2.3.</w:t>
                </w:r>
              </w:p>
            </w:tc>
            <w:tc>
              <w:tcPr>
                <w:tcW w:w="15198" w:type="dxa"/>
                <w:gridSpan w:val="12"/>
                <w:shd w:val="clear" w:color="auto" w:fill="FF0000"/>
              </w:tcPr>
              <w:p>
                <w:pP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Calibri" w:hAnsi="Calibri"/>
                    <w:b/>
                    <w:bCs/>
                    <w:sz w:val="20"/>
                    <w:lang w:eastAsia="lt-LT"/>
                  </w:rPr>
                  <w:t>Teikti kokybiškas ir bendruomenės lūkesčius atitinkančias viešąsias paslaugas</w:t>
                </w:r>
              </w:p>
            </w:tc>
          </w:tr>
          <w:tr>
            <w:trPr>
              <w:trHeight w:val="399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E1-2.3.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Gyventojų pasitenkinimas Savivaldybės administracijos paslaugomis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indeksas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 xml:space="preserve">Gyventojų apklausa. 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n.d.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81,2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68,7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 xml:space="preserve">70,0 </w:t>
                </w:r>
              </w:p>
              <w:p>
                <w:pPr>
                  <w:rPr>
                    <w:rFonts w:ascii="Calibri" w:hAnsi="Calibri"/>
                    <w:sz w:val="16"/>
                    <w:szCs w:val="16"/>
                    <w:lang w:eastAsia="lt-LT"/>
                  </w:rPr>
                </w:pPr>
                <w:r>
                  <w:rPr>
                    <w:rFonts w:ascii="Calibri" w:hAnsi="Calibri"/>
                    <w:sz w:val="16"/>
                    <w:szCs w:val="16"/>
                    <w:lang w:eastAsia="lt-LT"/>
                  </w:rPr>
                  <w:t>(2023 m. duom.)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+1,9 </w:t>
                </w:r>
                <w:r>
                  <w:rPr>
                    <w:rFonts w:ascii="Calibri" w:hAnsi="Calibri" w:cs="Calibri"/>
                    <w:color w:val="000000"/>
                    <w:sz w:val="18"/>
                    <w:szCs w:val="18"/>
                    <w:lang w:eastAsia="lt-LT"/>
                  </w:rPr>
                  <w:t>%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  <w:t>2024 m. lyginant su 2021 m.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trike/>
                    <w:color w:val="FF0000"/>
                    <w:sz w:val="18"/>
                    <w:szCs w:val="18"/>
                    <w:highlight w:val="lightGray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Asmenų aptarnavimo skyrius</w:t>
                </w:r>
              </w:p>
            </w:tc>
          </w:tr>
          <w:tr>
            <w:trPr>
              <w:trHeight w:val="856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E2-2.3.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Kitų institucijų ir įstaigų Savivaldybės veiklos įvertinimas</w:t>
                </w:r>
              </w:p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Vnt.</w:t>
                </w:r>
              </w:p>
              <w:p>
                <w:pPr>
                  <w:jc w:val="center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</w:p>
              <w:p>
                <w:pPr>
                  <w:jc w:val="center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</w:p>
              <w:p>
                <w:pPr>
                  <w:jc w:val="center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</w:p>
              <w:p>
                <w:pPr>
                  <w:jc w:val="center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</w:p>
              <w:p>
                <w:pPr>
                  <w:jc w:val="center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 xml:space="preserve">Kitų organizacijų suteikti įvertinimo ženklai - apdovanojimai, pasiekimai, nominacijos ir t.t. 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3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0</w:t>
                </w:r>
              </w:p>
            </w:tc>
            <w:tc>
              <w:tcPr>
                <w:tcW w:w="113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0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jc w:val="both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15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7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highlight w:val="green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22 </w:t>
                </w:r>
                <w:r>
                  <w:rPr>
                    <w:rFonts w:ascii="Calibri" w:hAnsi="Calibri"/>
                    <w:color w:val="000000"/>
                    <w:sz w:val="16"/>
                    <w:szCs w:val="16"/>
                    <w:lang w:eastAsia="lt-LT"/>
                  </w:rPr>
                  <w:t>įvertini-mai per laikotarpį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Tarptautinių ryšių koordinatorius</w:t>
                </w:r>
              </w:p>
            </w:tc>
          </w:tr>
          <w:tr>
            <w:trPr>
              <w:trHeight w:val="462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E3-2.3.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Biudžeto asignavimai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Eur./ gyv.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Biudžeto asignavimai, tenkantys vienam gyventojui.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1 102,4</w:t>
                </w:r>
              </w:p>
            </w:tc>
            <w:tc>
              <w:tcPr>
                <w:tcW w:w="113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1 248,0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1 631,1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2 233,8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  <w:t>2 kartais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  <w:t xml:space="preserve">Strateginio planavimo ir finansų  skyrius</w:t>
                </w:r>
              </w:p>
            </w:tc>
          </w:tr>
          <w:tr>
            <w:trPr>
              <w:trHeight w:val="123"/>
            </w:trPr>
            <w:tc>
              <w:tcPr>
                <w:tcW w:w="678" w:type="dxa"/>
                <w:shd w:val="clear" w:color="auto" w:fill="D9D9D9" w:themeFill="background1" w:themeFillShade="D9"/>
                <w:hideMark/>
              </w:tcPr>
              <w:p>
                <w:pP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  <w:t>2.3.1.</w:t>
                </w:r>
              </w:p>
            </w:tc>
            <w:tc>
              <w:tcPr>
                <w:tcW w:w="15198" w:type="dxa"/>
                <w:gridSpan w:val="12"/>
                <w:shd w:val="clear" w:color="auto" w:fill="D9D9D9" w:themeFill="background1" w:themeFillShade="D9"/>
              </w:tcPr>
              <w:p>
                <w:pP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  <w:t>Sutelkti aukštos kultūrinės ir profesinės kompetencijos darbuotojų komandą</w:t>
                </w:r>
              </w:p>
            </w:tc>
          </w:tr>
          <w:tr>
            <w:trPr>
              <w:trHeight w:val="453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P1-2.3.1.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Savivaldybės darbuotojų kvalifikacijos tobulinimas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val. etatui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 xml:space="preserve">Išvestinis rodiklis – vienam Savivaldybės darbuotojui kvalifikacijos tobulinimui skirtos valandos. </w:t>
                </w:r>
              </w:p>
            </w:tc>
            <w:tc>
              <w:tcPr>
                <w:tcW w:w="1559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4 val</w:t>
                </w: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./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darbuotojui</w:t>
                </w:r>
              </w:p>
            </w:tc>
            <w:tc>
              <w:tcPr>
                <w:tcW w:w="113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13 val./</w:t>
                </w: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darbuotojui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21 val./ darbuoto-jui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val="en-US"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val="en-US" w:eastAsia="lt-LT"/>
                  </w:rPr>
                  <w:t>18 val./ darbuoto-jui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Cs/>
                    <w:color w:val="000000"/>
                    <w:sz w:val="18"/>
                    <w:szCs w:val="18"/>
                    <w:lang w:eastAsia="lt-LT"/>
                  </w:rPr>
                  <w:t>4,5 karto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Veiklos valdymo skyrius</w:t>
                </w:r>
              </w:p>
            </w:tc>
          </w:tr>
          <w:tr>
            <w:trPr>
              <w:trHeight w:val="192"/>
            </w:trPr>
            <w:tc>
              <w:tcPr>
                <w:tcW w:w="678" w:type="dxa"/>
                <w:shd w:val="clear" w:color="auto" w:fill="D9D9D9" w:themeFill="background1" w:themeFillShade="D9"/>
                <w:hideMark/>
              </w:tcPr>
              <w:p>
                <w:pP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  <w:t>2.3.2.</w:t>
                </w:r>
              </w:p>
            </w:tc>
            <w:tc>
              <w:tcPr>
                <w:tcW w:w="15198" w:type="dxa"/>
                <w:gridSpan w:val="12"/>
                <w:shd w:val="clear" w:color="auto" w:fill="D9D9D9" w:themeFill="background1" w:themeFillShade="D9"/>
              </w:tcPr>
              <w:p>
                <w:pP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/>
                    <w:color w:val="000000"/>
                    <w:sz w:val="18"/>
                    <w:szCs w:val="18"/>
                    <w:lang w:eastAsia="lt-LT"/>
                  </w:rPr>
                  <w:t>Išvystyti visiems prieinamas, kokybiškas viešąsias paslaugas, pasitelkiant informacines technologijas</w:t>
                </w:r>
              </w:p>
            </w:tc>
          </w:tr>
          <w:tr>
            <w:trPr>
              <w:trHeight w:val="424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P1-2.3.2.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Elektroninės paslaugos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proc.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El. būdu teikiamų paslaugų dalis nuo visų galimų teikti el. būdu paslaugų.</w:t>
                </w:r>
              </w:p>
            </w:tc>
            <w:tc>
              <w:tcPr>
                <w:tcW w:w="1559" w:type="dxa"/>
                <w:shd w:val="clear" w:color="auto" w:fill="FFFFFF" w:themeFill="background1"/>
                <w:noWrap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44,2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46,0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74,5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75,1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  <w:t xml:space="preserve">+30,9 </w:t>
                </w:r>
                <w:r>
                  <w:rPr>
                    <w:rFonts w:ascii="Calibri" w:hAnsi="Calibri" w:cs="Calibri"/>
                    <w:color w:val="000000"/>
                    <w:sz w:val="18"/>
                    <w:szCs w:val="18"/>
                    <w:lang w:eastAsia="lt-LT"/>
                  </w:rPr>
                  <w:t>proc. punkto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trike/>
                    <w:color w:val="FF0000"/>
                    <w:sz w:val="18"/>
                    <w:szCs w:val="18"/>
                    <w:highlight w:val="lightGray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Asmenų aptarnavimo skyrius</w:t>
                </w:r>
              </w:p>
            </w:tc>
          </w:tr>
          <w:tr>
            <w:trPr>
              <w:trHeight w:val="403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P2-2.3.2.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Interneto svetainės lankomumas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proc.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Interneto svetainės lankomumo skaičiaus pokytis lyginant su praėjusiais metais. </w:t>
                </w:r>
              </w:p>
            </w:tc>
            <w:tc>
              <w:tcPr>
                <w:tcW w:w="1559" w:type="dxa"/>
                <w:shd w:val="clear" w:color="auto" w:fill="FFFFFF" w:themeFill="background1"/>
                <w:noWrap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19,1 (87 041)</w:t>
                </w:r>
              </w:p>
            </w:tc>
            <w:tc>
              <w:tcPr>
                <w:tcW w:w="113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24,0 (145 443)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48,0 (245 000)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6,0 (294 742)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Didinti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  <w:t>3,4 karto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color w:val="000000"/>
                    <w:sz w:val="18"/>
                    <w:szCs w:val="18"/>
                    <w:highlight w:val="lightGray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  <w:t>Bendrųjų reikalų skyriaus Informacinių technologijų poskyris</w:t>
                </w:r>
              </w:p>
            </w:tc>
          </w:tr>
          <w:tr>
            <w:trPr>
              <w:trHeight w:val="432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P3-2.3.2.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FF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Seimo kontrolierių įstaigai pateikti pagrįsti skundai </w:t>
                </w:r>
              </w:p>
              <w:p>
                <w:pPr>
                  <w:rPr>
                    <w:rFonts w:ascii="Calibri" w:hAnsi="Calibri"/>
                    <w:color w:val="FF0000"/>
                    <w:sz w:val="18"/>
                    <w:szCs w:val="18"/>
                    <w:lang w:eastAsia="lt-LT"/>
                  </w:rPr>
                </w:pPr>
              </w:p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strike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vnt./</w:t>
                </w:r>
                <w:r>
                  <w:rPr>
                    <w:rFonts w:ascii="Calibri" w:hAnsi="Calibri"/>
                    <w:strike/>
                    <w:color w:val="000000"/>
                    <w:sz w:val="18"/>
                    <w:szCs w:val="18"/>
                    <w:lang w:eastAsia="lt-LT"/>
                  </w:rPr>
                  <w:t xml:space="preserve"> </w:t>
                </w: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1.000 gyv.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 xml:space="preserve">Seimo kontrolierių įstaigai pateiktų pagrįstų skundų skaičius tūkstančiui gyventojų. </w:t>
                </w:r>
              </w:p>
            </w:tc>
            <w:tc>
              <w:tcPr>
                <w:tcW w:w="1559" w:type="dxa"/>
                <w:shd w:val="clear" w:color="auto" w:fill="FFFFFF" w:themeFill="background1"/>
                <w:noWrap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val="en-US"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0,24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0,27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FF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0,04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0,03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Mažinti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pasiektas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  <w:t xml:space="preserve">–87,5 </w:t>
                </w:r>
                <w:r>
                  <w:rPr>
                    <w:rFonts w:ascii="Calibri" w:hAnsi="Calibri" w:cs="Calibri"/>
                    <w:bCs/>
                    <w:sz w:val="18"/>
                    <w:szCs w:val="18"/>
                    <w:lang w:eastAsia="lt-LT"/>
                  </w:rPr>
                  <w:t>%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trike/>
                    <w:color w:val="FF0000"/>
                    <w:sz w:val="18"/>
                    <w:szCs w:val="18"/>
                    <w:highlight w:val="lightGray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Asmenų aptarnavimo skyrius</w:t>
                </w:r>
              </w:p>
            </w:tc>
          </w:tr>
          <w:tr>
            <w:trPr>
              <w:trHeight w:val="552"/>
            </w:trPr>
            <w:tc>
              <w:tcPr>
                <w:tcW w:w="678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P4-2.3.2.</w:t>
                </w:r>
              </w:p>
            </w:tc>
            <w:tc>
              <w:tcPr>
                <w:tcW w:w="1873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Vyriausybės atstovo motyvuoti teikimai ir reikalavimai Tarybai/ Administracijai</w:t>
                </w:r>
              </w:p>
            </w:tc>
            <w:tc>
              <w:tcPr>
                <w:tcW w:w="850" w:type="dxa"/>
                <w:shd w:val="clear" w:color="auto" w:fill="FFFFFF" w:themeFill="background1"/>
                <w:hideMark/>
              </w:tcPr>
              <w:p>
                <w:pPr>
                  <w:jc w:val="center"/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vnt.</w:t>
                </w:r>
              </w:p>
            </w:tc>
            <w:tc>
              <w:tcPr>
                <w:tcW w:w="2410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Vyriausybės atstovo motyvuotų teikimų ir reikalavimų Tarybai/ Administracijai skaičius.</w:t>
                </w:r>
              </w:p>
            </w:tc>
            <w:tc>
              <w:tcPr>
                <w:tcW w:w="1559" w:type="dxa"/>
                <w:shd w:val="clear" w:color="auto" w:fill="FFFFFF" w:themeFill="background1"/>
                <w:noWrap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Savivaldybė</w:t>
                </w:r>
              </w:p>
            </w:tc>
            <w:tc>
              <w:tcPr>
                <w:tcW w:w="113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52</w:t>
                </w:r>
              </w:p>
            </w:tc>
            <w:tc>
              <w:tcPr>
                <w:tcW w:w="1134" w:type="dxa"/>
                <w:shd w:val="clear" w:color="auto" w:fill="FFFFFF" w:themeFill="background1"/>
                <w:hideMark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33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FF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14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4</w:t>
                </w:r>
              </w:p>
            </w:tc>
            <w:tc>
              <w:tcPr>
                <w:tcW w:w="84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color w:val="000000"/>
                    <w:sz w:val="18"/>
                    <w:szCs w:val="18"/>
                    <w:lang w:eastAsia="lt-LT"/>
                  </w:rPr>
                  <w:t>Stabili-zuoti</w:t>
                </w:r>
              </w:p>
            </w:tc>
            <w:tc>
              <w:tcPr>
                <w:tcW w:w="993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  <w:t>pasiektas /sumažėjo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rFonts w:ascii="Calibri" w:hAnsi="Calibri"/>
                    <w:bCs/>
                    <w:sz w:val="18"/>
                    <w:szCs w:val="18"/>
                    <w:lang w:eastAsia="lt-LT"/>
                  </w:rPr>
                  <w:t xml:space="preserve">–92,3 </w:t>
                </w:r>
                <w:r>
                  <w:rPr>
                    <w:rFonts w:ascii="Calibri" w:hAnsi="Calibri" w:cs="Calibri"/>
                    <w:bCs/>
                    <w:sz w:val="18"/>
                    <w:szCs w:val="18"/>
                    <w:lang w:eastAsia="lt-LT"/>
                  </w:rPr>
                  <w:t>%</w:t>
                </w:r>
              </w:p>
            </w:tc>
            <w:tc>
              <w:tcPr>
                <w:tcW w:w="1559" w:type="dxa"/>
                <w:shd w:val="clear" w:color="auto" w:fill="FFFFFF" w:themeFill="background1"/>
              </w:tcPr>
              <w:p>
                <w:pPr>
                  <w:rPr>
                    <w:rFonts w:ascii="Calibri" w:hAnsi="Calibri"/>
                    <w:strike/>
                    <w:color w:val="FF0000"/>
                    <w:sz w:val="18"/>
                    <w:szCs w:val="18"/>
                    <w:highlight w:val="lightGray"/>
                    <w:lang w:eastAsia="lt-LT"/>
                  </w:rPr>
                </w:pPr>
                <w:r>
                  <w:rPr>
                    <w:rFonts w:ascii="Calibri" w:hAnsi="Calibri"/>
                    <w:sz w:val="18"/>
                    <w:szCs w:val="18"/>
                    <w:lang w:eastAsia="lt-LT"/>
                  </w:rPr>
                  <w:t>Asmenų aptarnavimo skyrius</w:t>
                </w:r>
              </w:p>
            </w:tc>
          </w:tr>
        </w:tbl>
        <w:p>
          <w:pPr>
            <w:spacing w:line="257" w:lineRule="auto"/>
            <w:jc w:val="both"/>
            <w:rPr>
              <w:rFonts w:ascii="Calibri" w:eastAsia="Calibri" w:hAnsi="Calibri" w:cs="Calibri"/>
              <w:sz w:val="18"/>
              <w:szCs w:val="18"/>
            </w:rPr>
            <w:sectPr>
              <w:headerReference w:type="default" r:id="rId17"/>
              <w:footerReference w:type="first" r:id="rId18"/>
              <w:pgSz w:w="16840" w:h="11900" w:orient="landscape" w:code="9"/>
              <w:pgMar w:top="1418" w:right="454" w:bottom="1134" w:left="454" w:header="709" w:footer="567" w:gutter="0"/>
              <w:cols w:space="708"/>
              <w:docGrid w:linePitch="326"/>
            </w:sectPr>
          </w:pPr>
        </w:p>
        <w:p>
          <w:pPr>
            <w:rPr>
              <w:sz w:val="14"/>
              <w:szCs w:val="14"/>
            </w:rPr>
          </w:pPr>
        </w:p>
        <w:sdt>
          <w:sdtPr>
            <w:alias w:val="signatura"/>
            <w:tag w:val="part_ba7bb2c5b5824b01a96d36024edb0da9"/>
            <w:lock w:val="sdtLocked"/>
            <w:richText/>
          </w:sdtPr>
          <w:sdtContent>
            <w:p>
              <w:pPr>
                <w:ind w:firstLine="62"/>
                <w:jc w:val="center"/>
                <w:rPr>
                  <w:rFonts w:eastAsia="Cambria"/>
                  <w:bCs/>
                  <w:szCs w:val="24"/>
                </w:rPr>
              </w:pPr>
              <w:r>
                <w:rPr>
                  <w:rFonts w:eastAsia="Cambria"/>
                  <w:bCs/>
                  <w:szCs w:val="24"/>
                </w:rPr>
                <w:t>ŠSPP trečiojo prioriteto strateginių tikslų ir uždavinių rodikliai</w:t>
              </w:r>
            </w:p>
            <w:p>
              <w:pPr>
                <w:rPr>
                  <w:sz w:val="10"/>
                  <w:szCs w:val="10"/>
                </w:rPr>
              </w:pPr>
            </w:p>
            <w:tbl>
              <w:tblPr>
                <w:tblW w:w="15622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shd w:val="clear" w:color="auto" w:fill="FFFFFF"/>
                <w:tblLayout w:type="fixed"/>
                <w:tblLook w:val="04A0" w:firstRow="1" w:lastRow="0" w:firstColumn="1" w:lastColumn="0" w:noHBand="0" w:noVBand="1"/>
              </w:tblPr>
              <w:tblGrid>
                <w:gridCol w:w="737"/>
                <w:gridCol w:w="1843"/>
                <w:gridCol w:w="851"/>
                <w:gridCol w:w="2268"/>
                <w:gridCol w:w="1276"/>
                <w:gridCol w:w="993"/>
                <w:gridCol w:w="992"/>
                <w:gridCol w:w="992"/>
                <w:gridCol w:w="992"/>
                <w:gridCol w:w="993"/>
                <w:gridCol w:w="992"/>
                <w:gridCol w:w="850"/>
                <w:gridCol w:w="1843"/>
              </w:tblGrid>
              <w:tr>
                <w:trPr>
                  <w:trHeight w:val="202"/>
                  <w:jc w:val="center"/>
                </w:trPr>
                <w:tc>
                  <w:tcPr>
                    <w:tcW w:w="737" w:type="dxa"/>
                    <w:vMerge w:val="restart"/>
                    <w:shd w:val="clear" w:color="auto" w:fill="D0CECE" w:themeFill="background2" w:themeFillShade="E6"/>
                    <w:hideMark/>
                  </w:tcPr>
                  <w:p>
                    <w:pP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Nr.</w:t>
                    </w:r>
                  </w:p>
                </w:tc>
                <w:tc>
                  <w:tcPr>
                    <w:tcW w:w="1843" w:type="dxa"/>
                    <w:vMerge w:val="restart"/>
                    <w:shd w:val="clear" w:color="auto" w:fill="D0CECE" w:themeFill="background2" w:themeFillShade="E6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Rodiklio pavadinimas</w:t>
                    </w:r>
                  </w:p>
                </w:tc>
                <w:tc>
                  <w:tcPr>
                    <w:tcW w:w="851" w:type="dxa"/>
                    <w:vMerge w:val="restart"/>
                    <w:shd w:val="clear" w:color="auto" w:fill="D0CECE" w:themeFill="background2" w:themeFillShade="E6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Matavi-mo vienetas</w:t>
                    </w:r>
                  </w:p>
                </w:tc>
                <w:tc>
                  <w:tcPr>
                    <w:tcW w:w="2268" w:type="dxa"/>
                    <w:vMerge w:val="restart"/>
                    <w:shd w:val="clear" w:color="auto" w:fill="D0CECE" w:themeFill="background2" w:themeFillShade="E6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Matavimo metodika</w:t>
                    </w:r>
                  </w:p>
                </w:tc>
                <w:tc>
                  <w:tcPr>
                    <w:tcW w:w="1276" w:type="dxa"/>
                    <w:vMerge w:val="restart"/>
                    <w:shd w:val="clear" w:color="auto" w:fill="D0CECE" w:themeFill="background2" w:themeFillShade="E6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Duomenų šaltinis</w:t>
                    </w:r>
                  </w:p>
                </w:tc>
                <w:tc>
                  <w:tcPr>
                    <w:tcW w:w="8647" w:type="dxa"/>
                    <w:gridSpan w:val="8"/>
                    <w:shd w:val="clear" w:color="auto" w:fill="D0CECE" w:themeFill="background2" w:themeFillShade="E6"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Rezultatas</w:t>
                    </w:r>
                  </w:p>
                </w:tc>
              </w:tr>
              <w:tr>
                <w:trPr>
                  <w:trHeight w:val="202"/>
                  <w:jc w:val="center"/>
                </w:trPr>
                <w:tc>
                  <w:tcPr>
                    <w:tcW w:w="737" w:type="dxa"/>
                    <w:vMerge/>
                    <w:shd w:val="clear" w:color="auto" w:fill="D0CECE" w:themeFill="background2" w:themeFillShade="E6"/>
                  </w:tcPr>
                  <w:p>
                    <w:pP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vMerge/>
                    <w:shd w:val="clear" w:color="auto" w:fill="D0CECE" w:themeFill="background2" w:themeFillShade="E6"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  <w:vMerge/>
                    <w:shd w:val="clear" w:color="auto" w:fill="D0CECE" w:themeFill="background2" w:themeFillShade="E6"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268" w:type="dxa"/>
                    <w:vMerge/>
                    <w:shd w:val="clear" w:color="auto" w:fill="D0CECE" w:themeFill="background2" w:themeFillShade="E6"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D0CECE" w:themeFill="background2" w:themeFillShade="E6"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shd w:val="clear" w:color="auto" w:fill="D0CECE" w:themeFill="background2" w:themeFillShade="E6"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2015 m.</w:t>
                    </w:r>
                  </w:p>
                </w:tc>
                <w:tc>
                  <w:tcPr>
                    <w:tcW w:w="992" w:type="dxa"/>
                    <w:shd w:val="clear" w:color="auto" w:fill="D0CECE" w:themeFill="background2" w:themeFillShade="E6"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2017 m.</w:t>
                    </w:r>
                  </w:p>
                </w:tc>
                <w:tc>
                  <w:tcPr>
                    <w:tcW w:w="992" w:type="dxa"/>
                    <w:shd w:val="clear" w:color="auto" w:fill="D0CECE" w:themeFill="background2" w:themeFillShade="E6"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sz w:val="18"/>
                        <w:szCs w:val="18"/>
                        <w:lang w:eastAsia="lt-LT"/>
                      </w:rPr>
                      <w:t>2021 m.</w:t>
                    </w:r>
                  </w:p>
                </w:tc>
                <w:tc>
                  <w:tcPr>
                    <w:tcW w:w="992" w:type="dxa"/>
                    <w:shd w:val="clear" w:color="auto" w:fill="D0CECE" w:themeFill="background2" w:themeFillShade="E6"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sz w:val="18"/>
                        <w:szCs w:val="18"/>
                        <w:lang w:eastAsia="lt-LT"/>
                      </w:rPr>
                      <w:t>2024 m.</w:t>
                    </w:r>
                  </w:p>
                </w:tc>
                <w:tc>
                  <w:tcPr>
                    <w:tcW w:w="993" w:type="dxa"/>
                    <w:shd w:val="clear" w:color="auto" w:fill="D0CECE" w:themeFill="background2" w:themeFillShade="E6"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2025 m. siekis</w:t>
                    </w:r>
                  </w:p>
                </w:tc>
                <w:tc>
                  <w:tcPr>
                    <w:tcW w:w="992" w:type="dxa"/>
                    <w:shd w:val="clear" w:color="auto" w:fill="D0CECE" w:themeFill="background2" w:themeFillShade="E6"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Pasiektas/ nepa-siektas</w:t>
                    </w:r>
                  </w:p>
                </w:tc>
                <w:tc>
                  <w:tcPr>
                    <w:tcW w:w="850" w:type="dxa"/>
                    <w:shd w:val="clear" w:color="auto" w:fill="D0CECE" w:themeFill="background2" w:themeFillShade="E6"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val="en-US" w:eastAsia="lt-LT"/>
                      </w:rPr>
                      <w:t>Realus pokytis</w:t>
                    </w:r>
                  </w:p>
                </w:tc>
                <w:tc>
                  <w:tcPr>
                    <w:tcW w:w="1843" w:type="dxa"/>
                    <w:shd w:val="clear" w:color="auto" w:fill="D0CECE" w:themeFill="background2" w:themeFillShade="E6"/>
                  </w:tcPr>
                  <w:p>
                    <w:pPr>
                      <w:jc w:val="center"/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Atsakingas</w:t>
                    </w:r>
                  </w:p>
                </w:tc>
              </w:tr>
              <w:tr>
                <w:trPr>
                  <w:trHeight w:val="155"/>
                  <w:jc w:val="center"/>
                </w:trPr>
                <w:tc>
                  <w:tcPr>
                    <w:tcW w:w="737" w:type="dxa"/>
                    <w:shd w:val="clear" w:color="auto" w:fill="C00000"/>
                    <w:hideMark/>
                  </w:tcPr>
                  <w:p>
                    <w:pPr>
                      <w:rPr>
                        <w:rFonts w:ascii="Calibri" w:hAnsi="Calibri"/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sz w:val="20"/>
                        <w:lang w:eastAsia="lt-LT"/>
                      </w:rPr>
                      <w:t>3.1.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C00000"/>
                  </w:tcPr>
                  <w:p>
                    <w:pPr>
                      <w:rPr>
                        <w:rFonts w:ascii="Calibri" w:hAnsi="Calibri"/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sz w:val="20"/>
                        <w:lang w:eastAsia="lt-LT"/>
                      </w:rPr>
                      <w:t>Vystyti ir puoselėti gyvenamąją ir viešąją aplinką, patrauklią gyventi, dirbti, tobulėti</w:t>
                    </w:r>
                  </w:p>
                </w:tc>
              </w:tr>
              <w:tr>
                <w:trPr>
                  <w:trHeight w:val="1238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highlight w:val="yellow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E1-3.1.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Šilumos energijos sunaudojimo efektyvumas Savivaldybės BĮ pastatuose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kw/m</w:t>
                    </w: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vertAlign w:val="superscript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Savivaldybės BĮ pastatų bendras sunaudotos šilumos energijos kiekis per metus dalinamas iš bendro įstaigų ploto.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90,6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97,4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FF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97,6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77,2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Mažinti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 xml:space="preserve">–14,8 </w:t>
                    </w:r>
                    <w:r>
                      <w:rPr>
                        <w:rFonts w:ascii="Calibri" w:hAnsi="Calibri" w:cs="Calibri"/>
                        <w:sz w:val="18"/>
                        <w:szCs w:val="18"/>
                        <w:lang w:eastAsia="lt-LT"/>
                      </w:rPr>
                      <w:t>%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FF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Miesto ūkio ir aplinkos skyrius</w:t>
                    </w:r>
                  </w:p>
                </w:tc>
              </w:tr>
              <w:tr>
                <w:trPr>
                  <w:trHeight w:val="990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E2-3.1.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Sutvarkytų viešųjų erdvių dalis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proc.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Sutvarkytų viešųjų erdvių dalis skaičiuojama nuo visų reikalingų sutvarkyti viešųjų erdvių skaičiaus.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highlight w:val="yellow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6,5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highlight w:val="yellow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6,5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FF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35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40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Didinti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  <w:t>6 kartais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  <w:t xml:space="preserve">Miesto ūkio ir aplinkos skyrius,  </w:t>
                    </w:r>
                  </w:p>
                  <w:p>
                    <w:pP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Architektūros skyrius</w:t>
                    </w:r>
                  </w:p>
                </w:tc>
              </w:tr>
              <w:tr>
                <w:trPr>
                  <w:trHeight w:val="215"/>
                  <w:jc w:val="center"/>
                </w:trPr>
                <w:tc>
                  <w:tcPr>
                    <w:tcW w:w="737" w:type="dxa"/>
                    <w:shd w:val="clear" w:color="auto" w:fill="D9D9D9" w:themeFill="background1" w:themeFillShade="D9"/>
                    <w:hideMark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3.1.1.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D9D9D9" w:themeFill="background1" w:themeFillShade="D9"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Skatinti patogaus ir energetiškai efektyvaus būsto plėtrą</w:t>
                    </w:r>
                  </w:p>
                </w:tc>
              </w:tr>
              <w:tr>
                <w:trPr>
                  <w:trHeight w:val="305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P1-3.1.1.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Viešųjų erdvių pritaikymas neįgaliesiems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proc.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Pritaikytų neįgaliesiems viešųjų erdvių dalis nuo visų viešųjų erdvių mieste.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n.d.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n.d.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FF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n.d.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40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Didinti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28"/>
                        <w:szCs w:val="28"/>
                        <w:highlight w:val="yellow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  <w:t xml:space="preserve">Miesto ūkio ir aplinkos skyrius </w:t>
                    </w:r>
                  </w:p>
                </w:tc>
              </w:tr>
              <w:tr>
                <w:trPr>
                  <w:trHeight w:val="141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P2-3.1.1.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Renovuoti daugiabučiai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proc.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Renovuotų daugiabučių dalis nuo reikiamų renovuoti.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4,1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1,9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8,2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7,2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Didinti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 xml:space="preserve">+3,1 </w:t>
                    </w:r>
                    <w:r>
                      <w:rPr>
                        <w:rFonts w:ascii="Calibri" w:hAnsi="Calibri" w:cs="Calibri"/>
                        <w:color w:val="000000"/>
                        <w:sz w:val="18"/>
                        <w:szCs w:val="18"/>
                        <w:lang w:eastAsia="lt-LT"/>
                      </w:rPr>
                      <w:t>proc. punkto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Statybos ir renovacijos skyrius</w:t>
                    </w:r>
                  </w:p>
                </w:tc>
              </w:tr>
              <w:tr>
                <w:trPr>
                  <w:trHeight w:val="116"/>
                  <w:jc w:val="center"/>
                </w:trPr>
                <w:tc>
                  <w:tcPr>
                    <w:tcW w:w="737" w:type="dxa"/>
                    <w:shd w:val="clear" w:color="auto" w:fill="D9D9D9" w:themeFill="background1" w:themeFillShade="D9"/>
                    <w:hideMark/>
                  </w:tcPr>
                  <w:p>
                    <w:pP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3.1.2.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D9D9D9" w:themeFill="background1" w:themeFillShade="D9"/>
                  </w:tcPr>
                  <w:p>
                    <w:pP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Atnaujinti ir plėsti sporto objektų infrastruktūrą mieste</w:t>
                    </w:r>
                  </w:p>
                </w:tc>
              </w:tr>
              <w:tr>
                <w:trPr>
                  <w:trHeight w:val="332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P1-3.1.2.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Šilumos energijos sunaudojimas sporto įstaigose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kw/m2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Pagal skirtingas įstaigų sritis bendras sunaudotos šilumos energijos kiekis per metus dalinamas iš bendro įstaigų ploto.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69,5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76,8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108,8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99,6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Mažinti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nepa-siektas / padidėjo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 xml:space="preserve">+43,3 </w:t>
                    </w:r>
                    <w:r>
                      <w:rPr>
                        <w:rFonts w:ascii="Calibri" w:hAnsi="Calibri" w:cs="Calibri"/>
                        <w:color w:val="000000"/>
                        <w:sz w:val="18"/>
                        <w:szCs w:val="18"/>
                        <w:lang w:eastAsia="lt-LT"/>
                      </w:rPr>
                      <w:t>%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Miesto ūkio ir aplinkos skyrius, Sporto skyrius</w:t>
                    </w:r>
                  </w:p>
                </w:tc>
              </w:tr>
              <w:tr>
                <w:trPr>
                  <w:trHeight w:val="153"/>
                  <w:jc w:val="center"/>
                </w:trPr>
                <w:tc>
                  <w:tcPr>
                    <w:tcW w:w="737" w:type="dxa"/>
                    <w:shd w:val="clear" w:color="auto" w:fill="D9D9D9" w:themeFill="background1" w:themeFillShade="D9"/>
                    <w:hideMark/>
                  </w:tcPr>
                  <w:p>
                    <w:pP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3.1.3.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D9D9D9" w:themeFill="background1" w:themeFillShade="D9"/>
                  </w:tcPr>
                  <w:p>
                    <w:pP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Atnaujinti socialinių paslaugų įstaigų pastatus ir plėsti socialinio būsto fondą</w:t>
                    </w:r>
                  </w:p>
                </w:tc>
              </w:tr>
              <w:tr>
                <w:trPr>
                  <w:trHeight w:val="389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P1-3.1.3.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Šilumos energijos sunaudojimas socialinių paslaugų įstaigose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kw/m</w:t>
                    </w: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vertAlign w:val="superscript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Pagal skirtingas įstaigų sritis bendras sunaudotos šilumos energijos kiekis per metus dalinamas iš bendro įstaigų ploto.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71,6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79,8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115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91,5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Mažinti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nepa-siektas / padidėjo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 xml:space="preserve">+27,8 </w:t>
                    </w:r>
                    <w:r>
                      <w:rPr>
                        <w:rFonts w:ascii="Calibri" w:hAnsi="Calibri" w:cs="Calibri"/>
                        <w:color w:val="000000"/>
                        <w:sz w:val="18"/>
                        <w:szCs w:val="18"/>
                        <w:lang w:eastAsia="lt-LT"/>
                      </w:rPr>
                      <w:t>%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Miesto ūkio ir aplinkos skyrius, Socialinių paslaugų skyrius</w:t>
                    </w:r>
                  </w:p>
                </w:tc>
              </w:tr>
              <w:tr>
                <w:trPr>
                  <w:trHeight w:val="163"/>
                  <w:jc w:val="center"/>
                </w:trPr>
                <w:tc>
                  <w:tcPr>
                    <w:tcW w:w="737" w:type="dxa"/>
                    <w:shd w:val="clear" w:color="auto" w:fill="D9D9D9" w:themeFill="background1" w:themeFillShade="D9"/>
                    <w:hideMark/>
                  </w:tcPr>
                  <w:p>
                    <w:pP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3.1.4.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D9D9D9" w:themeFill="background1" w:themeFillShade="D9"/>
                  </w:tcPr>
                  <w:p>
                    <w:pPr>
                      <w:tabs>
                        <w:tab w:val="left" w:pos="9810"/>
                      </w:tabs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Gerinti sveikatos įstaigų infrastruktūrą ir didinti pastatų energetinį efektyvumą</w:t>
                    </w:r>
                  </w:p>
                </w:tc>
              </w:tr>
              <w:tr>
                <w:trPr>
                  <w:trHeight w:val="425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P1-3.1.4.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Šilumos energijos sunaudojimas sveikatos įstaigose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kw/m</w:t>
                    </w: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vertAlign w:val="superscript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Pagal skirtingas įstaigų sritis bendras sunaudotos šilumos energijos kiekis per metus dalinamas iš bendro įstaigų ploto.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46,4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56,6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102,1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spacing w:line="360" w:lineRule="auto"/>
                      <w:rPr>
                        <w:rFonts w:ascii="Calibri" w:eastAsia="Calibri" w:hAnsi="Calibri" w:cs="Calibri"/>
                        <w:sz w:val="18"/>
                        <w:szCs w:val="18"/>
                        <w:lang w:val="en-US"/>
                      </w:rPr>
                    </w:pPr>
                    <w:r>
                      <w:rPr>
                        <w:rFonts w:ascii="Calibri" w:eastAsia="Calibri" w:hAnsi="Calibri" w:cs="Calibri"/>
                        <w:sz w:val="18"/>
                        <w:szCs w:val="18"/>
                        <w:lang w:val="en-US"/>
                      </w:rPr>
                      <w:t>79,4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Mažinti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nepa-siektas / padidėjo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 xml:space="preserve">+71,1 </w:t>
                    </w:r>
                    <w:r>
                      <w:rPr>
                        <w:rFonts w:ascii="Calibri" w:hAnsi="Calibri" w:cs="Calibri"/>
                        <w:color w:val="000000"/>
                        <w:sz w:val="18"/>
                        <w:szCs w:val="18"/>
                        <w:lang w:eastAsia="lt-LT"/>
                      </w:rPr>
                      <w:t>%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Miesto ūkio ir aplinkos skyrius, Sveikatos skyrius</w:t>
                    </w:r>
                  </w:p>
                </w:tc>
              </w:tr>
              <w:tr>
                <w:trPr>
                  <w:trHeight w:val="70"/>
                  <w:jc w:val="center"/>
                </w:trPr>
                <w:tc>
                  <w:tcPr>
                    <w:tcW w:w="737" w:type="dxa"/>
                    <w:shd w:val="clear" w:color="auto" w:fill="D9D9D9" w:themeFill="background1" w:themeFillShade="D9"/>
                    <w:hideMark/>
                  </w:tcPr>
                  <w:p>
                    <w:pP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3.1.5.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D9D9D9" w:themeFill="background1" w:themeFillShade="D9"/>
                  </w:tcPr>
                  <w:p>
                    <w:pP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Didinti švietimo įstaigų pastatų energetinį efektyvumą</w:t>
                    </w:r>
                  </w:p>
                </w:tc>
              </w:tr>
              <w:tr>
                <w:trPr>
                  <w:trHeight w:val="409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P1-3.1.5.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Šilumos energijos sunaudojimas švietimo įstaigose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kw/m</w:t>
                    </w: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vertAlign w:val="superscript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Pagal skirtingas įstaigų sritis bendras sunaudotos šilumos energijos kiekis per metus dalinamas iš bendro įstaigų ploto.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93,2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99,3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95,6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75,9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Mažinti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 xml:space="preserve">–18,6 </w:t>
                    </w:r>
                    <w:r>
                      <w:rPr>
                        <w:rFonts w:ascii="Calibri" w:hAnsi="Calibri" w:cs="Calibri"/>
                        <w:color w:val="000000"/>
                        <w:sz w:val="18"/>
                        <w:szCs w:val="18"/>
                        <w:lang w:eastAsia="lt-LT"/>
                      </w:rPr>
                      <w:t>%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Miesto ūkio ir aplinkos skyrius, Švietimo skyrius</w:t>
                    </w:r>
                  </w:p>
                </w:tc>
              </w:tr>
              <w:tr>
                <w:trPr>
                  <w:trHeight w:val="240"/>
                  <w:jc w:val="center"/>
                </w:trPr>
                <w:tc>
                  <w:tcPr>
                    <w:tcW w:w="737" w:type="dxa"/>
                    <w:shd w:val="clear" w:color="auto" w:fill="D9D9D9" w:themeFill="background1" w:themeFillShade="D9"/>
                    <w:hideMark/>
                  </w:tcPr>
                  <w:p>
                    <w:pP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3.1.6.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D9D9D9" w:themeFill="background1" w:themeFillShade="D9"/>
                  </w:tcPr>
                  <w:p>
                    <w:pP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Didinti kultūros įstaigų pastatų energetinį efektyvumą</w:t>
                    </w:r>
                  </w:p>
                </w:tc>
              </w:tr>
              <w:tr>
                <w:trPr>
                  <w:trHeight w:val="377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P1-3.1.6.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Šilumos energijos sunaudojimas kultūros įstaigose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kw/m</w:t>
                    </w: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vertAlign w:val="superscript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Pagal skirtingas įstaigų sritis bendras sunaudotos šilumos energijos kiekis per metus dalinamas iš bendro įstaigų ploto.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82,7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99,7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84,7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77,9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Mažinti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 xml:space="preserve">–5,8 </w:t>
                    </w:r>
                    <w:r>
                      <w:rPr>
                        <w:rFonts w:ascii="Calibri" w:hAnsi="Calibri" w:cs="Calibri"/>
                        <w:color w:val="000000"/>
                        <w:sz w:val="18"/>
                        <w:szCs w:val="18"/>
                        <w:lang w:eastAsia="lt-LT"/>
                      </w:rPr>
                      <w:t>%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Miesto ūkio ir aplinkos skyrius, Kultūros skyrius</w:t>
                    </w:r>
                  </w:p>
                </w:tc>
              </w:tr>
              <w:tr>
                <w:trPr>
                  <w:trHeight w:val="93"/>
                  <w:jc w:val="center"/>
                </w:trPr>
                <w:tc>
                  <w:tcPr>
                    <w:tcW w:w="737" w:type="dxa"/>
                    <w:shd w:val="clear" w:color="auto" w:fill="D9D9D9" w:themeFill="background1" w:themeFillShade="D9"/>
                    <w:hideMark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3.1.7.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D9D9D9" w:themeFill="background1" w:themeFillShade="D9"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Kryptingai ir racionaliai planuoti teritorijas, remiantis kaštų ir naudos analizės principu</w:t>
                    </w:r>
                  </w:p>
                </w:tc>
              </w:tr>
              <w:tr>
                <w:trPr>
                  <w:trHeight w:val="117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P1-3.1.7.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Apleisti pastatai ir teritorijos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Apleistų pastatų ir teritorijų skaičius.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18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17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47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Mažinti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eastAsia="Cambria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eastAsia="Cambria" w:hAnsi="Calibri"/>
                        <w:color w:val="000000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eastAsia="Cambria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eastAsia="Cambria" w:hAnsi="Calibri"/>
                        <w:color w:val="000000"/>
                        <w:sz w:val="18"/>
                        <w:szCs w:val="18"/>
                        <w:lang w:eastAsia="lt-LT"/>
                      </w:rPr>
                      <w:t xml:space="preserve">–33,3 </w:t>
                    </w:r>
                    <w:r>
                      <w:rPr>
                        <w:rFonts w:ascii="Calibri" w:eastAsia="Cambria" w:hAnsi="Calibri" w:cs="Calibri"/>
                        <w:color w:val="000000"/>
                        <w:sz w:val="18"/>
                        <w:szCs w:val="18"/>
                        <w:lang w:eastAsia="lt-LT"/>
                      </w:rPr>
                      <w:t>%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eastAsia="Cambria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eastAsia="Cambria" w:hAnsi="Calibri"/>
                        <w:color w:val="000000"/>
                        <w:sz w:val="18"/>
                        <w:szCs w:val="18"/>
                        <w:lang w:eastAsia="lt-LT"/>
                      </w:rPr>
                      <w:t xml:space="preserve">Statybos ir renovacijos skyrius </w:t>
                    </w:r>
                  </w:p>
                </w:tc>
              </w:tr>
              <w:tr>
                <w:trPr>
                  <w:trHeight w:val="70"/>
                  <w:jc w:val="center"/>
                </w:trPr>
                <w:tc>
                  <w:tcPr>
                    <w:tcW w:w="737" w:type="dxa"/>
                    <w:shd w:val="clear" w:color="auto" w:fill="D9D9D9" w:themeFill="background1" w:themeFillShade="D9"/>
                    <w:hideMark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3.1.8.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D9D9D9" w:themeFill="background1" w:themeFillShade="D9"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Sutvarkyti viešąsias erdves, sudarant sąlygas klasikinės kultūros, sporto, rekreacijos plėtojimui</w:t>
                    </w:r>
                  </w:p>
                </w:tc>
              </w:tr>
              <w:tr>
                <w:trPr>
                  <w:trHeight w:val="368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P1-3.1.8.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Universalaus dizaino principo taikymas tvarkant naujas erdves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proc.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Viešųjų erdvių sutvarkytų pagal universalaus dizaino principą, dalis nuo visų reikiamų sutvarkyti pagal šį principą.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n. d.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n. d.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n. d.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eastAsia="Cambria" w:hAnsi="Calibri"/>
                        <w:szCs w:val="24"/>
                        <w:lang w:val="en-US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45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Didinti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color w:val="000000"/>
                        <w:sz w:val="18"/>
                        <w:szCs w:val="18"/>
                        <w:highlight w:val="yellow"/>
                        <w:lang w:eastAsia="lt-LT"/>
                      </w:rPr>
                    </w:pPr>
                    <w:r>
                      <w:rPr>
                        <w:rFonts w:ascii="Calibri" w:eastAsia="Cambria" w:hAnsi="Calibri"/>
                        <w:color w:val="000000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trike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Architektūros skyrius,</w:t>
                    </w:r>
                  </w:p>
                  <w:p>
                    <w:pPr>
                      <w:rPr>
                        <w:rFonts w:ascii="Calibri" w:eastAsia="Cambria" w:hAnsi="Calibri"/>
                        <w:b/>
                        <w:bCs/>
                        <w:color w:val="FF0000"/>
                        <w:szCs w:val="24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  <w:t>Miesto ūkio ir aplinkos skyrius</w:t>
                    </w:r>
                  </w:p>
                </w:tc>
              </w:tr>
              <w:tr>
                <w:trPr>
                  <w:trHeight w:val="95"/>
                  <w:jc w:val="center"/>
                </w:trPr>
                <w:tc>
                  <w:tcPr>
                    <w:tcW w:w="737" w:type="dxa"/>
                    <w:shd w:val="clear" w:color="auto" w:fill="C00000"/>
                    <w:hideMark/>
                  </w:tcPr>
                  <w:p>
                    <w:pPr>
                      <w:rPr>
                        <w:rFonts w:ascii="Calibri" w:hAnsi="Calibri"/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sz w:val="20"/>
                        <w:lang w:eastAsia="lt-LT"/>
                      </w:rPr>
                      <w:t>3.2.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C00000"/>
                  </w:tcPr>
                  <w:p>
                    <w:pPr>
                      <w:rPr>
                        <w:rFonts w:ascii="Calibri" w:hAnsi="Calibri"/>
                        <w:b/>
                        <w:bCs/>
                        <w:sz w:val="20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sz w:val="20"/>
                        <w:lang w:eastAsia="lt-LT"/>
                      </w:rPr>
                      <w:t>Sukurti ir išlaikyti patogią, draugišką aplinkai, visiems prieinamą ir saugią susisiekimo sistemą</w:t>
                    </w:r>
                  </w:p>
                </w:tc>
              </w:tr>
              <w:tr>
                <w:trPr>
                  <w:trHeight w:val="607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E1-3.2.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Individualių lengvųjų automobilių skaičius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vnt./1000 gyv.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Individualių automobilių skaičius, tenkantis tūkstančiui gyventojų.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Statistikos departamen-tas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hideMark/>
                  </w:tcPr>
                  <w:p>
                    <w:pPr>
                      <w:spacing w:line="360" w:lineRule="auto"/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347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379</w:t>
                    </w:r>
                  </w:p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440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414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Mažinti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nepa-siektas / padidėjo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 xml:space="preserve">+19,3 </w:t>
                    </w:r>
                    <w:r>
                      <w:rPr>
                        <w:rFonts w:ascii="Calibri" w:hAnsi="Calibri" w:cs="Calibri"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%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Miesto ūkio ir aplinkos skyrius</w:t>
                    </w:r>
                  </w:p>
                </w:tc>
              </w:tr>
              <w:tr>
                <w:trPr>
                  <w:trHeight w:val="404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E2-3.2.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 xml:space="preserve">Eismo įvykiai 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Eismo įvykių Šiaulių miesto gatvėse skaičius.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Savivaldybė, Kelių policija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144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141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108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101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Mažinti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  <w:t xml:space="preserve">–29,9 </w:t>
                    </w:r>
                    <w:r>
                      <w:rPr>
                        <w:rFonts w:ascii="Calibri" w:hAnsi="Calibri" w:cs="Calibri"/>
                        <w:bCs/>
                        <w:sz w:val="18"/>
                        <w:szCs w:val="18"/>
                        <w:lang w:eastAsia="lt-LT"/>
                      </w:rPr>
                      <w:t>%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  <w:t>Civilinės saugos ir teisėtvarkos skyrius</w:t>
                    </w:r>
                  </w:p>
                </w:tc>
              </w:tr>
              <w:tr>
                <w:trPr>
                  <w:trHeight w:val="276"/>
                  <w:jc w:val="center"/>
                </w:trPr>
                <w:tc>
                  <w:tcPr>
                    <w:tcW w:w="737" w:type="dxa"/>
                    <w:shd w:val="clear" w:color="auto" w:fill="D9D9D9" w:themeFill="background1" w:themeFillShade="D9"/>
                    <w:hideMark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3.2.1.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D9D9D9" w:themeFill="background1" w:themeFillShade="D9"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Sukurti vieningą ir saugų susisiekimo tinklą</w:t>
                    </w:r>
                  </w:p>
                </w:tc>
              </w:tr>
              <w:tr>
                <w:trPr>
                  <w:trHeight w:val="426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P1-3.2.1.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Automobilių spūsčių miesto centre mažinimas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 xml:space="preserve">Įrengtų aplinkkelių skaičius. 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0,3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Stabilizuo-ti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Miesto ūkio ir aplinkos skyrius</w:t>
                    </w:r>
                  </w:p>
                </w:tc>
              </w:tr>
              <w:tr>
                <w:trPr>
                  <w:trHeight w:val="116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P2-3.2.1.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Gatvės, padengtos asfalto danga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proc.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 xml:space="preserve">Gatvių su asfalto danga dalis nuo visų gatvių tinklo. 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53,4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53,8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69,3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87,1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Didinti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 xml:space="preserve">+33,7 </w:t>
                    </w:r>
                    <w:r>
                      <w:rPr>
                        <w:rFonts w:ascii="Calibri" w:hAnsi="Calibri" w:cs="Calibri"/>
                        <w:color w:val="000000"/>
                        <w:sz w:val="18"/>
                        <w:szCs w:val="18"/>
                        <w:lang w:eastAsia="lt-LT"/>
                      </w:rPr>
                      <w:t>proc. punkto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Miesto ūkio ir aplinkos skyrius</w:t>
                    </w:r>
                  </w:p>
                </w:tc>
              </w:tr>
              <w:tr>
                <w:trPr>
                  <w:trHeight w:val="276"/>
                  <w:jc w:val="center"/>
                </w:trPr>
                <w:tc>
                  <w:tcPr>
                    <w:tcW w:w="737" w:type="dxa"/>
                    <w:vMerge w:val="restart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highlight w:val="yellow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P3-3.2.1.</w:t>
                    </w:r>
                  </w:p>
                </w:tc>
                <w:tc>
                  <w:tcPr>
                    <w:tcW w:w="1843" w:type="dxa"/>
                    <w:vMerge w:val="restart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Bendros įrengtos ir sujungtos dviračių trasos ilgis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km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Įrengtos dviračių trasos ilgis.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noWrap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61,1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61,1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83,1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101,6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Didinti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20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 xml:space="preserve">+66,3 </w:t>
                    </w:r>
                    <w:r>
                      <w:rPr>
                        <w:rFonts w:ascii="Calibri" w:hAnsi="Calibri" w:cs="Calibri"/>
                        <w:sz w:val="18"/>
                        <w:szCs w:val="18"/>
                        <w:lang w:eastAsia="lt-LT"/>
                      </w:rPr>
                      <w:t>%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Miesto ūkio ir aplinkos skyrius</w:t>
                    </w:r>
                  </w:p>
                </w:tc>
              </w:tr>
              <w:tr>
                <w:trPr>
                  <w:trHeight w:val="276"/>
                  <w:jc w:val="center"/>
                </w:trPr>
                <w:tc>
                  <w:tcPr>
                    <w:tcW w:w="737" w:type="dxa"/>
                    <w:vMerge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vMerge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  <w:shd w:val="clear" w:color="auto" w:fill="FFFFFF" w:themeFill="background1"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km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Sujungtos dviračių trasos ilgis.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noWrap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n. d.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n. d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n. d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n. d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Didinti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nėra duomenų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Miesto ūkio ir aplinkos skyrius</w:t>
                    </w:r>
                  </w:p>
                </w:tc>
              </w:tr>
              <w:tr>
                <w:trPr>
                  <w:trHeight w:val="172"/>
                  <w:jc w:val="center"/>
                </w:trPr>
                <w:tc>
                  <w:tcPr>
                    <w:tcW w:w="737" w:type="dxa"/>
                    <w:shd w:val="clear" w:color="auto" w:fill="D9D9D9" w:themeFill="background1" w:themeFillShade="D9"/>
                    <w:hideMark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3.2.2.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D9D9D9" w:themeFill="background1" w:themeFillShade="D9"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Mažinti transporto neigiamą poveikį aplinkai, kuriant tinkamą infrastruktūrą</w:t>
                    </w:r>
                  </w:p>
                </w:tc>
              </w:tr>
              <w:tr>
                <w:trPr>
                  <w:trHeight w:val="229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P1-3.2.2.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Elektromobilių naudojimas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 xml:space="preserve">Elektromobiliams skirtų stotelių diegimas Šiaulių mieste. </w:t>
                    </w:r>
                  </w:p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  <w:hideMark/>
                  </w:tcPr>
                  <w:p>
                    <w:pPr>
                      <w:spacing w:line="360" w:lineRule="auto"/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11</w:t>
                    </w:r>
                  </w:p>
                  <w:p>
                    <w:pPr>
                      <w:rPr>
                        <w:rFonts w:ascii="Calibri" w:hAnsi="Calibri"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Didinti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11 kartų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Miesto ūkio ir aplinkos skyrius</w:t>
                    </w:r>
                  </w:p>
                </w:tc>
              </w:tr>
              <w:tr>
                <w:trPr>
                  <w:trHeight w:val="121"/>
                  <w:jc w:val="center"/>
                </w:trPr>
                <w:tc>
                  <w:tcPr>
                    <w:tcW w:w="737" w:type="dxa"/>
                    <w:shd w:val="clear" w:color="auto" w:fill="D0CECE" w:themeFill="background2" w:themeFillShade="E6"/>
                    <w:hideMark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3.2.3.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D0CECE" w:themeFill="background2" w:themeFillShade="E6"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Didinti visuomeninio transporto patrauklumą</w:t>
                    </w:r>
                  </w:p>
                </w:tc>
              </w:tr>
              <w:tr>
                <w:trPr>
                  <w:trHeight w:val="365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P1-3.2.3.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Pervežtų keleivių apimtys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proc.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 xml:space="preserve">Pervežtų keleivių skaičiaus pokytis viešuoju transportu lyginant su praėjusiais metais. </w:t>
                    </w:r>
                  </w:p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Savivaldybė, UAB „Busturas“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 xml:space="preserve">–7,12 </w:t>
                    </w: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val="en-US" w:eastAsia="lt-LT"/>
                      </w:rPr>
                      <w:t>% (13 261,3)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+2,37 % (12 842,7)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–4,33 % ( 7 629,1)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+0,77 % (10 203,0)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Didinti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nepa-siektas / sumažėjo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 xml:space="preserve">–23,1 </w:t>
                    </w:r>
                    <w:r>
                      <w:rPr>
                        <w:rFonts w:ascii="Calibri" w:hAnsi="Calibri" w:cs="Calibri"/>
                        <w:sz w:val="18"/>
                        <w:szCs w:val="18"/>
                        <w:lang w:eastAsia="lt-LT"/>
                      </w:rPr>
                      <w:t>%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Miesto ūkio ir aplinkos skyrius, UAB „Busturas“</w:t>
                    </w:r>
                  </w:p>
                </w:tc>
              </w:tr>
              <w:tr>
                <w:trPr>
                  <w:trHeight w:val="145"/>
                  <w:jc w:val="center"/>
                </w:trPr>
                <w:tc>
                  <w:tcPr>
                    <w:tcW w:w="737" w:type="dxa"/>
                    <w:shd w:val="clear" w:color="auto" w:fill="C00000"/>
                    <w:hideMark/>
                  </w:tcPr>
                  <w:p>
                    <w:pPr>
                      <w:rPr>
                        <w:rFonts w:ascii="Calibri" w:hAnsi="Calibri"/>
                        <w:b/>
                        <w:bCs/>
                        <w:color w:val="FFFFFF"/>
                        <w:sz w:val="20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sz w:val="20"/>
                        <w:lang w:eastAsia="lt-LT"/>
                      </w:rPr>
                      <w:t>3.3.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C00000"/>
                  </w:tcPr>
                  <w:p>
                    <w:pPr>
                      <w:rPr>
                        <w:rFonts w:ascii="Calibri" w:hAnsi="Calibri"/>
                        <w:b/>
                        <w:bCs/>
                        <w:color w:val="FFFFFF"/>
                        <w:sz w:val="20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bCs/>
                        <w:sz w:val="20"/>
                        <w:lang w:eastAsia="lt-LT"/>
                      </w:rPr>
                      <w:t>Vystyti ir palaikyti saugią ir švarią aplinką</w:t>
                    </w:r>
                  </w:p>
                </w:tc>
              </w:tr>
              <w:tr>
                <w:trPr>
                  <w:trHeight w:val="824"/>
                  <w:jc w:val="center"/>
                </w:trPr>
                <w:tc>
                  <w:tcPr>
                    <w:tcW w:w="737" w:type="dxa"/>
                    <w:vMerge w:val="restart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highlight w:val="yellow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E1-3.3.</w:t>
                    </w:r>
                  </w:p>
                </w:tc>
                <w:tc>
                  <w:tcPr>
                    <w:tcW w:w="1843" w:type="dxa"/>
                    <w:vMerge w:val="restart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Taršos lygis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μg/m³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Kietųjų dalelių skaičius: ribinių reikšmių viršijimas, skaičiuojamas nuo bendro stebėjimo objektų skaičiaus (neviršyta aplinkos oro užterštumo kietosiomis dalelėmis metinė ribinė vertė (40)).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Aplinkos apsaugos agentūra, 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21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17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FF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24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21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Stabilizuo-ti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vMerge w:val="restart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trike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Miesto ūkio ir aplinkos skyrius</w:t>
                    </w:r>
                  </w:p>
                </w:tc>
              </w:tr>
              <w:tr>
                <w:trPr>
                  <w:trHeight w:val="353"/>
                  <w:jc w:val="center"/>
                </w:trPr>
                <w:tc>
                  <w:tcPr>
                    <w:tcW w:w="737" w:type="dxa"/>
                    <w:vMerge/>
                    <w:vAlign w:val="center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vMerge/>
                    <w:vAlign w:val="center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proc.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Vandens kokybė: geriamojo vandens atitikimas higienos normoms.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Aplinkos apsaugos agentūra, Savivaldybė</w:t>
                    </w:r>
                  </w:p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Apie 60 proc.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100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FF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 xml:space="preserve">100 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100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Didinti</w:t>
                    </w:r>
                  </w:p>
                </w:tc>
                <w:tc>
                  <w:tcPr>
                    <w:tcW w:w="992" w:type="dxa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vMerge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>
                <w:trPr>
                  <w:trHeight w:val="418"/>
                  <w:jc w:val="center"/>
                </w:trPr>
                <w:tc>
                  <w:tcPr>
                    <w:tcW w:w="737" w:type="dxa"/>
                    <w:vMerge/>
                    <w:vAlign w:val="center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vMerge/>
                    <w:vAlign w:val="center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proc.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Nuotekų išvalymas: išleista nepakankamai išvalytų nuotekų dalis nuo visų išleistų nuotekų.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 xml:space="preserve">Statistikos departamen-tas, Aplinkos apsaugos agentūra, </w:t>
                    </w:r>
                  </w:p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 xml:space="preserve">100 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 xml:space="preserve">100 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 xml:space="preserve">100 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100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Didinti</w:t>
                    </w:r>
                  </w:p>
                </w:tc>
                <w:tc>
                  <w:tcPr>
                    <w:tcW w:w="992" w:type="dxa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highlight w:val="green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vMerge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>
                <w:trPr>
                  <w:trHeight w:val="381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E2-3.3.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Nusikalstamumo lygis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vnt./ 100000 gyv.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Nusikalstamų veikų skaičius 100 000 gyventojų.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Statistikos departamen-tas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2 747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2 145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1 480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1 512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Mažinti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  <w:t xml:space="preserve">–45,0 </w:t>
                    </w:r>
                    <w:r>
                      <w:rPr>
                        <w:rFonts w:ascii="Calibri" w:hAnsi="Calibri" w:cs="Calibri"/>
                        <w:bCs/>
                        <w:sz w:val="18"/>
                        <w:szCs w:val="18"/>
                        <w:lang w:eastAsia="lt-LT"/>
                      </w:rPr>
                      <w:t>%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  <w:t>Civilinės saugos ir teisėtvarkos skyrius</w:t>
                    </w:r>
                  </w:p>
                </w:tc>
              </w:tr>
              <w:tr>
                <w:trPr>
                  <w:trHeight w:val="420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E3-3.3.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Atsinaujinantys energijos šaltiniai centrinio šildymo sistemoje</w:t>
                    </w:r>
                  </w:p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proc.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Atsinaujinančių energijos išteklių dalis bendrame galutiniame energijos suvartojime.</w:t>
                    </w:r>
                  </w:p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n.d.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n.d.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eastAsia="Cambria" w:hAnsi="Calibri"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74,7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FF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81,45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Didinti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  <w:t xml:space="preserve">+6,75 </w:t>
                    </w:r>
                    <w:r>
                      <w:rPr>
                        <w:rFonts w:ascii="Calibri" w:hAnsi="Calibri" w:cs="Calibri"/>
                        <w:color w:val="000000"/>
                        <w:sz w:val="18"/>
                        <w:szCs w:val="18"/>
                        <w:lang w:eastAsia="lt-LT"/>
                      </w:rPr>
                      <w:t>proc. punkto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trike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  <w:t>Miesto ūkio ir aplinkos skyrius</w:t>
                    </w:r>
                  </w:p>
                </w:tc>
              </w:tr>
              <w:tr>
                <w:trPr>
                  <w:trHeight w:val="187"/>
                  <w:jc w:val="center"/>
                </w:trPr>
                <w:tc>
                  <w:tcPr>
                    <w:tcW w:w="737" w:type="dxa"/>
                    <w:shd w:val="clear" w:color="auto" w:fill="D9D9D9" w:themeFill="background1" w:themeFillShade="D9"/>
                    <w:hideMark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3.3.1.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D9D9D9" w:themeFill="background1" w:themeFillShade="D9"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 xml:space="preserve">Vystyti  efektyvią komunalinių atliekų tvarkymo sistemą</w:t>
                    </w:r>
                  </w:p>
                </w:tc>
              </w:tr>
              <w:tr>
                <w:trPr>
                  <w:trHeight w:val="276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P1-3.3.1.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Atliekų rūšiavimas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proc.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Išrūšiuotų atliekų dalis nuo bendro atliekų kiekio.</w:t>
                    </w:r>
                  </w:p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19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  <w:hideMark/>
                  </w:tcPr>
                  <w:p>
                    <w:pPr>
                      <w:spacing w:line="360" w:lineRule="auto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30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43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51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Didinti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2,7 karto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Miesto ūkio ir aplinkos skyrius</w:t>
                    </w:r>
                  </w:p>
                </w:tc>
              </w:tr>
              <w:tr>
                <w:trPr>
                  <w:trHeight w:val="95"/>
                  <w:jc w:val="center"/>
                </w:trPr>
                <w:tc>
                  <w:tcPr>
                    <w:tcW w:w="737" w:type="dxa"/>
                    <w:shd w:val="clear" w:color="auto" w:fill="D9D9D9" w:themeFill="background1" w:themeFillShade="D9"/>
                    <w:hideMark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3.3.2.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D9D9D9" w:themeFill="background1" w:themeFillShade="D9"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Modernizuoti ir optimizuoti centralizuotus komunalinius tinklus</w:t>
                    </w:r>
                  </w:p>
                </w:tc>
              </w:tr>
              <w:tr>
                <w:trPr>
                  <w:trHeight w:val="655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highlight w:val="yellow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P2-3.3.2.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Namų ūkiai, besinaudojantys centralizuotais inžineriniais vandens ir nuotekų tinklais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proc.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 xml:space="preserve">Namų </w:t>
                    </w: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 xml:space="preserve">ūkių dalis, </w:t>
                    </w: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 xml:space="preserve">besinaudojančių centralizuotais inžineriniais vandens ir nuotekų tinklais, dalis nuo visų namų ūkių. 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Savivaldybė, UAB „Šiaulių vandenys</w:t>
                    </w:r>
                    <w:r>
                      <w:rPr>
                        <w:rFonts w:ascii="Calibri" w:hAnsi="Calibri" w:cs="Calibri"/>
                        <w:color w:val="000000"/>
                        <w:sz w:val="18"/>
                        <w:szCs w:val="18"/>
                        <w:lang w:eastAsia="lt-LT"/>
                      </w:rPr>
                      <w:t>“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eastAsia="Cambria" w:hAnsi="Calibri"/>
                        <w:szCs w:val="24"/>
                        <w:lang w:val="pt-BR"/>
                      </w:rPr>
                    </w:pPr>
                    <w:r>
                      <w:rPr>
                        <w:rFonts w:ascii="Calibri" w:eastAsia="Calibri" w:hAnsi="Calibri" w:cs="Calibri"/>
                        <w:color w:val="000000"/>
                        <w:sz w:val="18"/>
                        <w:szCs w:val="18"/>
                        <w:lang w:val="pt-BR"/>
                      </w:rPr>
                      <w:t xml:space="preserve">Vandens tinklai(toliau – VT) -  95,3 proc.</w:t>
                    </w:r>
                  </w:p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eastAsia="Calibri" w:hAnsi="Calibri" w:cs="Calibri"/>
                        <w:color w:val="000000"/>
                        <w:sz w:val="18"/>
                        <w:szCs w:val="18"/>
                        <w:lang w:val="en-US"/>
                      </w:rPr>
                      <w:t>Nuotekų tinklai(toliau – NT) –96,3 proc.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eastAsia="Cambria" w:hAnsi="Calibri"/>
                        <w:szCs w:val="24"/>
                        <w:lang w:val="en-US"/>
                      </w:rPr>
                    </w:pPr>
                    <w:r>
                      <w:rPr>
                        <w:rFonts w:ascii="Calibri" w:eastAsia="Calibri" w:hAnsi="Calibri" w:cs="Calibri"/>
                        <w:color w:val="000000"/>
                        <w:sz w:val="18"/>
                        <w:szCs w:val="18"/>
                        <w:lang w:val="en-US"/>
                      </w:rPr>
                      <w:t>VT – 96,23 proc.</w:t>
                    </w:r>
                  </w:p>
                  <w:p>
                    <w:pPr>
                      <w:jc w:val="center"/>
                      <w:rPr>
                        <w:rFonts w:ascii="Calibri" w:eastAsia="Calibri" w:hAnsi="Calibri" w:cs="Calibri"/>
                        <w:color w:val="000000"/>
                        <w:sz w:val="18"/>
                        <w:szCs w:val="18"/>
                        <w:lang w:val="en-US"/>
                      </w:rPr>
                    </w:pPr>
                  </w:p>
                  <w:p>
                    <w:pPr>
                      <w:jc w:val="center"/>
                      <w:rPr>
                        <w:rFonts w:ascii="Calibri" w:eastAsia="Calibri" w:hAnsi="Calibri" w:cs="Calibri"/>
                        <w:color w:val="000000"/>
                        <w:sz w:val="18"/>
                        <w:szCs w:val="18"/>
                        <w:lang w:val="en-US"/>
                      </w:rPr>
                    </w:pPr>
                  </w:p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eastAsia="Calibri" w:hAnsi="Calibri" w:cs="Calibri"/>
                        <w:color w:val="000000"/>
                        <w:sz w:val="18"/>
                        <w:szCs w:val="18"/>
                        <w:lang w:val="en-US"/>
                      </w:rPr>
                      <w:t>NT – 97,33 proc.</w:t>
                    </w:r>
                  </w:p>
                  <w:p>
                    <w:pPr>
                      <w:spacing w:line="360" w:lineRule="auto"/>
                      <w:jc w:val="center"/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VT – 97,23</w:t>
                    </w:r>
                  </w:p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</w:p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</w:p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</w:p>
                  <w:p>
                    <w:pPr>
                      <w:rPr>
                        <w:rFonts w:ascii="Calibri" w:eastAsia="Cambria" w:hAnsi="Calibri"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NT – 98,20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eastAsia="Cambria" w:hAnsi="Calibri"/>
                        <w:sz w:val="18"/>
                        <w:szCs w:val="18"/>
                      </w:rPr>
                    </w:pPr>
                    <w:r>
                      <w:rPr>
                        <w:rFonts w:ascii="Calibri" w:eastAsia="Cambria" w:hAnsi="Calibri"/>
                        <w:sz w:val="18"/>
                        <w:szCs w:val="18"/>
                      </w:rPr>
                      <w:t>VT– 97,74 proc.</w:t>
                    </w:r>
                  </w:p>
                  <w:p>
                    <w:pPr>
                      <w:rPr>
                        <w:rFonts w:ascii="Calibri" w:eastAsia="Cambria" w:hAnsi="Calibri"/>
                        <w:sz w:val="18"/>
                        <w:szCs w:val="18"/>
                      </w:rPr>
                    </w:pPr>
                  </w:p>
                  <w:p>
                    <w:pPr>
                      <w:rPr>
                        <w:rFonts w:ascii="Calibri" w:eastAsia="Cambria" w:hAnsi="Calibri"/>
                        <w:sz w:val="18"/>
                        <w:szCs w:val="18"/>
                      </w:rPr>
                    </w:pPr>
                  </w:p>
                  <w:p>
                    <w:pPr>
                      <w:rPr>
                        <w:rFonts w:ascii="Calibri" w:eastAsia="Cambria" w:hAnsi="Calibri"/>
                        <w:sz w:val="18"/>
                        <w:szCs w:val="18"/>
                        <w:lang w:val="en-US"/>
                      </w:rPr>
                    </w:pPr>
                    <w:r>
                      <w:rPr>
                        <w:rFonts w:ascii="Calibri" w:eastAsia="Cambria" w:hAnsi="Calibri"/>
                        <w:sz w:val="18"/>
                        <w:szCs w:val="18"/>
                      </w:rPr>
                      <w:t>NT– 98,59 proc.</w:t>
                    </w:r>
                  </w:p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Didinti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 xml:space="preserve">+2,44 </w:t>
                    </w:r>
                    <w:r>
                      <w:rPr>
                        <w:rFonts w:ascii="Calibri" w:hAnsi="Calibri" w:cs="Calibri"/>
                        <w:color w:val="000000"/>
                        <w:sz w:val="18"/>
                        <w:szCs w:val="18"/>
                        <w:lang w:eastAsia="lt-LT"/>
                      </w:rPr>
                      <w:t>% proc. punkto</w:t>
                    </w:r>
                  </w:p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 xml:space="preserve">+2,29 </w:t>
                    </w:r>
                    <w:r>
                      <w:rPr>
                        <w:rFonts w:ascii="Calibri" w:hAnsi="Calibri" w:cs="Calibri"/>
                        <w:color w:val="000000"/>
                        <w:sz w:val="18"/>
                        <w:szCs w:val="18"/>
                        <w:lang w:eastAsia="lt-LT"/>
                      </w:rPr>
                      <w:t>proc. punkto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Miesto ūkio ir aplinkos skyrius, UAB „Šiaulių vandenys“</w:t>
                    </w:r>
                  </w:p>
                </w:tc>
              </w:tr>
              <w:tr>
                <w:trPr>
                  <w:trHeight w:val="70"/>
                  <w:jc w:val="center"/>
                </w:trPr>
                <w:tc>
                  <w:tcPr>
                    <w:tcW w:w="737" w:type="dxa"/>
                    <w:shd w:val="clear" w:color="auto" w:fill="D9D9D9" w:themeFill="background1" w:themeFillShade="D9"/>
                    <w:hideMark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3.3.3.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D9D9D9" w:themeFill="background1" w:themeFillShade="D9"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Sukurti vaizdo stebėjimo ir informacijos valdymo sistemą</w:t>
                    </w:r>
                  </w:p>
                </w:tc>
              </w:tr>
              <w:tr>
                <w:trPr>
                  <w:trHeight w:val="425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P1-3.3.3.</w:t>
                    </w:r>
                  </w:p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Sunkių ir labai sunkių nusikaltimų skaičius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vnt./ 100000 gyv.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Sunkių ir labai sunkių nusikaltimų skaičius, tenkantis 100 000 gyventojų.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Statistikos departamen-tas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204,5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90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66,4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63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Mažinti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  <w:t xml:space="preserve">–69,2 </w:t>
                    </w:r>
                    <w:r>
                      <w:rPr>
                        <w:rFonts w:ascii="Calibri" w:hAnsi="Calibri" w:cs="Calibri"/>
                        <w:bCs/>
                        <w:sz w:val="18"/>
                        <w:szCs w:val="18"/>
                        <w:lang w:eastAsia="lt-LT"/>
                      </w:rPr>
                      <w:t>%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  <w:t>Civilinės saugos ir teisėtvarkos skyrius</w:t>
                    </w:r>
                  </w:p>
                </w:tc>
              </w:tr>
              <w:tr>
                <w:trPr>
                  <w:trHeight w:val="709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P2-3.3.3.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Nepilnamečiai, įtariami padarę nusikalstamas veikas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vnt./ 100000 vaik.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Nepilnamečių, įtariamų padarius nusikalstamas veikas, skaičius, tenkantis 100 tūkst. 14−17 metų amžiaus vaikų.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Statistikos departamen-tas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145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38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88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eastAsia="Calibri" w:hAnsi="Calibri" w:cs="Calibri"/>
                        <w:sz w:val="18"/>
                        <w:szCs w:val="18"/>
                      </w:rPr>
                    </w:pPr>
                    <w:r>
                      <w:rPr>
                        <w:rFonts w:ascii="Calibri" w:eastAsia="Calibri" w:hAnsi="Calibri" w:cs="Calibri"/>
                        <w:sz w:val="18"/>
                        <w:szCs w:val="18"/>
                      </w:rPr>
                      <w:t xml:space="preserve">32 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Mažinti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  <w:t xml:space="preserve">–77,9 </w:t>
                    </w:r>
                    <w:r>
                      <w:rPr>
                        <w:rFonts w:ascii="Calibri" w:hAnsi="Calibri" w:cs="Calibri"/>
                        <w:bCs/>
                        <w:sz w:val="18"/>
                        <w:szCs w:val="18"/>
                        <w:lang w:eastAsia="lt-LT"/>
                      </w:rPr>
                      <w:t>%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  <w:t>Civilinės saugos ir teisėtvarkos skyrius</w:t>
                    </w:r>
                  </w:p>
                </w:tc>
              </w:tr>
              <w:tr>
                <w:trPr>
                  <w:trHeight w:val="70"/>
                  <w:jc w:val="center"/>
                </w:trPr>
                <w:tc>
                  <w:tcPr>
                    <w:tcW w:w="737" w:type="dxa"/>
                    <w:shd w:val="clear" w:color="auto" w:fill="D9D9D9" w:themeFill="background1" w:themeFillShade="D9"/>
                    <w:hideMark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3.3.4.</w:t>
                    </w:r>
                  </w:p>
                </w:tc>
                <w:tc>
                  <w:tcPr>
                    <w:tcW w:w="14885" w:type="dxa"/>
                    <w:gridSpan w:val="12"/>
                    <w:shd w:val="clear" w:color="auto" w:fill="D9D9D9" w:themeFill="background1" w:themeFillShade="D9"/>
                  </w:tcPr>
                  <w:p>
                    <w:pP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Mažinti triukšmą probleminėse teritorijose ir išsaugoti tyliąsias zonas</w:t>
                    </w:r>
                  </w:p>
                </w:tc>
              </w:tr>
              <w:tr>
                <w:trPr>
                  <w:trHeight w:val="426"/>
                  <w:jc w:val="center"/>
                </w:trPr>
                <w:tc>
                  <w:tcPr>
                    <w:tcW w:w="737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P1-3.3.4.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Triukšmo lygis gyvenamosiose zonose</w:t>
                    </w:r>
                  </w:p>
                </w:tc>
                <w:tc>
                  <w:tcPr>
                    <w:tcW w:w="851" w:type="dxa"/>
                    <w:shd w:val="clear" w:color="auto" w:fill="FFFFFF" w:themeFill="background1"/>
                    <w:hideMark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 xml:space="preserve">Gyventojų būstų, kurių būstas veikiamas  padidinto  triukšmo lygio, skaičius.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hideMark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Savivaldybė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jc w:val="center"/>
                      <w:rPr>
                        <w:rFonts w:ascii="Calibri" w:hAnsi="Calibri"/>
                        <w:color w:val="FF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Apie 9 689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jc w:val="center"/>
                      <w:rPr>
                        <w:rFonts w:ascii="Calibri" w:hAnsi="Calibri"/>
                        <w:color w:val="FF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Apie 9 525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jc w:val="center"/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Apie 9 448</w:t>
                    </w:r>
                  </w:p>
                </w:tc>
                <w:tc>
                  <w:tcPr>
                    <w:tcW w:w="992" w:type="dxa"/>
                    <w:shd w:val="clear" w:color="auto" w:fill="FBE4D5" w:themeFill="accent2" w:themeFillTint="33"/>
                  </w:tcPr>
                  <w:p>
                    <w:pP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sz w:val="18"/>
                        <w:szCs w:val="18"/>
                        <w:lang w:eastAsia="lt-LT"/>
                      </w:rPr>
                      <w:t xml:space="preserve">Apie 9 448 </w:t>
                    </w:r>
                  </w:p>
                </w:tc>
                <w:tc>
                  <w:tcPr>
                    <w:tcW w:w="99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Mažinti</w:t>
                    </w:r>
                  </w:p>
                </w:tc>
                <w:tc>
                  <w:tcPr>
                    <w:tcW w:w="992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pasiektas</w:t>
                    </w:r>
                  </w:p>
                </w:tc>
                <w:tc>
                  <w:tcPr>
                    <w:tcW w:w="850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 xml:space="preserve">–2,5 </w:t>
                    </w:r>
                    <w:r>
                      <w:rPr>
                        <w:rFonts w:ascii="Calibri" w:hAnsi="Calibri" w:cs="Calibri"/>
                        <w:color w:val="000000"/>
                        <w:sz w:val="18"/>
                        <w:szCs w:val="18"/>
                        <w:lang w:eastAsia="lt-LT"/>
                      </w:rPr>
                      <w:t>%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>
                    <w:pP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color w:val="000000"/>
                        <w:sz w:val="18"/>
                        <w:szCs w:val="18"/>
                        <w:lang w:eastAsia="lt-LT"/>
                      </w:rPr>
                      <w:t>Miesto ūkio ir aplinkos skyrius,</w:t>
                    </w:r>
                  </w:p>
                  <w:p>
                    <w:pPr>
                      <w:rPr>
                        <w:rFonts w:ascii="Calibri" w:hAnsi="Calibri"/>
                        <w:bCs/>
                        <w:color w:val="FF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rFonts w:ascii="Calibri" w:hAnsi="Calibri"/>
                        <w:bCs/>
                        <w:sz w:val="18"/>
                        <w:szCs w:val="18"/>
                        <w:lang w:eastAsia="lt-LT"/>
                      </w:rPr>
                      <w:t>BĮ Šiaulių municipalinė aplinkos tyrimų laboratorija</w:t>
                    </w:r>
                  </w:p>
                </w:tc>
              </w:tr>
            </w:tbl>
            <w:p/>
          </w:sdtContent>
        </w:sdt>
      </w:sdtContent>
    </w:sdt>
    <w:sectPr>
      <w:headerReference w:type="default" r:id="rId19"/>
      <w:footerReference w:type="first" r:id="rId20"/>
      <w:pgSz w:w="16840" w:h="11900" w:orient="landscape" w:code="9"/>
      <w:pgMar w:top="1418" w:right="1134" w:bottom="1134" w:left="1134" w:header="709" w:footer="397" w:gutter="0"/>
      <w:cols w:space="708"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line="360" w:lineRule="auto"/>
        <w:jc w:val="both"/>
        <w:rPr>
          <w:rFonts w:ascii="Calibri" w:eastAsia="Cambria" w:hAnsi="Calibri"/>
          <w:szCs w:val="24"/>
          <w:lang w:val="en-US"/>
        </w:rPr>
      </w:pPr>
      <w:r>
        <w:rPr>
          <w:rFonts w:ascii="Calibri" w:eastAsia="Cambria" w:hAnsi="Calibri"/>
          <w:szCs w:val="24"/>
          <w:lang w:val="en-US"/>
        </w:rPr>
        <w:separator/>
      </w:r>
    </w:p>
  </w:endnote>
  <w:endnote w:type="continuationSeparator" w:id="0">
    <w:p>
      <w:pPr>
        <w:spacing w:line="360" w:lineRule="auto"/>
        <w:jc w:val="both"/>
        <w:rPr>
          <w:rFonts w:ascii="Calibri" w:eastAsia="Cambria" w:hAnsi="Calibri"/>
          <w:szCs w:val="24"/>
          <w:lang w:val="en-US"/>
        </w:rPr>
      </w:pPr>
      <w:r>
        <w:rPr>
          <w:rFonts w:ascii="Calibri" w:eastAsia="Cambria" w:hAnsi="Calibri"/>
          <w:szCs w:val="24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+mn-ea">
    <w:panose1 w:val="00000000000000000000"/>
    <w:charset w:val="00"/>
    <w:family w:val="roman"/>
    <w:notTrueType/>
    <w:pitch w:val="default"/>
  </w:font>
  <w:font w:name="+mn-cs">
    <w:panose1 w:val="00000000000000000000"/>
    <w:charset w:val="00"/>
    <w:family w:val="roman"/>
    <w:notTrueType/>
    <w:pitch w:val="default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right" w:y="1"/>
      <w:tabs>
        <w:tab w:val="center" w:pos="4320"/>
        <w:tab w:val="right" w:pos="8640"/>
      </w:tabs>
      <w:spacing w:line="360" w:lineRule="auto"/>
      <w:jc w:val="both"/>
      <w:rPr>
        <w:rFonts w:ascii="Calibri" w:eastAsia="Cambria" w:hAnsi="Calibri"/>
        <w:szCs w:val="24"/>
        <w:lang w:val="en-US"/>
      </w:rPr>
    </w:pPr>
    <w:r>
      <w:rPr>
        <w:rFonts w:ascii="Calibri" w:eastAsia="Cambria" w:hAnsi="Calibri"/>
        <w:szCs w:val="24"/>
        <w:lang w:val="en-US"/>
      </w:rPr>
      <w:fldChar w:fldCharType="begin"/>
    </w:r>
    <w:r>
      <w:rPr>
        <w:rFonts w:ascii="Calibri" w:eastAsia="Cambria" w:hAnsi="Calibri"/>
        <w:szCs w:val="24"/>
        <w:lang w:val="en-US"/>
      </w:rPr>
      <w:instrText xml:space="preserve">PAGE  </w:instrText>
    </w:r>
    <w:r>
      <w:rPr>
        <w:rFonts w:ascii="Calibri" w:eastAsia="Cambria" w:hAnsi="Calibri"/>
        <w:szCs w:val="24"/>
        <w:lang w:val="en-US"/>
      </w:rPr>
      <w:fldChar w:fldCharType="separate"/>
    </w:r>
    <w:r>
      <w:rPr>
        <w:rFonts w:ascii="Calibri" w:eastAsia="Cambria" w:hAnsi="Calibri"/>
        <w:szCs w:val="24"/>
        <w:lang w:val="en-US"/>
      </w:rPr>
      <w:t>8</w:t>
    </w:r>
    <w:r>
      <w:rPr>
        <w:rFonts w:ascii="Calibri" w:eastAsia="Cambria" w:hAnsi="Calibri"/>
        <w:szCs w:val="24"/>
        <w:lang w:val="en-US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right="360"/>
      <w:jc w:val="both"/>
      <w:rPr>
        <w:rFonts w:ascii="Calibri" w:eastAsia="Cambria" w:hAnsi="Calibri"/>
        <w:szCs w:val="24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jc w:val="right"/>
      <w:rPr>
        <w:rFonts w:ascii="Calibri" w:eastAsia="Cambria" w:hAnsi="Calibri"/>
        <w:szCs w:val="24"/>
        <w:lang w:val="en-US"/>
      </w:rPr>
    </w:pPr>
    <w:r>
      <w:rPr>
        <w:rFonts w:ascii="Calibri" w:eastAsia="Cambria" w:hAnsi="Calibri"/>
        <w:szCs w:val="24"/>
        <w:lang w:val="en-US"/>
      </w:rPr>
      <w:fldChar w:fldCharType="begin"/>
    </w:r>
    <w:r>
      <w:rPr>
        <w:rFonts w:ascii="Calibri" w:eastAsia="Cambria" w:hAnsi="Calibri"/>
        <w:szCs w:val="24"/>
        <w:lang w:val="en-US"/>
      </w:rPr>
      <w:instrText>PAGE   \* MERGEFORMAT</w:instrText>
    </w:r>
    <w:r>
      <w:rPr>
        <w:rFonts w:ascii="Calibri" w:eastAsia="Cambria" w:hAnsi="Calibri"/>
        <w:szCs w:val="24"/>
        <w:lang w:val="en-US"/>
      </w:rPr>
      <w:fldChar w:fldCharType="separate"/>
    </w:r>
    <w:r>
      <w:rPr>
        <w:rFonts w:ascii="Calibri" w:eastAsia="Cambria" w:hAnsi="Calibri"/>
        <w:szCs w:val="24"/>
      </w:rPr>
      <w:t>2</w:t>
    </w:r>
    <w:r>
      <w:rPr>
        <w:rFonts w:ascii="Calibri" w:eastAsia="Cambria" w:hAnsi="Calibri"/>
        <w:szCs w:val="24"/>
        <w:lang w:val="en-US"/>
      </w:rPr>
      <w:fldChar w:fldCharType="end"/>
    </w:r>
  </w:p>
  <w:p>
    <w:pPr>
      <w:spacing w:line="360" w:lineRule="auto"/>
      <w:jc w:val="both"/>
      <w:rPr>
        <w:rFonts w:ascii="Calibri" w:eastAsia="Cambria" w:hAnsi="Calibri"/>
        <w:sz w:val="14"/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>
      <w:tc>
        <w:tcPr>
          <w:tcW w:w="348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left="-115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348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jc w:val="center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348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right="-115"/>
            <w:jc w:val="right"/>
            <w:rPr>
              <w:rFonts w:ascii="Calibri" w:eastAsia="Cambria" w:hAnsi="Calibri"/>
              <w:szCs w:val="24"/>
              <w:lang w:val="en-US"/>
            </w:rPr>
          </w:pPr>
        </w:p>
      </w:tc>
    </w:tr>
  </w:tbl>
  <w:p>
    <w:pPr>
      <w:tabs>
        <w:tab w:val="center" w:pos="4320"/>
        <w:tab w:val="right" w:pos="8640"/>
      </w:tabs>
      <w:spacing w:line="360" w:lineRule="auto"/>
      <w:jc w:val="both"/>
      <w:rPr>
        <w:rFonts w:ascii="Calibri" w:eastAsia="Cambria" w:hAnsi="Calibri"/>
        <w:szCs w:val="24"/>
        <w:lang w:val="en-US"/>
      </w:rPr>
    </w:pPr>
  </w:p>
</w:ftr>
</file>

<file path=word/footer4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5130"/>
      <w:gridCol w:w="5130"/>
      <w:gridCol w:w="5130"/>
    </w:tblGrid>
    <w:tr>
      <w:tc>
        <w:tcPr>
          <w:tcW w:w="5130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left="-115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5130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jc w:val="center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5130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right="-115"/>
            <w:jc w:val="right"/>
            <w:rPr>
              <w:rFonts w:ascii="Calibri" w:eastAsia="Cambria" w:hAnsi="Calibri"/>
              <w:szCs w:val="24"/>
              <w:lang w:val="en-US"/>
            </w:rPr>
          </w:pPr>
        </w:p>
      </w:tc>
    </w:tr>
  </w:tbl>
  <w:p>
    <w:pPr>
      <w:tabs>
        <w:tab w:val="center" w:pos="4320"/>
        <w:tab w:val="right" w:pos="8640"/>
      </w:tabs>
      <w:spacing w:line="360" w:lineRule="auto"/>
      <w:jc w:val="both"/>
      <w:rPr>
        <w:rFonts w:ascii="Calibri" w:eastAsia="Cambria" w:hAnsi="Calibri"/>
        <w:szCs w:val="24"/>
        <w:lang w:val="en-US"/>
      </w:rPr>
    </w:pPr>
  </w:p>
</w:ftr>
</file>

<file path=word/footer5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855"/>
      <w:gridCol w:w="4855"/>
      <w:gridCol w:w="4855"/>
    </w:tblGrid>
    <w:tr>
      <w:tc>
        <w:tcPr>
          <w:tcW w:w="485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left="-115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485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jc w:val="center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485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right="-115"/>
            <w:jc w:val="right"/>
            <w:rPr>
              <w:rFonts w:ascii="Calibri" w:eastAsia="Cambria" w:hAnsi="Calibri"/>
              <w:szCs w:val="24"/>
              <w:lang w:val="en-US"/>
            </w:rPr>
          </w:pPr>
        </w:p>
      </w:tc>
    </w:tr>
  </w:tbl>
  <w:p>
    <w:pPr>
      <w:tabs>
        <w:tab w:val="center" w:pos="4320"/>
        <w:tab w:val="right" w:pos="8640"/>
      </w:tabs>
      <w:spacing w:line="360" w:lineRule="auto"/>
      <w:jc w:val="both"/>
      <w:rPr>
        <w:rFonts w:ascii="Calibri" w:eastAsia="Cambria" w:hAnsi="Calibri"/>
        <w:szCs w:val="24"/>
        <w:lang w:val="en-US"/>
      </w:rPr>
    </w:pPr>
    <w:r>
      <w:rPr>
        <w:rFonts w:ascii="Calibri" w:eastAsia="Cambria" w:hAnsi="Calibri"/>
        <w:szCs w:val="24"/>
        <w:lang w:val="en-US"/>
      </w:rPr>
      <w:tab/>
      <w:tab/>
      <w:tab/>
      <w:tab/>
      <w:tab/>
      <w:tab/>
      <w:tab/>
      <w:tab/>
      <w:tab/>
      <w:tab/>
      <w:tab/>
      <w:t xml:space="preserve">      4</w:t>
    </w:r>
  </w:p>
</w:ftr>
</file>

<file path=word/footer6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855"/>
      <w:gridCol w:w="4855"/>
      <w:gridCol w:w="4855"/>
    </w:tblGrid>
    <w:tr>
      <w:tc>
        <w:tcPr>
          <w:tcW w:w="485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left="-115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485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jc w:val="center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485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right="-115"/>
            <w:jc w:val="right"/>
            <w:rPr>
              <w:rFonts w:ascii="Calibri" w:eastAsia="Cambria" w:hAnsi="Calibri"/>
              <w:szCs w:val="24"/>
              <w:lang w:val="en-US"/>
            </w:rPr>
          </w:pPr>
        </w:p>
      </w:tc>
    </w:tr>
  </w:tbl>
  <w:p>
    <w:pPr>
      <w:tabs>
        <w:tab w:val="center" w:pos="4320"/>
        <w:tab w:val="right" w:pos="8640"/>
      </w:tabs>
      <w:spacing w:line="360" w:lineRule="auto"/>
      <w:jc w:val="both"/>
      <w:rPr>
        <w:rFonts w:ascii="Calibri" w:eastAsia="Cambria" w:hAnsi="Calibri"/>
        <w:szCs w:val="24"/>
        <w:lang w:val="en-US"/>
      </w:rPr>
    </w:pPr>
  </w:p>
</w:ftr>
</file>

<file path=word/footer7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15"/>
      <w:gridCol w:w="3115"/>
      <w:gridCol w:w="3115"/>
    </w:tblGrid>
    <w:tr>
      <w:tc>
        <w:tcPr>
          <w:tcW w:w="311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left="-115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311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jc w:val="center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311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right="-115"/>
            <w:jc w:val="right"/>
            <w:rPr>
              <w:rFonts w:ascii="Calibri" w:eastAsia="Cambria" w:hAnsi="Calibri"/>
              <w:szCs w:val="24"/>
              <w:lang w:val="en-US"/>
            </w:rPr>
          </w:pPr>
        </w:p>
      </w:tc>
    </w:tr>
  </w:tbl>
  <w:p>
    <w:pPr>
      <w:tabs>
        <w:tab w:val="center" w:pos="4320"/>
        <w:tab w:val="right" w:pos="8640"/>
      </w:tabs>
      <w:spacing w:line="360" w:lineRule="auto"/>
      <w:jc w:val="both"/>
      <w:rPr>
        <w:rFonts w:ascii="Calibri" w:eastAsia="Cambria" w:hAnsi="Calibri"/>
        <w:szCs w:val="24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line="360" w:lineRule="auto"/>
        <w:jc w:val="both"/>
        <w:rPr>
          <w:rFonts w:ascii="Calibri" w:eastAsia="Cambria" w:hAnsi="Calibri"/>
          <w:szCs w:val="24"/>
          <w:lang w:val="en-US"/>
        </w:rPr>
      </w:pPr>
      <w:r>
        <w:rPr>
          <w:rFonts w:ascii="Calibri" w:eastAsia="Cambria" w:hAnsi="Calibri"/>
          <w:szCs w:val="24"/>
          <w:lang w:val="en-US"/>
        </w:rPr>
        <w:separator/>
      </w:r>
    </w:p>
  </w:footnote>
  <w:footnote w:type="continuationSeparator" w:id="0">
    <w:p>
      <w:pPr>
        <w:spacing w:line="360" w:lineRule="auto"/>
        <w:jc w:val="both"/>
        <w:rPr>
          <w:rFonts w:ascii="Calibri" w:eastAsia="Cambria" w:hAnsi="Calibri"/>
          <w:szCs w:val="24"/>
          <w:lang w:val="en-US"/>
        </w:rPr>
      </w:pPr>
      <w:r>
        <w:rPr>
          <w:rFonts w:ascii="Calibri" w:eastAsia="Cambria" w:hAnsi="Calibri"/>
          <w:szCs w:val="24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jc w:val="both"/>
      <w:rPr>
        <w:rFonts w:ascii="Calibri" w:eastAsia="Cambria" w:hAnsi="Calibri"/>
        <w:szCs w:val="24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jc w:val="center"/>
      <w:rPr>
        <w:rFonts w:ascii="Calibri" w:eastAsia="Cambria" w:hAnsi="Calibri"/>
        <w:szCs w:val="24"/>
        <w:lang w:val="en-US"/>
      </w:rPr>
    </w:pPr>
    <w:r>
      <w:rPr>
        <w:rFonts w:ascii="Calibri" w:eastAsia="Cambria" w:hAnsi="Calibri"/>
        <w:szCs w:val="24"/>
        <w:lang w:val="en-US"/>
      </w:rPr>
      <w:fldChar w:fldCharType="begin"/>
    </w:r>
    <w:r>
      <w:rPr>
        <w:rFonts w:ascii="Calibri" w:eastAsia="Cambria" w:hAnsi="Calibri"/>
        <w:szCs w:val="24"/>
        <w:lang w:val="en-US"/>
      </w:rPr>
      <w:instrText>PAGE   \* MERGEFORMAT</w:instrText>
    </w:r>
    <w:r>
      <w:rPr>
        <w:rFonts w:ascii="Calibri" w:eastAsia="Cambria" w:hAnsi="Calibri"/>
        <w:szCs w:val="24"/>
        <w:lang w:val="en-US"/>
      </w:rPr>
      <w:fldChar w:fldCharType="separate"/>
    </w:r>
    <w:r>
      <w:rPr>
        <w:rFonts w:ascii="Calibri" w:eastAsia="Cambria" w:hAnsi="Calibri"/>
        <w:szCs w:val="24"/>
      </w:rPr>
      <w:t>2</w:t>
    </w:r>
    <w:r>
      <w:rPr>
        <w:rFonts w:ascii="Calibri" w:eastAsia="Cambria" w:hAnsi="Calibri"/>
        <w:szCs w:val="24"/>
        <w:lang w:val="en-US"/>
      </w:rPr>
      <w:fldChar w:fldCharType="end"/>
    </w:r>
  </w:p>
  <w:p>
    <w:pPr>
      <w:tabs>
        <w:tab w:val="center" w:pos="4320"/>
        <w:tab w:val="right" w:pos="8640"/>
      </w:tabs>
      <w:spacing w:line="360" w:lineRule="auto"/>
      <w:jc w:val="both"/>
      <w:rPr>
        <w:rFonts w:ascii="Calibri" w:eastAsia="Cambria" w:hAnsi="Calibri"/>
        <w:szCs w:val="24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jc w:val="both"/>
      <w:rPr>
        <w:rFonts w:ascii="Calibri" w:eastAsia="Cambria" w:hAnsi="Calibri"/>
        <w:szCs w:val="24"/>
        <w:lang w:val="en-US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5130"/>
      <w:gridCol w:w="5130"/>
      <w:gridCol w:w="5130"/>
    </w:tblGrid>
    <w:tr>
      <w:tc>
        <w:tcPr>
          <w:tcW w:w="5130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left="-115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5130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jc w:val="center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5130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right="-115"/>
            <w:jc w:val="right"/>
            <w:rPr>
              <w:rFonts w:ascii="Calibri" w:eastAsia="Cambria" w:hAnsi="Calibri"/>
              <w:szCs w:val="24"/>
              <w:lang w:val="en-US"/>
            </w:rPr>
          </w:pPr>
        </w:p>
      </w:tc>
    </w:tr>
  </w:tbl>
  <w:p>
    <w:pPr>
      <w:tabs>
        <w:tab w:val="center" w:pos="4320"/>
        <w:tab w:val="right" w:pos="8640"/>
      </w:tabs>
      <w:spacing w:line="360" w:lineRule="auto"/>
      <w:jc w:val="both"/>
      <w:rPr>
        <w:rFonts w:ascii="Calibri" w:eastAsia="Cambria" w:hAnsi="Calibri"/>
        <w:szCs w:val="24"/>
        <w:lang w:val="en-US"/>
      </w:rPr>
    </w:pPr>
  </w:p>
</w:hdr>
</file>

<file path=word/header5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855"/>
      <w:gridCol w:w="4855"/>
      <w:gridCol w:w="4855"/>
    </w:tblGrid>
    <w:tr>
      <w:tc>
        <w:tcPr>
          <w:tcW w:w="485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left="-115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485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jc w:val="center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485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right="-115"/>
            <w:jc w:val="right"/>
            <w:rPr>
              <w:rFonts w:ascii="Calibri" w:eastAsia="Cambria" w:hAnsi="Calibri"/>
              <w:szCs w:val="24"/>
              <w:lang w:val="en-US"/>
            </w:rPr>
          </w:pPr>
        </w:p>
      </w:tc>
    </w:tr>
  </w:tbl>
  <w:p>
    <w:pPr>
      <w:tabs>
        <w:tab w:val="center" w:pos="4320"/>
        <w:tab w:val="right" w:pos="8640"/>
      </w:tabs>
      <w:spacing w:line="360" w:lineRule="auto"/>
      <w:jc w:val="both"/>
      <w:rPr>
        <w:rFonts w:ascii="Calibri" w:eastAsia="Cambria" w:hAnsi="Calibri"/>
        <w:szCs w:val="24"/>
        <w:lang w:val="en-US"/>
      </w:rPr>
    </w:pPr>
  </w:p>
</w:hdr>
</file>

<file path=word/header6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855"/>
      <w:gridCol w:w="4855"/>
      <w:gridCol w:w="4855"/>
    </w:tblGrid>
    <w:tr>
      <w:tc>
        <w:tcPr>
          <w:tcW w:w="485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left="-115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485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jc w:val="center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485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right="-115"/>
            <w:jc w:val="right"/>
            <w:rPr>
              <w:rFonts w:ascii="Calibri" w:eastAsia="Cambria" w:hAnsi="Calibri"/>
              <w:szCs w:val="24"/>
              <w:lang w:val="en-US"/>
            </w:rPr>
          </w:pPr>
        </w:p>
      </w:tc>
    </w:tr>
  </w:tbl>
  <w:p>
    <w:pPr>
      <w:tabs>
        <w:tab w:val="center" w:pos="4320"/>
        <w:tab w:val="right" w:pos="8640"/>
      </w:tabs>
      <w:spacing w:line="360" w:lineRule="auto"/>
      <w:jc w:val="both"/>
      <w:rPr>
        <w:rFonts w:ascii="Calibri" w:eastAsia="Cambria" w:hAnsi="Calibri"/>
        <w:szCs w:val="24"/>
        <w:lang w:val="en-US"/>
      </w:rPr>
    </w:pPr>
  </w:p>
</w:hdr>
</file>

<file path=word/header7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15"/>
      <w:gridCol w:w="3115"/>
      <w:gridCol w:w="3115"/>
    </w:tblGrid>
    <w:tr>
      <w:tc>
        <w:tcPr>
          <w:tcW w:w="311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left="-115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311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jc w:val="center"/>
            <w:rPr>
              <w:rFonts w:ascii="Calibri" w:eastAsia="Cambria" w:hAnsi="Calibri"/>
              <w:szCs w:val="24"/>
              <w:lang w:val="en-US"/>
            </w:rPr>
          </w:pPr>
        </w:p>
      </w:tc>
      <w:tc>
        <w:tcPr>
          <w:tcW w:w="3115" w:type="dxa"/>
        </w:tcPr>
        <w:p>
          <w:pPr>
            <w:tabs>
              <w:tab w:val="center" w:pos="4320"/>
              <w:tab w:val="right" w:pos="8640"/>
            </w:tabs>
            <w:spacing w:line="360" w:lineRule="auto"/>
            <w:ind w:right="-115"/>
            <w:jc w:val="right"/>
            <w:rPr>
              <w:rFonts w:ascii="Calibri" w:eastAsia="Cambria" w:hAnsi="Calibri"/>
              <w:szCs w:val="24"/>
              <w:lang w:val="en-US"/>
            </w:rPr>
          </w:pPr>
        </w:p>
      </w:tc>
    </w:tr>
  </w:tbl>
  <w:p>
    <w:pPr>
      <w:tabs>
        <w:tab w:val="center" w:pos="4320"/>
        <w:tab w:val="right" w:pos="8640"/>
      </w:tabs>
      <w:spacing w:line="360" w:lineRule="auto"/>
      <w:jc w:val="both"/>
      <w:rPr>
        <w:rFonts w:ascii="Calibri" w:eastAsia="Cambria" w:hAnsi="Calibri"/>
        <w:szCs w:val="24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 style="mso-position-vertical-relative:line" fill="f" fillcolor="white" stroke="f">
      <v:fill color="white" on="f"/>
      <v:stroke on="f"/>
      <o:colormru v:ext="edit" colors="#09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style="mso-position-vertical-relative:line" fill="f" fillcolor="white" stroke="f">
      <v:fill color="white" on="f"/>
      <v:stroke on="f"/>
      <o:colormru v:ext="edit" colors="#090"/>
    </o:shapedefaults>
    <o:shapelayout v:ext="edit">
      <o:idmap v:ext="edit" data="2"/>
    </o:shapelayout>
  </w:shapeDefaults>
  <w:decimalSymbol w:val="."/>
  <w:listSeparator w:val=","/>
  <w15:docId w15:val="{E5E14910-9CFF-4E75-BDE1-CCC446C30DE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767043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988318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92621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69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84183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56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31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3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075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8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856377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048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25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3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2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38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46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75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9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8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7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9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6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0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6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2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6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56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9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4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10444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16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2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8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6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24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8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60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8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96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8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8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42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9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5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0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8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181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188915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270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53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73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313866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727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83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75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3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56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99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96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64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63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0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28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03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35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72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26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95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080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55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53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672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9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8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837958">
          <w:marLeft w:val="274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613037">
          <w:marLeft w:val="274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9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6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1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33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0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0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7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4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9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6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139197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002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9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1833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650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7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3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65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9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9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3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1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49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0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6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0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7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892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95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97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88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1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82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6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2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19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09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590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766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075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6225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0313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4780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86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556314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31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1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3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12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3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6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0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4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5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0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4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2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9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7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9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7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1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10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4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8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7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4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1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9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9261889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37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7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20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69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032790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506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0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0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2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5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4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940555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43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1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5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4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1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9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95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9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88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8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3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2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14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43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70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10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5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0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3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1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4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55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9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5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4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4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4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2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652959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45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8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813686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451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2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4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5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3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7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2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0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4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13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1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5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657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012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169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695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6916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95064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1143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7388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0336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132789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88741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97689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291607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40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0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5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46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9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8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68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75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28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94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3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9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0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3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39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915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9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76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100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2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4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1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0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285536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7524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94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3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72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8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79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536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19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9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6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79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92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1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015010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52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0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5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1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79875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86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5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15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3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064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90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005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24253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79201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523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5839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28780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035290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75950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1417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605801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1298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15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651609">
          <w:marLeft w:val="274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20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0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3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904705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61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7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6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2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01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83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4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640315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80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77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0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45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8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0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1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371653">
          <w:marLeft w:val="274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598277">
          <w:marLeft w:val="274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680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9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5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1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53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347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0482853">
                  <w:marLeft w:val="379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78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header" Target="header4.xml"/>
  <Relationship Id="rId14" Type="http://schemas.openxmlformats.org/officeDocument/2006/relationships/footer" Target="footer4.xml"/>
  <Relationship Id="rId15" Type="http://schemas.openxmlformats.org/officeDocument/2006/relationships/header" Target="header5.xml"/>
  <Relationship Id="rId16" Type="http://schemas.openxmlformats.org/officeDocument/2006/relationships/footer" Target="footer5.xml"/>
  <Relationship Id="rId17" Type="http://schemas.openxmlformats.org/officeDocument/2006/relationships/header" Target="header6.xml"/>
  <Relationship Id="rId18" Type="http://schemas.openxmlformats.org/officeDocument/2006/relationships/footer" Target="footer6.xml"/>
  <Relationship Id="rId19" Type="http://schemas.openxmlformats.org/officeDocument/2006/relationships/header" Target="header7.xml"/>
  <Relationship Id="rId2" Type="http://schemas.openxmlformats.org/officeDocument/2006/relationships/styles" Target="styles.xml"/>
  <Relationship Id="rId20" Type="http://schemas.openxmlformats.org/officeDocument/2006/relationships/footer" Target="footer7.xml"/>
  <Relationship Id="rId21" Type="http://schemas.openxmlformats.org/officeDocument/2006/relationships/fontTable" Target="fontTable.xml"/>
  <Relationship Id="rId22" Type="http://schemas.openxmlformats.org/officeDocument/2006/relationships/theme" Target="theme/theme1.xml"/>
  <Relationship Id="rId23" Type="http://schemas.openxmlformats.org/officeDocument/2006/relationships/customXml" Target="../customXml/item2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89236abb3484ad7a16c94013a595c29" PartId="5325ee9f0d0d4b57a4a89238a1d0cdf4">
    <Part Type="signatura" DocPartId="69bbbfe173d3418ca1d6459fbb1086f4" PartId="ba7bb2c5b5824b01a96d36024edb0da9"/>
  </Part>
</Parts>
</file>

<file path=customXml/itemProps1.xml><?xml version="1.0" encoding="utf-8"?>
<ds:datastoreItem xmlns:ds="http://schemas.openxmlformats.org/officeDocument/2006/customXml" ds:itemID="{9FE5F5A6-A763-4578-9D9F-20F25A077C7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2F97362-FCCA-488A-8D57-FFB65347B83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4323</Words>
  <Characters>28273</Characters>
  <Application>Microsoft Office Word</Application>
  <DocSecurity>4</DocSecurity>
  <Lines>3141</Lines>
  <Paragraphs>1810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Užsakovas</vt:lpstr>
    </vt:vector>
  </TitlesOfParts>
  <Company>HP</Company>
  <LinksUpToDate>false</LinksUpToDate>
  <CharactersWithSpaces>30786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2025-09-26T05:09:00Z</dcterms:created>
  <dc:creator>Lina Šemetulskytė</dc:creator>
  <lastModifiedBy>adlibuser</lastModifiedBy>
  <lastPrinted>2022-08-16T08:28:00Z</lastPrinted>
  <dcterms:modified xsi:type="dcterms:W3CDTF">2025-09-26T05:09:00Z</dcterms:modified>
  <revision>2</revision>
  <dc:title>Užsakovas</dc:title>
</coreProperties>
</file>