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7845d5c81464b8992cea160d3a0e059"/>
        <w:lock w:val="sdtLocked"/>
        <w:richText/>
      </w:sdtPr>
      <w:sdtContent>
        <w:p w14:paraId="2D1824F6" w14:textId="77777777">
          <w:pPr>
            <w:suppressAutoHyphens/>
            <w:jc w:val="center"/>
            <w:rPr>
              <w:b/>
              <w:bCs/>
              <w:color w:val="000000"/>
              <w:szCs w:val="24"/>
              <w:lang w:eastAsia="ar-SA"/>
            </w:rPr>
          </w:pPr>
        </w:p>
        <w:p w14:paraId="3F3071AF" w14:textId="581EABC6">
          <w:pPr>
            <w:suppressAutoHyphens/>
            <w:jc w:val="center"/>
            <w:rPr>
              <w:b/>
              <w:bCs/>
              <w:color w:val="000000"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lang w:eastAsia="ar-SA"/>
            </w:rPr>
            <w:t>ŠIAULIŲ MIESTO SAVIVALDYBĖS ADMINISTRACIJOS</w:t>
          </w:r>
        </w:p>
        <w:sdt>
          <w:sdtPr>
            <w:alias w:val="skyrius"/>
            <w:tag w:val="part_f1e4b5c91c1440a3b49249360fb0d80a"/>
            <w:lock w:val="sdtLocked"/>
            <w:richText/>
          </w:sdtPr>
          <w:sdtContent>
            <w:p w14:paraId="3F3071B0" w14:textId="77777777">
              <w:pPr>
                <w:suppressAutoHyphens/>
                <w:ind w:firstLine="62"/>
                <w:jc w:val="center"/>
                <w:rPr>
                  <w:b/>
                  <w:bCs/>
                  <w:szCs w:val="24"/>
                  <w:lang w:eastAsia="ar-SA"/>
                </w:rPr>
              </w:pPr>
              <w:r>
                <w:rPr>
                  <w:b/>
                  <w:bCs/>
                  <w:szCs w:val="24"/>
                  <w:lang w:eastAsia="ar-SA"/>
                </w:rPr>
                <w:t>STRATEGINIO PLANAVIMO IR FINANSŲ SKYRIUS</w:t>
              </w:r>
            </w:p>
            <w:p w14:paraId="3F3071B1" w14:textId="77777777">
              <w:pPr>
                <w:suppressAutoHyphens/>
                <w:jc w:val="center"/>
                <w:rPr>
                  <w:b/>
                  <w:bCs/>
                  <w:szCs w:val="24"/>
                  <w:lang w:eastAsia="ar-SA"/>
                </w:rPr>
              </w:pPr>
            </w:p>
            <w:sdt>
              <w:sdtPr>
                <w:alias w:val="Pavadinimas"/>
                <w:tag w:val="title_f1e4b5c91c1440a3b49249360fb0d80a"/>
                <w:lock w:val="sdtLocked"/>
                <w:richText/>
              </w:sdtPr>
              <w:sdtContent>
                <w:p w14:paraId="3F3071B2" w14:textId="627E4C48">
                  <w:pPr>
                    <w:widowControl w:val="0"/>
                    <w:suppressAutoHyphens/>
                    <w:jc w:val="center"/>
                    <w:rPr>
                      <w:b/>
                      <w:bCs/>
                      <w:szCs w:val="24"/>
                      <w:lang w:eastAsia="ar-SA"/>
                    </w:rPr>
                  </w:pPr>
                  <w:r>
                    <w:rPr>
                      <w:b/>
                      <w:bCs/>
                      <w:caps/>
                      <w:szCs w:val="24"/>
                      <w:lang w:eastAsia="ar-SA"/>
                    </w:rPr>
                    <w:t xml:space="preserve">SPRENDIMO „DĖL </w:t>
                  </w:r>
                  <w:r>
                    <w:rPr>
                      <w:b/>
                      <w:caps/>
                      <w:szCs w:val="24"/>
                      <w:lang w:eastAsia="ar-SA"/>
                    </w:rPr>
                    <w:t xml:space="preserve">2015–2024 METŲ </w:t>
                  </w:r>
                  <w:r>
                    <w:rPr>
                      <w:b/>
                      <w:bCs/>
                      <w:caps/>
                      <w:szCs w:val="24"/>
                      <w:lang w:eastAsia="ar-SA"/>
                    </w:rPr>
                    <w:t xml:space="preserve">ŠIAULIŲ MIESTO </w:t>
                  </w:r>
                  <w:r>
                    <w:rPr>
                      <w:b/>
                      <w:caps/>
                      <w:szCs w:val="24"/>
                      <w:lang w:eastAsia="ar-SA"/>
                    </w:rPr>
                    <w:t>STRATEGINIO PLĖTROS PLANO ĮGYVENDINIMO 2022–2024 METAIS ATASKAITOS</w:t>
                  </w:r>
                  <w:r>
                    <w:rPr>
                      <w:b/>
                      <w:bCs/>
                      <w:szCs w:val="24"/>
                      <w:lang w:eastAsia="ar-SA"/>
                    </w:rPr>
                    <w:t>“</w:t>
                  </w:r>
                </w:p>
                <w:p w14:paraId="3F3071B3" w14:textId="3BA28054">
                  <w:pPr>
                    <w:widowControl w:val="0"/>
                    <w:suppressAutoHyphens/>
                    <w:jc w:val="center"/>
                    <w:rPr>
                      <w:b/>
                      <w:bCs/>
                      <w:caps/>
                      <w:szCs w:val="24"/>
                      <w:lang w:eastAsia="ar-SA"/>
                    </w:rPr>
                  </w:pPr>
                  <w:r>
                    <w:rPr>
                      <w:b/>
                      <w:bCs/>
                      <w:szCs w:val="24"/>
                      <w:lang w:eastAsia="ar-SA"/>
                    </w:rPr>
                    <w:t>PROJEKTO</w:t>
                  </w:r>
                </w:p>
                <w:p w14:paraId="3F3071B4" w14:textId="77777777">
                  <w:pPr>
                    <w:suppressAutoHyphens/>
                    <w:jc w:val="center"/>
                    <w:rPr>
                      <w:b/>
                      <w:bCs/>
                      <w:szCs w:val="24"/>
                      <w:lang w:eastAsia="ar-SA"/>
                    </w:rPr>
                  </w:pPr>
                  <w:r>
                    <w:rPr>
                      <w:b/>
                      <w:bCs/>
                      <w:szCs w:val="24"/>
                      <w:lang w:eastAsia="ar-SA"/>
                    </w:rPr>
                    <w:t>AIŠKINAMASIS RAŠTAS</w:t>
                  </w:r>
                </w:p>
              </w:sdtContent>
            </w:sdt>
            <w:p w14:paraId="3F3071B5" w14:textId="77777777">
              <w:pPr>
                <w:suppressAutoHyphens/>
                <w:jc w:val="center"/>
                <w:rPr>
                  <w:b/>
                  <w:bCs/>
                  <w:sz w:val="12"/>
                  <w:szCs w:val="12"/>
                  <w:lang w:eastAsia="ar-SA"/>
                </w:rPr>
              </w:pPr>
            </w:p>
            <w:p w14:paraId="3F3071B6" w14:textId="42850316">
              <w:pPr>
                <w:suppressAutoHyphens/>
                <w:jc w:val="center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2025 m. rugsėjo 23 d. </w:t>
              </w:r>
            </w:p>
            <w:p w14:paraId="3F3071B7" w14:textId="77777777">
              <w:pPr>
                <w:suppressAutoHyphens/>
                <w:jc w:val="center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Šiauliai</w:t>
              </w:r>
            </w:p>
            <w:p w14:paraId="3F3071B8" w14:textId="77777777">
              <w:pPr>
                <w:suppressAutoHyphens/>
                <w:ind w:firstLine="720"/>
                <w:rPr>
                  <w:b/>
                  <w:bCs/>
                  <w:sz w:val="20"/>
                  <w:lang w:eastAsia="ar-SA"/>
                </w:rPr>
              </w:pPr>
            </w:p>
            <w:p w14:paraId="3F3071B9" w14:textId="050AA1EA">
              <w:pPr>
                <w:suppressAutoHyphens/>
                <w:ind w:firstLine="720"/>
                <w:rPr>
                  <w:szCs w:val="24"/>
                  <w:lang w:eastAsia="ar-SA"/>
                </w:rPr>
              </w:pPr>
              <w:r>
                <w:rPr>
                  <w:b/>
                  <w:szCs w:val="24"/>
                  <w:lang w:eastAsia="ar-SA"/>
                </w:rPr>
                <w:t>Parengto sprendimo projekto tikslai ir uždaviniai</w:t>
              </w:r>
              <w:r>
                <w:rPr>
                  <w:szCs w:val="24"/>
                  <w:lang w:eastAsia="ar-SA"/>
                </w:rPr>
                <w:t>.</w:t>
              </w:r>
            </w:p>
            <w:p w14:paraId="3F3071BE" w14:textId="6DF5EF59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</w:rPr>
                <w:t xml:space="preserve">Sprendimo projekto tikslas – įgyvendinti </w:t>
              </w:r>
              <w:r>
                <w:rPr>
                  <w:szCs w:val="24"/>
                  <w:shd w:val="clear" w:color="auto" w:fill="FFFFFF"/>
                </w:rPr>
                <w:t xml:space="preserve">Lietuvos Respublikos vietos savivaldos įstatymo </w:t>
              </w:r>
              <w:r>
                <w:rPr>
                  <w:szCs w:val="24"/>
                </w:rPr>
                <w:t>15 straipsnio 2 dalies 32 p</w:t>
              </w:r>
              <w:r>
                <w:rPr>
                  <w:szCs w:val="24"/>
                  <w:shd w:val="clear" w:color="auto" w:fill="FFFFFF"/>
                </w:rPr>
                <w:t xml:space="preserve">unktu numatytą pareigą ir priimti sprendimą dėl </w:t>
              </w:r>
              <w:r>
                <w:rPr>
                  <w:szCs w:val="24"/>
                  <w:lang w:eastAsia="ar-SA"/>
                </w:rPr>
                <w:t>2015–2024 metų</w:t>
              </w:r>
              <w:r>
                <w:rPr>
                  <w:szCs w:val="24"/>
                  <w:shd w:val="clear" w:color="auto" w:fill="FFFFFF"/>
                </w:rPr>
                <w:t xml:space="preserve"> Šiaulių miesto </w:t>
              </w:r>
              <w:r>
                <w:rPr>
                  <w:szCs w:val="24"/>
                  <w:lang w:eastAsia="ar-SA"/>
                </w:rPr>
                <w:t>strateginio plėtros plano įgyvendinimo 2022–2024 m. ataskaitos.</w:t>
              </w:r>
              <w:r>
                <w:rPr>
                  <w:szCs w:val="24"/>
                </w:rPr>
                <w:t xml:space="preserve"> </w:t>
              </w:r>
            </w:p>
            <w:sdt>
              <w:sdtPr>
                <w:alias w:val="poskyris"/>
                <w:tag w:val="part_4bbdfc9bfadf48b89a651cb7a7546e38"/>
                <w:lock w:val="sdtLocked"/>
                <w:richText/>
              </w:sdtPr>
              <w:sdtContent>
                <w:p w14:paraId="2F7E654F" w14:textId="47FA29A0">
                  <w:pPr>
                    <w:suppressAutoHyphens/>
                    <w:ind w:firstLine="720"/>
                    <w:rPr>
                      <w:b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4bbdfc9bfadf48b89a651cb7a7546e3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ar-SA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30F37042" w14:textId="05A0E791"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 xml:space="preserve">Sprendimo projektas parengtas vadovaujantis </w:t>
                  </w:r>
                  <w:r>
                    <w:rPr>
                      <w:szCs w:val="24"/>
                      <w:lang w:eastAsia="lt-LT"/>
                    </w:rPr>
                    <w:t xml:space="preserve">Lietuvos Respublikos Vietos savivaldos įstatymo  6 straipsnio 22 dalimi, kuria </w:t>
                  </w:r>
                  <w:r>
                    <w:rPr>
                      <w:szCs w:val="24"/>
                      <w:lang w:eastAsia="ar-SA"/>
                    </w:rPr>
                    <w:t xml:space="preserve">nustatyta, kad Savivaldybių savarankiškoji funkcija yra Savivaldybės strateginio planavimo dokumentų ir juos įgyvendinančių planavimo dokumentų rengimas ir įgyvendinimas. </w:t>
                  </w:r>
                  <w:r>
                    <w:rPr>
                      <w:szCs w:val="24"/>
                      <w:lang w:eastAsia="lt-LT"/>
                    </w:rPr>
                    <w:t>S</w:t>
                  </w:r>
                  <w:r>
                    <w:rPr>
                      <w:szCs w:val="24"/>
                      <w:lang w:eastAsia="ar-SA"/>
                    </w:rPr>
                    <w:t xml:space="preserve">avivaldybėje yra rengiami šie savivaldybės strateginio planavimo dokumentai: savivaldybės strateginis plėtros planas, atskirų savivaldybės ūkio šakų (sektorių) plėtros programos ir savivaldybės strateginis veiklos planas. Savivaldybės strateginis plėtros planas yra ilgesnio laikotarpio (daugiau kaip 3 metų) planavimo dokumentas, skirtas aplinkos, socialinei ir ekonominei raidai savivaldybės teritorijoje numatyti ir rengiamas </w:t>
                  </w:r>
                  <w:r>
                    <w:rPr>
                      <w:szCs w:val="24"/>
                      <w:lang w:eastAsia="lt-LT"/>
                    </w:rPr>
                    <w:t xml:space="preserve">atsižvelgiant į valstybės ir regioninio lygmens teritorijų ir strateginio planavimo dokumentus, taip pat į savivaldybės teritorijų planavimo dokumentus. Vietos savivaldos įstatymo 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15 straipsnio 2 dalies 32 punktas nustato, kad savivaldybės tarybos kompetencija yra savivaldybės </w:t>
                  </w:r>
                  <w:r>
                    <w:rPr>
                      <w:szCs w:val="24"/>
                      <w:lang w:eastAsia="ar-SA"/>
                    </w:rPr>
                    <w:t xml:space="preserve">strateginių plėtros ir veiklos planų, 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savivaldybės </w:t>
                  </w:r>
                  <w:r>
                    <w:rPr>
                      <w:szCs w:val="24"/>
                      <w:lang w:eastAsia="ar-SA"/>
                    </w:rPr>
                    <w:t>atskirų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 ūkio šakų (sektorių) plėtros programų tvirtinimas, </w:t>
                  </w:r>
                  <w:r>
                    <w:rPr>
                      <w:szCs w:val="24"/>
                      <w:lang w:eastAsia="ar-SA"/>
                    </w:rPr>
                    <w:t xml:space="preserve">ataskaitų dėl jų įgyvendinimo išklausymas ir sprendimų dėl jų priėmimas. Lietuvos Resublikos strateginio valdymo įstatymo 22 straipsnis nustato, kad 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Savivaldybių strateginius plėtros planus rengia savivaldybių administracijos, tvirtina savivaldybių tarybos, o </w:t>
                  </w:r>
                  <w:r>
                    <w:rPr>
                      <w:szCs w:val="24"/>
                      <w:lang w:eastAsia="ar-SA"/>
                    </w:rPr>
                    <w:t xml:space="preserve">strateginių plėtros planų įgyvendinimą, stebėseną, vertinimą ir ataskaitų rengimą organizuoja savivaldybių merai. Sprendimo projektą </w:t>
                  </w:r>
                  <w:r>
                    <w:rPr>
                      <w:bCs/>
                      <w:szCs w:val="24"/>
                      <w:lang w:eastAsia="ar-SA"/>
                    </w:rPr>
                    <w:t>„</w:t>
                  </w:r>
                  <w:r>
                    <w:rPr>
                      <w:szCs w:val="24"/>
                      <w:lang w:eastAsia="ar-SA"/>
                    </w:rPr>
                    <w:t xml:space="preserve">Dėl 2015–2024 metų </w:t>
                  </w:r>
                  <w:r>
                    <w:rPr>
                      <w:bCs/>
                      <w:szCs w:val="24"/>
                      <w:lang w:eastAsia="ar-SA"/>
                    </w:rPr>
                    <w:t>Šiaulių miesto s</w:t>
                  </w:r>
                  <w:r>
                    <w:rPr>
                      <w:szCs w:val="24"/>
                      <w:lang w:eastAsia="ar-SA"/>
                    </w:rPr>
                    <w:t>trateginio plėtros plano įgyvendinimo 2022–2024 metais ataskaitos</w:t>
                  </w:r>
                  <w:r>
                    <w:rPr>
                      <w:bCs/>
                      <w:szCs w:val="24"/>
                      <w:lang w:eastAsia="ar-SA"/>
                    </w:rPr>
                    <w:t>“</w:t>
                  </w:r>
                  <w:r>
                    <w:rPr>
                      <w:szCs w:val="24"/>
                      <w:lang w:eastAsia="ar-SA"/>
                    </w:rPr>
                    <w:t xml:space="preserve"> rengia Strateginio planavimo ir finansų skyrius vadovaujantis </w:t>
                  </w:r>
                  <w:r>
                    <w:rPr>
                      <w:bCs/>
                      <w:szCs w:val="24"/>
                      <w:lang w:eastAsia="ar-SA"/>
                    </w:rPr>
                    <w:t>„</w:t>
                  </w:r>
                  <w:r>
                    <w:rPr>
                      <w:szCs w:val="24"/>
                      <w:lang w:eastAsia="ar-SA"/>
                    </w:rPr>
                    <w:t>Strateginio planavimo organizavimo Šiaulių miesto savivaldybėje tvarkos aprašo</w:t>
                  </w:r>
                  <w:r>
                    <w:rPr>
                      <w:bCs/>
                      <w:szCs w:val="24"/>
                      <w:lang w:eastAsia="ar-SA"/>
                    </w:rPr>
                    <w:t>“</w:t>
                  </w:r>
                  <w:r>
                    <w:rPr>
                      <w:szCs w:val="24"/>
                      <w:lang w:eastAsia="ar-SA"/>
                    </w:rPr>
                    <w:t xml:space="preserve"> patvirtinto Savivaldybės tarybos 2021 m. liepos 1 d. sprendimu Nr. T-301 (2024 m. gruodžio 5 d. sprendimo Nr. T-468 redakcija) 22 punktu.</w:t>
                  </w:r>
                </w:p>
                <w:p w14:paraId="397392FD" w14:textId="089743FD"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Visi Savivaldybės strateginio planavimo dokumentai, jų įgyvendinimą detalizuojantys planavimo dokumentai ir šių dokumentų įgyvendinimo ataskaitos yra vieši ir skelbiami savivaldybės interneto svetainėje.</w:t>
                  </w:r>
                </w:p>
              </w:sdtContent>
            </w:sdt>
            <w:sdt>
              <w:sdtPr>
                <w:alias w:val="poskyris"/>
                <w:tag w:val="part_69e6f11ccb85491ab8a6122be244a2ed"/>
                <w:lock w:val="sdtLocked"/>
                <w:richText/>
              </w:sdtPr>
              <w:sdtContent>
                <w:p w14:paraId="3F3071C2" w14:textId="39B07A7F">
                  <w:pPr>
                    <w:suppressAutoHyphens/>
                    <w:ind w:firstLine="720"/>
                    <w:rPr>
                      <w:b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69e6f11ccb85491ab8a6122be244a2e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ar-SA"/>
                        </w:rPr>
                        <w:t>Sprendimo projekte numatytos naujos teisinio reglamentavimo nuostatos.</w:t>
                      </w:r>
                    </w:sdtContent>
                  </w:sdt>
                </w:p>
                <w:p w14:paraId="3F6C88EC" w14:textId="2E17FA28">
                  <w:pPr>
                    <w:suppressAutoHyphens/>
                    <w:ind w:firstLine="720"/>
                    <w:jc w:val="both"/>
                    <w:rPr>
                      <w:iCs/>
                      <w:szCs w:val="24"/>
                    </w:rPr>
                  </w:pPr>
                  <w:r>
                    <w:rPr>
                      <w:iCs/>
                      <w:szCs w:val="24"/>
                    </w:rPr>
                    <w:t xml:space="preserve">Naujų teisinių reglamentavimo nuostatų nenumatyta. </w:t>
                  </w:r>
                </w:p>
                <w:p w14:paraId="3F3071C6" w14:textId="218BDFB6">
                  <w:pPr>
                    <w:tabs>
                      <w:tab w:val="left" w:pos="4253"/>
                      <w:tab w:val="right" w:pos="9570"/>
                    </w:tabs>
                    <w:suppressAutoHyphens/>
                    <w:ind w:firstLine="806"/>
                    <w:jc w:val="both"/>
                    <w:rPr>
                      <w:szCs w:val="24"/>
                      <w:shd w:val="clear" w:color="auto" w:fill="FFFFFF"/>
                      <w:lang w:eastAsia="ar-SA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  <w:lang w:eastAsia="ar-SA"/>
                    </w:rPr>
                    <w:t xml:space="preserve">Priėmus sprendimą, galimos pasekmės </w:t>
                  </w:r>
                  <w:r>
                    <w:rPr>
                      <w:i/>
                      <w:szCs w:val="24"/>
                      <w:shd w:val="clear" w:color="auto" w:fill="FFFFFF"/>
                      <w:lang w:eastAsia="ar-SA"/>
                    </w:rPr>
                    <w:t>(nurodomos tiek teigiamos, tiek neigiamos galimos pasekmės)</w:t>
                  </w:r>
                  <w:r>
                    <w:rPr>
                      <w:szCs w:val="24"/>
                      <w:shd w:val="clear" w:color="auto" w:fill="FFFFFF"/>
                      <w:lang w:eastAsia="ar-SA"/>
                    </w:rPr>
                    <w:t>.</w:t>
                  </w:r>
                </w:p>
                <w:p w14:paraId="7CBB381B" w14:textId="68E4A1AD">
                  <w:pPr>
                    <w:suppressAutoHyphens/>
                    <w:ind w:firstLine="782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 xml:space="preserve">Priėmus sprendimą numatomos </w:t>
                  </w:r>
                  <w:r>
                    <w:rPr>
                      <w:iCs/>
                      <w:szCs w:val="24"/>
                      <w:lang w:eastAsia="ar-SA"/>
                    </w:rPr>
                    <w:t>teigiamos pasekmės</w:t>
                  </w:r>
                  <w:r>
                    <w:rPr>
                      <w:szCs w:val="24"/>
                      <w:lang w:eastAsia="ar-SA"/>
                    </w:rPr>
                    <w:t xml:space="preserve"> – bus įgyvendintos teisės aktais numatytos nuostatos.</w:t>
                  </w:r>
                </w:p>
              </w:sdtContent>
            </w:sdt>
            <w:sdt>
              <w:sdtPr>
                <w:alias w:val="poskyris"/>
                <w:tag w:val="part_0587c463325540e9b90bf7e3e51a6584"/>
                <w:lock w:val="sdtLocked"/>
                <w:richText/>
              </w:sdtPr>
              <w:sdtContent>
                <w:p w14:paraId="3F3071C9" w14:textId="4B985D75">
                  <w:pPr>
                    <w:suppressAutoHyphens/>
                    <w:ind w:firstLine="720"/>
                    <w:rPr>
                      <w:b/>
                      <w:szCs w:val="24"/>
                      <w:shd w:val="clear" w:color="auto" w:fill="FFFFFF"/>
                      <w:lang w:eastAsia="ar-SA"/>
                    </w:rPr>
                  </w:pPr>
                  <w:sdt>
                    <w:sdtPr>
                      <w:alias w:val="Pavadinimas"/>
                      <w:tag w:val="title_0587c463325540e9b90bf7e3e51a658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  <w:lang w:eastAsia="ar-SA"/>
                        </w:rPr>
                        <w:t>Priėmus sprendimą keičiami ar pripažįstami negaliojančiais teisės aktai.</w:t>
                      </w:r>
                    </w:sdtContent>
                  </w:sdt>
                </w:p>
                <w:p w14:paraId="4CC6F458" w14:textId="261B5F30">
                  <w:pPr>
                    <w:suppressAutoHyphens/>
                    <w:ind w:firstLine="72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 sprendimą, keičiamų ar panaikinamų galiojančių Savivaldybės teisės aktų nėra.</w:t>
                  </w:r>
                </w:p>
              </w:sdtContent>
            </w:sdt>
            <w:sdt>
              <w:sdtPr>
                <w:alias w:val="poskyris"/>
                <w:tag w:val="part_4f1c803eb455446eb8da808911670ed2"/>
                <w:lock w:val="sdtLocked"/>
                <w:richText/>
              </w:sdtPr>
              <w:sdtContent>
                <w:p w14:paraId="3F3071CC" w14:textId="2F4641F9">
                  <w:pPr>
                    <w:suppressAutoHyphens/>
                    <w:ind w:firstLine="720"/>
                    <w:rPr>
                      <w:b/>
                      <w:szCs w:val="24"/>
                      <w:shd w:val="clear" w:color="auto" w:fill="FFFFFF"/>
                      <w:lang w:eastAsia="ar-SA"/>
                    </w:rPr>
                  </w:pPr>
                  <w:sdt>
                    <w:sdtPr>
                      <w:alias w:val="Pavadinimas"/>
                      <w:tag w:val="title_4f1c803eb455446eb8da808911670ed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  <w:lang w:eastAsia="ar-SA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0798C424" w14:textId="35646D9A">
                  <w:pPr>
                    <w:suppressAutoHyphens/>
                    <w:ind w:firstLine="72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Papildomų teisės aktų sprendimo įgyvendinimui priimti nereikia.</w:t>
                  </w:r>
                </w:p>
                <w:p w14:paraId="028331A9" w14:textId="77777777">
                  <w:pPr>
                    <w:suppressAutoHyphens/>
                    <w:rPr>
                      <w:szCs w:val="24"/>
                    </w:rPr>
                  </w:pPr>
                </w:p>
                <w:p w14:paraId="67046DB7" w14:textId="684292EA">
                  <w:pPr>
                    <w:tabs>
                      <w:tab w:val="left" w:pos="855"/>
                    </w:tabs>
                    <w:suppressAutoHyphens/>
                    <w:ind w:firstLine="744"/>
                    <w:jc w:val="both"/>
                    <w:rPr>
                      <w:szCs w:val="24"/>
                      <w:shd w:val="clear" w:color="auto" w:fill="FFFFFF"/>
                      <w:lang w:eastAsia="ar-SA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  <w:lang w:eastAsia="ar-SA"/>
                    </w:rPr>
                    <w:t xml:space="preserve">Sprendimui įgyvendinti reikalingos lėšos </w:t>
                  </w:r>
                  <w:r>
                    <w:rPr>
                      <w:i/>
                      <w:szCs w:val="24"/>
                      <w:shd w:val="clear" w:color="auto" w:fill="FFFFFF"/>
                      <w:lang w:eastAsia="ar-SA"/>
                    </w:rPr>
                    <w:t>(nurodoma, kiek biudžeto lėšų pareikalaus ar leis sutaupyti sprendimo įgyvendinimas)</w:t>
                  </w:r>
                  <w:r>
                    <w:rPr>
                      <w:szCs w:val="24"/>
                      <w:shd w:val="clear" w:color="auto" w:fill="FFFFFF"/>
                      <w:lang w:eastAsia="ar-SA"/>
                    </w:rPr>
                    <w:t xml:space="preserve">. </w:t>
                  </w:r>
                  <w:r>
                    <w:rPr>
                      <w:b/>
                      <w:szCs w:val="24"/>
                      <w:shd w:val="clear" w:color="auto" w:fill="FFFFFF"/>
                      <w:lang w:eastAsia="ar-SA"/>
                    </w:rPr>
                    <w:t xml:space="preserve"> </w:t>
                  </w:r>
                </w:p>
                <w:p w14:paraId="05D8B27A" w14:textId="031F7927">
                  <w:pPr>
                    <w:tabs>
                      <w:tab w:val="left" w:pos="855"/>
                    </w:tabs>
                    <w:suppressAutoHyphens/>
                    <w:ind w:firstLine="744"/>
                    <w:jc w:val="both"/>
                    <w:rPr>
                      <w:szCs w:val="24"/>
                      <w:shd w:val="clear" w:color="auto" w:fill="FFFFFF"/>
                      <w:lang w:eastAsia="ar-SA"/>
                    </w:rPr>
                  </w:pPr>
                  <w:r>
                    <w:rPr>
                      <w:color w:val="000000"/>
                      <w:szCs w:val="24"/>
                      <w:shd w:val="clear" w:color="auto" w:fill="FFFFFF"/>
                    </w:rPr>
                    <w:t xml:space="preserve">Sprendimui įgyvendinti lėšos nebus  reikalingos.</w:t>
                  </w:r>
                </w:p>
                <w:p w14:paraId="3F3071D2" w14:textId="7F438B6E">
                  <w:pPr>
                    <w:suppressAutoHyphens/>
                    <w:ind w:firstLine="720"/>
                    <w:jc w:val="both"/>
                    <w:rPr>
                      <w:b/>
                      <w:color w:val="000000"/>
                      <w:szCs w:val="24"/>
                      <w:shd w:val="clear" w:color="auto" w:fill="FFFFFF"/>
                      <w:lang w:eastAsia="ar-SA"/>
                    </w:rPr>
                  </w:pPr>
                  <w:r>
                    <w:rPr>
                      <w:b/>
                      <w:color w:val="000000"/>
                      <w:szCs w:val="24"/>
                      <w:shd w:val="clear" w:color="auto" w:fill="FFFFFF"/>
                      <w:lang w:eastAsia="ar-SA"/>
                    </w:rPr>
                    <w:t xml:space="preserve">Sprendimo projekto antikorupcinis vertinimas </w:t>
                  </w:r>
                  <w:r>
                    <w:rPr>
                      <w:rFonts w:eastAsia="HG Mincho Light J"/>
                      <w:i/>
                      <w:color w:val="000000"/>
                      <w:szCs w:val="24"/>
                      <w:shd w:val="clear" w:color="auto" w:fill="FFFFFF"/>
                      <w:lang w:eastAsia="ar-SA"/>
                    </w:rPr>
                    <w:t>(jei tokį vertinimą reikia atlikti, nurodoma, kad pridedama Antikorupcinio vertinimo pažyma).</w:t>
                  </w:r>
                </w:p>
                <w:p w14:paraId="27414793" w14:textId="69776FEF">
                  <w:pPr>
                    <w:suppressAutoHyphens/>
                    <w:ind w:firstLine="720"/>
                    <w:rPr>
                      <w:color w:val="000000"/>
                      <w:szCs w:val="24"/>
                      <w:shd w:val="clear" w:color="auto" w:fill="FFFFFF"/>
                    </w:rPr>
                  </w:pPr>
                  <w:r>
                    <w:rPr>
                      <w:color w:val="000000"/>
                      <w:szCs w:val="24"/>
                      <w:shd w:val="clear" w:color="auto" w:fill="FFFFFF"/>
                    </w:rPr>
                    <w:t>Sprendimo antikorupcinis vertinimas neatliekamas.</w:t>
                  </w:r>
                </w:p>
                <w:p w14:paraId="581DB173" w14:textId="3CCA8F43">
                  <w:pPr>
                    <w:suppressAutoHyphens/>
                    <w:ind w:firstLine="72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Sprendimo projektą parengė.</w:t>
                  </w:r>
                  <w:r>
                    <w:rPr>
                      <w:szCs w:val="24"/>
                      <w:shd w:val="clear" w:color="auto" w:fill="FFFFFF"/>
                      <w:lang w:eastAsia="ar-SA"/>
                    </w:rPr>
                    <w:t xml:space="preserve"> Šiaulių miesto savivaldybės administracijos Strateginio planavimo ir finansų skyrius. Tiesioginiai rengėjai - vyr. specialistės Rasa Macienė, </w:t>
                  </w:r>
                  <w:r>
                    <w:rPr>
                      <w:szCs w:val="24"/>
                      <w:shd w:val="clear" w:color="auto" w:fill="FFFFFF"/>
                    </w:rPr>
                    <w:t>tel. (0 41) 383 436 ir Kristina Kečedži, tel. (0 41) 596 260.</w:t>
                  </w:r>
                </w:p>
                <w:p w14:paraId="7AE7EBCB" w14:textId="0B4CE27A">
                  <w:pPr>
                    <w:tabs>
                      <w:tab w:val="left" w:pos="855"/>
                    </w:tabs>
                    <w:suppressAutoHyphens/>
                    <w:ind w:firstLine="744"/>
                    <w:jc w:val="both"/>
                    <w:rPr>
                      <w:szCs w:val="24"/>
                      <w:shd w:val="clear" w:color="auto" w:fill="FFFFFF"/>
                      <w:lang w:eastAsia="ar-SA"/>
                    </w:rPr>
                  </w:pPr>
                  <w:r>
                    <w:rPr>
                      <w:b/>
                      <w:szCs w:val="24"/>
                      <w:lang w:eastAsia="ar-SA"/>
                    </w:rPr>
                    <w:t>Numatomo teisinio reguliavimo poveikio vertinimo rezultatai</w:t>
                  </w:r>
                  <w:r>
                    <w:rPr>
                      <w:i/>
                      <w:szCs w:val="24"/>
                      <w:shd w:val="clear" w:color="auto" w:fill="FFFFFF"/>
                      <w:lang w:eastAsia="ar-SA"/>
                    </w:rPr>
                    <w:t xml:space="preserve"> (jei tokį vertinimą reikia atlikti)</w:t>
                  </w:r>
                  <w:r>
                    <w:rPr>
                      <w:szCs w:val="24"/>
                      <w:shd w:val="clear" w:color="auto" w:fill="FFFFFF"/>
                      <w:lang w:eastAsia="ar-SA"/>
                    </w:rPr>
                    <w:t>.</w:t>
                  </w:r>
                  <w:r>
                    <w:rPr>
                      <w:szCs w:val="24"/>
                      <w:lang w:eastAsia="ar-SA"/>
                    </w:rPr>
                    <w:tab/>
                  </w:r>
                </w:p>
                <w:p w14:paraId="2E4DC9E7" w14:textId="4E78C9B2"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rFonts w:eastAsia="Calibri"/>
                      <w:szCs w:val="24"/>
                      <w:lang w:eastAsia="ar-SA"/>
                    </w:rPr>
                    <w:t>Vertinimas neatliekamas.</w:t>
                  </w:r>
                </w:p>
                <w:p w14:paraId="7BE42838" w14:textId="77777777">
                  <w:pPr>
                    <w:suppressAutoHyphens/>
                    <w:rPr>
                      <w:szCs w:val="24"/>
                      <w:shd w:val="clear" w:color="auto" w:fill="FFFFFF"/>
                    </w:rPr>
                  </w:pPr>
                </w:p>
                <w:p w14:paraId="3D7AFF14" w14:textId="77777777">
                  <w:pPr>
                    <w:suppressAutoHyphens/>
                    <w:rPr>
                      <w:color w:val="000000"/>
                      <w:szCs w:val="24"/>
                      <w:shd w:val="clear" w:color="auto" w:fill="FFFFFF"/>
                      <w:lang w:eastAsia="ar-SA"/>
                    </w:rPr>
                  </w:pPr>
                </w:p>
                <w:p w14:paraId="3F3071DA" w14:textId="77777777"/>
                <w:p w14:paraId="3F3071DB" w14:textId="77777777">
                  <w:pPr>
                    <w:suppressAutoHyphens/>
                    <w:rPr>
                      <w:szCs w:val="24"/>
                      <w:lang w:eastAsia="ar-SA"/>
                    </w:rPr>
                  </w:pPr>
                </w:p>
                <w:p w14:paraId="68CD8848" w14:textId="77777777">
                  <w:pPr>
                    <w:suppressAutoHyphens/>
                    <w:rPr>
                      <w:szCs w:val="24"/>
                      <w:lang w:eastAsia="ar-SA"/>
                    </w:rPr>
                  </w:pPr>
                </w:p>
                <w:p w14:paraId="2FF21C1B" w14:textId="77777777">
                  <w:pPr>
                    <w:suppressAutoHyphens/>
                    <w:rPr>
                      <w:szCs w:val="24"/>
                    </w:rPr>
                  </w:pPr>
                </w:p>
                <w:p w14:paraId="762D0B80" w14:textId="77777777">
                  <w:pPr>
                    <w:suppressAutoHyphens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6996dfb8edf14598b2d8a314d5b1eda4"/>
            <w:lock w:val="sdtLocked"/>
            <w:richText/>
          </w:sdtPr>
          <w:sdtContent>
            <w:p w14:paraId="4454042F" w14:textId="47F6237E">
              <w:pPr>
                <w:suppressAutoHyphens/>
                <w:rPr>
                  <w:szCs w:val="24"/>
                </w:rPr>
              </w:pPr>
              <w:r>
                <w:rPr>
                  <w:szCs w:val="24"/>
                </w:rPr>
                <w:t>Vedėja</w:t>
                <w:tab/>
                <w:tab/>
                <w:tab/>
                <w:t xml:space="preserve">                                                                                      Vaida Kalasevičienė</w:t>
              </w:r>
            </w:p>
            <w:p w14:paraId="3F3071DC" w14:textId="460A9D19">
              <w:pPr>
                <w:suppressAutoHyphens/>
                <w:ind w:firstLine="1440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pgSz w:w="12240" w:h="15840"/>
      <w:pgMar w:top="737" w:right="567" w:bottom="964" w:left="1701" w:header="567" w:footer="720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57612A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7495F7F1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Calibri"/>
    <w:charset w:val="00"/>
    <w:family w:val="auto"/>
    <w:pitch w:val="variable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7D3970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2CAAD875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2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3F3071AE"/>
  <w15:docId w15:val="{CBB065D3-7389-451F-A23C-180DF2B4AF8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7749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1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72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7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2291bc602a604625a97e983863c73d6b" PartId="b7845d5c81464b8992cea160d3a0e059">
    <Part Type="skyrius" Nr="999" Title="SPRENDIMO „DĖL 2015–2024 METŲ ŠIAULIŲ MIESTO STRATEGINIO PLĖTROS PLANO ĮGYVENDINIMO 2022–2024 METAIS ATASKAITOS“ PROJEKTO AIŠKINAMASIS RAŠTAS" DocPartId="0bb7230a33704797a5c5ac332a517f5e" PartId="f1e4b5c91c1440a3b49249360fb0d80a">
      <Part Type="poskyris" Title="Dabartinis sprendimo projekte aptariamų klausimų reguliavimas." DocPartId="2354f00f48724f7eb5d72a12fccaed5c" PartId="4bbdfc9bfadf48b89a651cb7a7546e38"/>
      <Part Type="poskyris" Title="Sprendimo projekte numatytos naujos teisinio reglamentavimo nuostatos." DocPartId="3638e43e8a7040efb5876cf7ccfa6674" PartId="69e6f11ccb85491ab8a6122be244a2ed"/>
      <Part Type="poskyris" Title="Priėmus sprendimą keičiami ar pripažįstami negaliojančiais teisės aktai." DocPartId="dc847232a8ad45a081cc60f3aa29ce79" PartId="0587c463325540e9b90bf7e3e51a6584"/>
      <Part Type="poskyris" Title="Sprendimui įgyvendinti reikalingi priimti papildomi teisės aktai." DocPartId="4604ed5b308048ff802f3913ea91537b" PartId="4f1c803eb455446eb8da808911670ed2"/>
    </Part>
    <Part Type="signatura" DocPartId="dd391a300ea342f88e24f23b4de9723e" PartId="6996dfb8edf14598b2d8a314d5b1eda4"/>
  </Part>
</Parts>
</file>

<file path=customXml/itemProps1.xml><?xml version="1.0" encoding="utf-8"?>
<ds:datastoreItem xmlns:ds="http://schemas.openxmlformats.org/officeDocument/2006/customXml" ds:itemID="{5C3AB300-558D-4879-971F-7DC85751A3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158505-83F8-45D6-BFBE-04AF2A02608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487</Words>
  <Characters>3698</Characters>
  <Application>Microsoft Office Word</Application>
  <DocSecurity>4</DocSecurity>
  <Lines>73</Lines>
  <Paragraphs>32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/>
  <LinksUpToDate>false</LinksUpToDate>
  <CharactersWithSpaces>4153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2025-09-26T05:09:00Z</dcterms:created>
  <dc:creator>d.antanaviciene</dc:creator>
  <lastModifiedBy>adlibuser</lastModifiedBy>
  <lastPrinted>2018-06-22T05:40:00Z</lastPrinted>
  <dcterms:modified xsi:type="dcterms:W3CDTF">2025-09-26T05:09:00Z</dcterms:modified>
  <revision>2</revision>
  <dc:title>Projektas</dc:title>
</coreProperties>
</file>