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6ea38532174a9499e7c67cab45a9f2"/>
        <w:lock w:val="sdtLocked"/>
        <w:richText/>
      </w:sdtPr>
      <w:sdtContent>
        <w:p w14:paraId="2599B329" w14:textId="77777777">
          <w:pPr>
            <w:tabs>
              <w:tab w:val="center" w:pos="4153"/>
              <w:tab w:val="right" w:pos="8306"/>
            </w:tabs>
            <w:jc w:val="right"/>
          </w:pPr>
        </w:p>
        <w:p w14:paraId="147AEDAF" w14:textId="77777777">
          <w:pPr>
            <w:tabs>
              <w:tab w:val="center" w:pos="4153"/>
              <w:tab w:val="right" w:pos="8306"/>
            </w:tabs>
            <w:jc w:val="right"/>
          </w:pPr>
        </w:p>
        <w:p w14:paraId="6F549C0F" w14:textId="77777777">
          <w:pPr>
            <w:jc w:val="center"/>
            <w:rPr>
              <w:b/>
              <w:bCs/>
            </w:rPr>
          </w:pPr>
        </w:p>
        <w:p w14:paraId="42A5F668" w14:textId="2022BA5F">
          <w:pPr>
            <w:jc w:val="center"/>
            <w:rPr>
              <w:b/>
              <w:bCs/>
            </w:rPr>
          </w:pPr>
          <w:r>
            <w:rPr>
              <w:b/>
              <w:bCs/>
            </w:rPr>
            <w:t>ŠIAULIŲ MIESTO SAVIVALDYBĖS ADMINISTRACIJOS</w:t>
          </w:r>
        </w:p>
        <w:sdt>
          <w:sdtPr>
            <w:alias w:val="skyrius"/>
            <w:tag w:val="part_d4d6efd039484ff6b05fd31f2c2af1ea"/>
            <w:lock w:val="sdtLocked"/>
            <w:richText/>
          </w:sdtPr>
          <w:sdtContent>
            <w:p w14:paraId="42A5F66A" w14:textId="77777777">
              <w:pPr>
                <w:jc w:val="center"/>
                <w:rPr>
                  <w:b/>
                  <w:bCs/>
                </w:rPr>
              </w:pPr>
              <w:r>
                <w:rPr>
                  <w:b/>
                  <w:bCs/>
                </w:rPr>
                <w:t>STRATEGINIO PLANAVIMO IR FINANSŲ SKYRIUS</w:t>
              </w:r>
            </w:p>
            <w:p w14:paraId="60EF9DFC" w14:textId="77777777">
              <w:pPr>
                <w:rPr>
                  <w:b/>
                  <w:bCs/>
                </w:rPr>
              </w:pPr>
            </w:p>
            <w:sdt>
              <w:sdtPr>
                <w:alias w:val="Pavadinimas"/>
                <w:tag w:val="title_d4d6efd039484ff6b05fd31f2c2af1ea"/>
                <w:lock w:val="sdtLocked"/>
                <w:richText/>
              </w:sdtPr>
              <w:sdtContent>
                <w:p w14:paraId="2F7E8303" w14:textId="070E3866">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2025 M. VASARIO </w:t>
                  </w:r>
                </w:p>
                <w:p w14:paraId="42A5F66D" w14:textId="4EB34183">
                  <w:pPr>
                    <w:keepNext/>
                    <w:jc w:val="center"/>
                    <w:rPr>
                      <w:b/>
                      <w:bCs/>
                      <w:lang w:eastAsia="x-none"/>
                    </w:rPr>
                  </w:pPr>
                  <w:r>
                    <w:rPr>
                      <w:b/>
                      <w:bCs/>
                      <w:lang w:eastAsia="x-none"/>
                    </w:rPr>
                    <w:t>6 D. SPRENDIMO NR. T-2</w:t>
                  </w:r>
                  <w:r>
                    <w:rPr>
                      <w:b/>
                      <w:bCs/>
                      <w:lang w:val="x-none" w:eastAsia="x-none"/>
                    </w:rPr>
                    <w:t xml:space="preserve"> „</w:t>
                  </w:r>
                  <w:r>
                    <w:rPr>
                      <w:b/>
                      <w:bCs/>
                      <w:lang w:eastAsia="x-none"/>
                    </w:rPr>
                    <w:t xml:space="preserve"> DĖL ŠIAULIŲ MIESTO SAVIVALDYBĖS 2025 METŲ BIUDŽETO IR 2026-2027 METŲ PAJAMŲ IR ASIGNAVIMŲ PATVIRTINIMO“ PAKEITIMO“</w:t>
                  </w:r>
                  <w:r>
                    <w:rPr>
                      <w:b/>
                      <w:bCs/>
                      <w:lang w:val="x-none" w:eastAsia="x-none"/>
                    </w:rPr>
                    <w:t xml:space="preserve">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4C7DDD57">
              <w:pPr>
                <w:jc w:val="center"/>
              </w:pPr>
              <w:r>
                <w:t>2025-11-21</w:t>
              </w:r>
            </w:p>
            <w:p w14:paraId="42A5F671" w14:textId="23CED36B">
              <w:pPr>
                <w:jc w:val="center"/>
                <w:rPr>
                  <w:szCs w:val="24"/>
                </w:rPr>
              </w:pPr>
              <w:r>
                <w:rPr>
                  <w:szCs w:val="24"/>
                </w:rPr>
                <w:t>Šiauliai</w:t>
              </w:r>
            </w:p>
            <w:p w14:paraId="018DED6C" w14:textId="77777777">
              <w:pPr>
                <w:rPr>
                  <w:szCs w:val="24"/>
                </w:rPr>
              </w:pPr>
            </w:p>
            <w:sdt>
              <w:sdtPr>
                <w:alias w:val="poskyris"/>
                <w:tag w:val="part_3df4e4ed80a849d89ae0174b6a2a766d"/>
                <w:lock w:val="sdtLocked"/>
                <w:richText/>
              </w:sdtPr>
              <w:sdtContent>
                <w:p w14:paraId="42A5F675" w14:textId="77777777">
                  <w:pPr>
                    <w:ind w:firstLine="567"/>
                    <w:jc w:val="both"/>
                    <w:rPr>
                      <w:b/>
                      <w:bCs/>
                    </w:rPr>
                  </w:pPr>
                  <w:sdt>
                    <w:sdtPr>
                      <w:alias w:val="Pavadinimas"/>
                      <w:tag w:val="title_3df4e4ed80a849d89ae0174b6a2a766d"/>
                      <w:lock w:val="sdtLocked"/>
                      <w:richText/>
                    </w:sdtPr>
                    <w:sdtContent>
                      <w:r>
                        <w:rPr>
                          <w:b/>
                          <w:bCs/>
                        </w:rPr>
                        <w:t>Parengto sprendimo projekto tikslas ir uždaviniai.</w:t>
                      </w:r>
                    </w:sdtContent>
                  </w:sdt>
                </w:p>
                <w:p w14:paraId="1FC229B2" w14:textId="1DB813C5">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25</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b18bea4696844cf78dd24db470ce0f76"/>
                <w:lock w:val="sdtLocked"/>
                <w:richText/>
              </w:sdtPr>
              <w:sdtContent>
                <w:p w14:paraId="42A5F678" w14:textId="77777777">
                  <w:pPr>
                    <w:ind w:firstLine="540"/>
                    <w:jc w:val="both"/>
                    <w:rPr>
                      <w:b/>
                      <w:szCs w:val="24"/>
                      <w:shd w:val="clear" w:color="auto" w:fill="FFFFFF"/>
                    </w:rPr>
                  </w:pPr>
                  <w:sdt>
                    <w:sdtPr>
                      <w:alias w:val="Pavadinimas"/>
                      <w:tag w:val="title_b18bea4696844cf78dd24db470ce0f76"/>
                      <w:lock w:val="sdtLocked"/>
                      <w:richText/>
                    </w:sdtPr>
                    <w:sdtContent>
                      <w:r>
                        <w:rPr>
                          <w:b/>
                          <w:szCs w:val="24"/>
                          <w:shd w:val="clear" w:color="auto" w:fill="FFFFFF"/>
                        </w:rPr>
                        <w:t xml:space="preserve">Dabartinis sprendimo projekte aptariamų klausimų reguliavimas. </w:t>
                      </w:r>
                    </w:sdtContent>
                  </w:sdt>
                </w:p>
                <w:p w14:paraId="42144855" w14:textId="7182C029">
                  <w:pPr>
                    <w:ind w:firstLine="540"/>
                    <w:jc w:val="both"/>
                  </w:pPr>
                  <w:r>
                    <w:t xml:space="preserve">Sprendimo projektas parengtas vadovaujantis </w:t>
                  </w:r>
                  <w:r>
                    <w:rPr>
                      <w:bCs/>
                    </w:rPr>
                    <w:t xml:space="preserve">Lietuvos Respublikos socialinės apsaugos ir darbo ministro įsakymais: </w:t>
                  </w:r>
                  <w:r>
                    <w:rPr>
                      <w:lang w:eastAsia="lt-LT"/>
                    </w:rPr>
                    <w:t>2025 m. spalio 15 d. įsakymu Nr. A1-570</w:t>
                  </w:r>
                  <w:r>
                    <w:rPr>
                      <w:rFonts w:ascii="Arial" w:hAnsi="Arial" w:cs="Arial"/>
                      <w:szCs w:val="24"/>
                      <w:lang w:eastAsia="lt-LT"/>
                    </w:rPr>
                    <w:t xml:space="preserve"> </w:t>
                  </w:r>
                  <w:r>
                    <w:rPr>
                      <w:szCs w:val="24"/>
                      <w:lang w:eastAsia="lt-LT"/>
                    </w:rPr>
                    <w:t>„Dėl Lietuvos Respublikos socialinės apsaugos ir darbo ministro 2024 m. gruodžio 27 d. įsakymo Nr. A1-943 „Dėl Lietuvos Respublikos valstybės biudžeto dotacijų, skirtų socialinėms paslaugoms finansuoti, savivaldybių biudžetams 2025 metais paskirstymo savivaldybių administracijoms ir jų panaudojimo tikslo pasiekimo 2025 metais vertinimo kriterijų patvirtinimo“ pakeitimo“, 2025 m. spalio 30 d. įsakymu Nr. A1-607</w:t>
                  </w:r>
                  <w:r>
                    <w:rPr>
                      <w:sz w:val="23"/>
                      <w:szCs w:val="23"/>
                    </w:rPr>
                    <w:t xml:space="preserve"> „Dėl Lietuvos Respublikos socialinės apsaugos ir darbo ministro 2024 m. gruodžio 23 d. įsakymo Nr. A1-927 „Dėl Lietuvos Respublikos valstybės biudžeto specialių tikslinių dotacijų, skirtų būsto nuomos ar išperkamosios būsto nuomos mokesčio daliai kompensuoti, savivaldybių biudžetams 2025 metais paskirstymo savivaldybių administracijoms ir jų panaudojimo tikslo pasiekimo 2025 metais vertinimo kriterijų patvirtinimo“ pakeitimo“, 2025 m. lapkričio 10 d. įsakymu Nr. A1-628 </w:t>
                  </w:r>
                  <w:r>
                    <w:t>„ Dėl valstybės vardu pasiskolintų lėšų paskirstymo savivaldybių administracijoms išlaidoms, patirtoms 2025 metų III ketvirtį mokant laidojimo pašalpą pagal Lietuvos respublikos paramos mirties atveju įstatymą ir teikiant socialinę paramą mokiniams pagal Lietuvos respublikos socialinės paramos mokiniams įstatymą užsieniečiams, pasitraukusiems iš Ukrainos dėl Rusijos Federacijos karinių veiksmų Ukrainoje, padengti“</w:t>
                  </w:r>
                  <w:r>
                    <w:rPr>
                      <w:sz w:val="23"/>
                      <w:szCs w:val="23"/>
                    </w:rPr>
                    <w:t xml:space="preserve"> ir 2025 m. lapkričio 13 d. įsakymu Nr. A1-641 </w:t>
                  </w:r>
                  <w:r>
                    <w:t xml:space="preserve">„Dėl valstybės vardu pasiskolintų lėšų paskirstymo savivaldybių administracijoms išlaidoms, patirtoms nuo 2025 m. liepos 1 d. iki  2025 m. rugsėjo 30 d. teikiant paramą būstui išsinuomoti pagal Lietuvos Respublikos paramos būstui įsigyti ar išsinuomoti įstatymą užsieniečiams, pasitraukusiems iš Ukrainos dėl Rusijos Federacijos karinių veiksmų Ukrainoje, padengti“,</w:t>
                  </w:r>
                  <w:r>
                    <w:rPr>
                      <w:sz w:val="23"/>
                      <w:szCs w:val="23"/>
                    </w:rPr>
                    <w:t xml:space="preserve"> </w:t>
                  </w:r>
                  <w:r>
                    <w:rPr>
                      <w:szCs w:val="24"/>
                      <w:lang w:eastAsia="lt-LT"/>
                    </w:rPr>
                    <w:t>Lietuvos Respublikos socialinės apsaugos ir darbo ministerijos kanclerio 2025 m. spalio 15 d. potvarkiu Nr. A3-115 „Dėl Lietuvos Respublikos socialinės apsaugos ir darbo ministerijos kanclerio 2024 m. gruodžio 30 d. potvarkio Nr. A3-184 „Dėl valstybės biudžeto dotacijų, skirtų socialinėms paslaugoms finansuoti, savivaldybių biudžetams 2025 metais paskirstymo ketvirčiais savivaldybių administracijoms patvirtinimo“ pakeitimo“,</w:t>
                  </w:r>
                  <w:r>
                    <w:rPr>
                      <w:rFonts w:ascii="Arial" w:hAnsi="Arial" w:cs="Arial"/>
                      <w:szCs w:val="24"/>
                      <w:lang w:eastAsia="lt-LT"/>
                    </w:rPr>
                    <w:t xml:space="preserve"> </w:t>
                  </w:r>
                  <w:r>
                    <w:rPr>
                      <w:szCs w:val="24"/>
                      <w:lang w:eastAsia="lt-LT"/>
                    </w:rPr>
                    <w:t xml:space="preserve">Asmens su negalia teisių apsaugos agentūros prie Lietuvos Respublikos Socialinės apsaugos ir darbo ministerijos direktoriaus įsakymais: 2025 m. spalio 22 d. įsakymu Nr. V-158 „Dėl Asmens su negalia teisių apsaugos agentūros prie Socialinės apsaugos ir darbo ministerijos direktoriaus 2024 m. gruodžio       30 d. įsakymo Nr. V-261 „Dėl Lietuvos Respublikos valstybės biudžeto lėšų akredituotai socialinei reabilitacijai asmenims su negalia bendruomenėje organizuoti, teikti ir administruoti 2025 metais skyrimo savivaldybių administracijoms“ pakeitimo“,</w:t>
                  </w:r>
                  <w:r>
                    <w:rPr>
                      <w:rFonts w:ascii="Arial" w:hAnsi="Arial" w:cs="Arial"/>
                      <w:szCs w:val="24"/>
                      <w:lang w:eastAsia="lt-LT"/>
                    </w:rPr>
                    <w:t xml:space="preserve"> </w:t>
                  </w:r>
                  <w:r>
                    <w:rPr>
                      <w:lang w:eastAsia="lt-LT"/>
                    </w:rPr>
                    <w:t xml:space="preserve">2025 m. spalio 23 d. įsakymu Nr. V-162 „Dėl Asmens su negalia teisių apsaugos agentūros prie Socialinės apsaugos ir darbo ministerijos direktoriaus 2025 m. sausio 28 d. įsakymo Nr. V-14 </w:t>
                  </w:r>
                  <w:r>
                    <w:rPr>
                      <w:szCs w:val="24"/>
                      <w:lang w:eastAsia="lt-LT"/>
                    </w:rPr>
                    <w:t xml:space="preserve">„Dėl valstybės biudžeto lėšų būstams pritaikyti asmenims su negalia paskirstymo 2025 metais sąrašo patvirtinimo“ pakeitimo“ ir 2025 m. lapkričio 18 d. įsakymu Nr. V-175 „Dėl valstybės vardu pasiskolintų lėšų paskirstymo savivaldybių administracijoms, siekiant padengti jų išlaidas, patirtas teikiant asmeninio asistento paslaugas pagal Lietuvos Respublikos asmens su negalia teisių apsaugos pagrindų įstatymą Užsieniečiams, pasitraukusiems iš Ukrainos dėl Rusijos Federacijos karinių veiksmų Ukrainoje, 2025 metų                  III ketvirtį“, </w:t>
                  </w:r>
                  <w:r>
                    <w:t xml:space="preserve">Lietuvos Respublikos Sveikatos apsaugos ministro 2025 m. spalio 27 d. įsakymu            Nr.     V-934 „Dėl Lietuvos Respublikos Sveikatos apsaugos ministro 2024 m. gruodžio 30 d. įsakymo Nr. V-1358 „Dėl 2025 m. valstybės biudžeto specialios tikslinės dotacijos, skirtos neveiksnių asmenų būklės peržiūrėjimui užtikrinti, paskirstymo  tarp  savivaldybių  sąrašo  ir  stebėsenos  rodiklių  patvirtinimo“  </w:t>
                  </w:r>
                  <w:r>
                    <w:rPr>
                      <w:rFonts w:ascii="Arial" w:hAnsi="Arial" w:cs="Arial"/>
                      <w:szCs w:val="24"/>
                      <w:lang w:eastAsia="lt-LT"/>
                    </w:rPr>
                    <w:t xml:space="preserve"> </w:t>
                  </w:r>
                  <w:r>
                    <w:rPr>
                      <w:lang w:eastAsia="lt-LT"/>
                    </w:rPr>
                    <w:t xml:space="preserve"> ir Lietuvos Respublikos švietimo, mokslo ir sporto ministro 2025 m. spalio 27 d. įsakymo Nr. V-1096 redakcija „Dėl specialios tikslinės dotacijos ugdymo reikmėms finansuoti 2025 metais paskirstymo pagal savivaldybes patvirtinimo“.</w:t>
                  </w:r>
                </w:p>
                <w:p w14:paraId="42A5F67A" w14:textId="549039BF">
                  <w:pPr>
                    <w:ind w:firstLine="540"/>
                    <w:jc w:val="both"/>
                  </w:pPr>
                  <w:r>
                    <w:t xml:space="preserve">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2025 metų biudžeto pakeitimo rengia Strateginio planavimo ir finansų skyrius, atsižvelgiant į asignavimų valdytojų gautus prašymus dėl biudžeto asignavimų pakeitimų bei Strateginio planavimo grupės 2025 m. lapkričio mėn. 7 d. ir lapkričio         19 d. posėdžių priimtais sprendimais (DVS „Avilys“ protokolas Nr. VM-387 ir Nr. VM-403).</w:t>
                  </w:r>
                </w:p>
              </w:sdtContent>
            </w:sdt>
            <w:sdt>
              <w:sdtPr>
                <w:alias w:val="poskyris"/>
                <w:tag w:val="part_fbc0123c2c7f438a83bd9f98adb316f8"/>
                <w:lock w:val="sdtLocked"/>
                <w:richText/>
              </w:sdtPr>
              <w:sdtContent>
                <w:p w14:paraId="42A5F67B" w14:textId="77777777">
                  <w:pPr>
                    <w:ind w:firstLine="540"/>
                    <w:jc w:val="both"/>
                    <w:rPr>
                      <w:b/>
                      <w:szCs w:val="24"/>
                    </w:rPr>
                  </w:pPr>
                  <w:sdt>
                    <w:sdtPr>
                      <w:alias w:val="Pavadinimas"/>
                      <w:tag w:val="title_fbc0123c2c7f438a83bd9f98adb316f8"/>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4d61b21d2a804a2b9b24c46c17ed6473"/>
                    <w:lock w:val="sdtLocked"/>
                    <w:richText/>
                  </w:sdtPr>
                  <w:sdtContent>
                    <w:p w14:paraId="135753C3" w14:textId="6FD90855">
                      <w:pPr>
                        <w:tabs>
                          <w:tab w:val="left" w:pos="1276"/>
                        </w:tabs>
                        <w:ind w:firstLine="567"/>
                        <w:jc w:val="both"/>
                        <w:rPr>
                          <w:b/>
                        </w:rPr>
                      </w:pPr>
                      <w:sdt>
                        <w:sdtPr>
                          <w:alias w:val="Numeris"/>
                          <w:tag w:val="nr_4d61b21d2a804a2b9b24c46c17ed6473"/>
                          <w:lock w:val="sdtLocked"/>
                          <w:richText/>
                        </w:sdtPr>
                        <w:sdtContent>
                          <w:r>
                            <w:rPr>
                              <w:b/>
                            </w:rPr>
                            <w:t>1</w:t>
                          </w:r>
                        </w:sdtContent>
                      </w:sdt>
                      <w:r>
                        <w:rPr>
                          <w:b/>
                        </w:rPr>
                        <w:t>.</w:t>
                        <w:tab/>
                      </w:r>
                      <w:r>
                        <w:rPr>
                          <w:b/>
                          <w:szCs w:val="24"/>
                        </w:rPr>
                        <w:t>Sprendimo projekte pajamos ir asignavimai didinami 616,4 tūkst. Eur taip:</w:t>
                      </w:r>
                    </w:p>
                    <w:sdt>
                      <w:sdtPr>
                        <w:alias w:val="1.1 pp."/>
                        <w:tag w:val="part_b2a404115e814c41ba55ce0728ddfb33"/>
                        <w:lock w:val="sdtLocked"/>
                        <w:richText/>
                      </w:sdtPr>
                      <w:sdtContent>
                        <w:p w14:paraId="5643E237" w14:textId="4EC17CAE">
                          <w:pPr>
                            <w:ind w:firstLine="710"/>
                            <w:jc w:val="both"/>
                          </w:pPr>
                          <w:sdt>
                            <w:sdtPr>
                              <w:alias w:val="Numeris"/>
                              <w:tag w:val="nr_b2a404115e814c41ba55ce0728ddfb33"/>
                              <w:lock w:val="sdtLocked"/>
                              <w:richText/>
                            </w:sdtPr>
                            <w:sdtContent>
                              <w:r>
                                <w:rPr>
                                  <w:rFonts w:eastAsia="HG Mincho Light J"/>
                                  <w:szCs w:val="24"/>
                                  <w:lang w:eastAsia="lt-LT"/>
                                </w:rPr>
                                <w:t>1.1</w:t>
                              </w:r>
                            </w:sdtContent>
                          </w:sdt>
                          <w:r>
                            <w:rPr>
                              <w:rFonts w:eastAsia="HG Mincho Light J"/>
                              <w:szCs w:val="24"/>
                              <w:lang w:eastAsia="lt-LT"/>
                            </w:rPr>
                            <w:tab/>
                          </w:r>
                          <w:r>
                            <w:t xml:space="preserve">5,4 tūkst. Eur mažinamos </w:t>
                          </w:r>
                          <w:r>
                            <w:rPr>
                              <w:lang w:eastAsia="ar-SA"/>
                            </w:rPr>
                            <w:t xml:space="preserve">Savivaldybės valdymo programos (01) lėšos valstybinėms funkcijoms atlikti (VB(VF): mažinama 7,0 tūkst. Eur socialinės globos administravimui ir 8,5 tūkst. Eur būsto nuomos mokesčio dalies kompensacijai ir jos administravimui bei didinama 0,2 tūkst. Eur neveiksnių asmenų būklės peržiūrėjimo užtikrinimui ir 9,9 tūkst. Eur jaunimo politikos įgyvendinimui. </w:t>
                          </w:r>
                          <w:r>
                            <w:t>Asignavimų valdytojas – Administracija (raštas Nr. GF-251, raštas Nr. GF-257, raštas Nr. GF-259 ir raštas Nr. GF-290);</w:t>
                          </w:r>
                        </w:p>
                      </w:sdtContent>
                    </w:sdt>
                    <w:sdt>
                      <w:sdtPr>
                        <w:alias w:val="1.2 pp."/>
                        <w:tag w:val="part_c4cc56b169b64274b70bff30c1b9a7f5"/>
                        <w:lock w:val="sdtLocked"/>
                        <w:richText/>
                      </w:sdtPr>
                      <w:sdtContent>
                        <w:p w14:paraId="3E9E4453" w14:textId="04355967">
                          <w:pPr>
                            <w:ind w:firstLine="710"/>
                            <w:jc w:val="both"/>
                          </w:pPr>
                          <w:sdt>
                            <w:sdtPr>
                              <w:alias w:val="Numeris"/>
                              <w:tag w:val="nr_c4cc56b169b64274b70bff30c1b9a7f5"/>
                              <w:lock w:val="sdtLocked"/>
                              <w:richText/>
                            </w:sdtPr>
                            <w:sdtContent>
                              <w:r>
                                <w:rPr>
                                  <w:rFonts w:eastAsia="HG Mincho Light J"/>
                                  <w:szCs w:val="24"/>
                                  <w:lang w:eastAsia="lt-LT"/>
                                </w:rPr>
                                <w:t>1.2</w:t>
                              </w:r>
                            </w:sdtContent>
                          </w:sdt>
                          <w:r>
                            <w:rPr>
                              <w:rFonts w:eastAsia="HG Mincho Light J"/>
                              <w:szCs w:val="24"/>
                              <w:lang w:eastAsia="lt-LT"/>
                            </w:rPr>
                            <w:tab/>
                          </w:r>
                          <w:r>
                            <w:t xml:space="preserve">3,1 tūkst. Eur didinamos </w:t>
                          </w:r>
                          <w:r>
                            <w:rPr>
                              <w:lang w:eastAsia="ar-SA"/>
                            </w:rPr>
                            <w:t xml:space="preserve">Savivaldybės valdymo programos (01) valstybės </w:t>
                          </w:r>
                          <w:r>
                            <w:t>biudžeto lėšos (VB) skirtos būsto nuomos mokesčio dalies kompensacijai užsieniečiams, pasitraukusiems iš Ukrainos dėl Rusijos Federacijos karinių veiksmų Ukrainoje. Asignavimų valdytojas – Administracija (raštas Nr. GF-279);</w:t>
                          </w:r>
                        </w:p>
                      </w:sdtContent>
                    </w:sdt>
                    <w:sdt>
                      <w:sdtPr>
                        <w:alias w:val="1.3 pp."/>
                        <w:tag w:val="part_9177c48e349d4a649c531a897d030015"/>
                        <w:lock w:val="sdtLocked"/>
                        <w:richText/>
                      </w:sdtPr>
                      <w:sdtContent>
                        <w:p w14:paraId="4B7676FB" w14:textId="72B588E2">
                          <w:pPr>
                            <w:ind w:firstLine="710"/>
                            <w:jc w:val="both"/>
                          </w:pPr>
                          <w:sdt>
                            <w:sdtPr>
                              <w:alias w:val="Numeris"/>
                              <w:tag w:val="nr_9177c48e349d4a649c531a897d030015"/>
                              <w:lock w:val="sdtLocked"/>
                              <w:richText/>
                            </w:sdtPr>
                            <w:sdtContent>
                              <w:r>
                                <w:rPr>
                                  <w:rFonts w:eastAsia="HG Mincho Light J"/>
                                  <w:szCs w:val="24"/>
                                  <w:lang w:eastAsia="lt-LT"/>
                                </w:rPr>
                                <w:t>1.3</w:t>
                              </w:r>
                            </w:sdtContent>
                          </w:sdt>
                          <w:r>
                            <w:rPr>
                              <w:rFonts w:eastAsia="HG Mincho Light J"/>
                              <w:szCs w:val="24"/>
                              <w:lang w:eastAsia="lt-LT"/>
                            </w:rPr>
                            <w:tab/>
                          </w:r>
                          <w:r>
                            <w:t>1 662,0 tūkst. Eur didinamos Urbanistinės plėtros ir infrastruktūros programos (04) Europos Sąjungos lėšos (ES) skirtos projektų „Eismo saugumo gerinimas Šiaulių mieste, šalinant juodąsias dėmes“ ir „Vientiso dviračių takų tinklo kūrimas integruojant be variklį transportą į bendrą transporto sistemą Šiaulių mieste“ vykdymui. Asignavimų valdytojas – Administracija (raštas Nr. GF-272);</w:t>
                          </w:r>
                        </w:p>
                      </w:sdtContent>
                    </w:sdt>
                    <w:sdt>
                      <w:sdtPr>
                        <w:alias w:val="1.4 pp."/>
                        <w:tag w:val="part_81e45a6dcdd041089bcc1a991d340df7"/>
                        <w:lock w:val="sdtLocked"/>
                        <w:richText/>
                      </w:sdtPr>
                      <w:sdtContent>
                        <w:p w14:paraId="2110448A" w14:textId="25638BB8">
                          <w:pPr>
                            <w:ind w:firstLine="710"/>
                            <w:jc w:val="both"/>
                          </w:pPr>
                          <w:sdt>
                            <w:sdtPr>
                              <w:alias w:val="Numeris"/>
                              <w:tag w:val="nr_81e45a6dcdd041089bcc1a991d340df7"/>
                              <w:lock w:val="sdtLocked"/>
                              <w:richText/>
                            </w:sdtPr>
                            <w:sdtContent>
                              <w:r>
                                <w:rPr>
                                  <w:rFonts w:eastAsia="HG Mincho Light J"/>
                                  <w:szCs w:val="24"/>
                                  <w:lang w:eastAsia="lt-LT"/>
                                </w:rPr>
                                <w:t>1.4</w:t>
                              </w:r>
                            </w:sdtContent>
                          </w:sdt>
                          <w:r>
                            <w:rPr>
                              <w:rFonts w:eastAsia="HG Mincho Light J"/>
                              <w:szCs w:val="24"/>
                              <w:lang w:eastAsia="lt-LT"/>
                            </w:rPr>
                            <w:tab/>
                          </w:r>
                          <w:r>
                            <w:t>2,0 tūkst. Eur didinamos Urbanistinės plėtros ir infrastruktūros programos (04) valstybės biudžeto lėšos (VB) skirtos miesto kapinių valdymo informacinės sistemos sukūrimui ir įdiegimui. Asignavimų valdytojas – Administracija (raštas Nr. GF-297);</w:t>
                          </w:r>
                        </w:p>
                      </w:sdtContent>
                    </w:sdt>
                    <w:sdt>
                      <w:sdtPr>
                        <w:alias w:val="1.5 pp."/>
                        <w:tag w:val="part_7d2c5114c59b44caac35ef16a7bce911"/>
                        <w:lock w:val="sdtLocked"/>
                        <w:richText/>
                      </w:sdtPr>
                      <w:sdtContent>
                        <w:p w14:paraId="5F4651E4" w14:textId="0ADED52A">
                          <w:pPr>
                            <w:ind w:firstLine="710"/>
                            <w:jc w:val="both"/>
                          </w:pPr>
                          <w:sdt>
                            <w:sdtPr>
                              <w:alias w:val="Numeris"/>
                              <w:tag w:val="nr_7d2c5114c59b44caac35ef16a7bce911"/>
                              <w:lock w:val="sdtLocked"/>
                              <w:richText/>
                            </w:sdtPr>
                            <w:sdtContent>
                              <w:r>
                                <w:rPr>
                                  <w:rFonts w:eastAsia="HG Mincho Light J"/>
                                  <w:szCs w:val="24"/>
                                  <w:lang w:eastAsia="lt-LT"/>
                                </w:rPr>
                                <w:t>1.5</w:t>
                              </w:r>
                            </w:sdtContent>
                          </w:sdt>
                          <w:r>
                            <w:rPr>
                              <w:rFonts w:eastAsia="HG Mincho Light J"/>
                              <w:szCs w:val="24"/>
                              <w:lang w:eastAsia="lt-LT"/>
                            </w:rPr>
                            <w:tab/>
                          </w:r>
                          <w:r>
                            <w:t xml:space="preserve">1 370,0 tūkst. Eur mažinamos Urbanistinės plėtros ir infrastruktūros programos (04) paskolos lėšos (PS) skirtos projektų įgyvendinimui taip: 1 358,6 tūkst. Eur projektui „Vykdyti naujų magistralinių gatvių suprojektavimo ir nutiesimo, susisiekimo komunikacijų įrengimo, rekonstravimo ir remonto darbus“ ir 11,4 tūkst. Eur projektui „Suprojektuoti, nutiesti, išasfaltuoti ar rekonstruoti žvyruotas gatves“. Asignavimų valdytojas – Administracija (raštas Nr. GF-288); </w:t>
                          </w:r>
                        </w:p>
                      </w:sdtContent>
                    </w:sdt>
                    <w:sdt>
                      <w:sdtPr>
                        <w:alias w:val="1.6 pp."/>
                        <w:tag w:val="part_a752f531f32948f0acca55bdacb80adc"/>
                        <w:lock w:val="sdtLocked"/>
                        <w:richText/>
                      </w:sdtPr>
                      <w:sdtContent>
                        <w:p w14:paraId="17DE2115" w14:textId="0634EC85">
                          <w:pPr>
                            <w:ind w:firstLine="710"/>
                            <w:jc w:val="both"/>
                          </w:pPr>
                          <w:sdt>
                            <w:sdtPr>
                              <w:alias w:val="Numeris"/>
                              <w:tag w:val="nr_a752f531f32948f0acca55bdacb80adc"/>
                              <w:lock w:val="sdtLocked"/>
                              <w:richText/>
                            </w:sdtPr>
                            <w:sdtContent>
                              <w:r>
                                <w:rPr>
                                  <w:rFonts w:eastAsia="HG Mincho Light J"/>
                                  <w:szCs w:val="24"/>
                                  <w:lang w:eastAsia="lt-LT"/>
                                </w:rPr>
                                <w:t>1.6</w:t>
                              </w:r>
                            </w:sdtContent>
                          </w:sdt>
                          <w:r>
                            <w:rPr>
                              <w:rFonts w:eastAsia="HG Mincho Light J"/>
                              <w:szCs w:val="24"/>
                              <w:lang w:eastAsia="lt-LT"/>
                            </w:rPr>
                            <w:tab/>
                          </w:r>
                          <w:r>
                            <w:t>130,4 tūkst. Eur didinamos Socialinės apsaugos programos (06) valstybės biudžeto lėšos (VB) skirtos: 140,7 tūkst. Eur didinamos lėšos būsto pritaikymo asmenims turintiems negalią programos įgyvendinimui, 10,9 tūkst. Eur mažinamos lėšos, skirtos socialinių paslaugų prieinamumui ir 0,6 tūkst. Eur didinamos lėšos, skirtos laidojimo pašalpos mokėjimui. Asignavimų valdytojas – Administracija (raštas Nr. GF-251, raštas Nr. GF-269 ir raštas Nr. GF-299);</w:t>
                          </w:r>
                        </w:p>
                      </w:sdtContent>
                    </w:sdt>
                    <w:sdt>
                      <w:sdtPr>
                        <w:alias w:val="1.7 pp."/>
                        <w:tag w:val="part_128f111e6a754485bbfd729b41d8ea43"/>
                        <w:lock w:val="sdtLocked"/>
                        <w:richText/>
                      </w:sdtPr>
                      <w:sdtContent>
                        <w:p w14:paraId="49AD96D9" w14:textId="16BBF7B1">
                          <w:pPr>
                            <w:ind w:firstLine="710"/>
                            <w:jc w:val="both"/>
                          </w:pPr>
                          <w:sdt>
                            <w:sdtPr>
                              <w:alias w:val="Numeris"/>
                              <w:tag w:val="nr_128f111e6a754485bbfd729b41d8ea43"/>
                              <w:lock w:val="sdtLocked"/>
                              <w:richText/>
                            </w:sdtPr>
                            <w:sdtContent>
                              <w:r>
                                <w:rPr>
                                  <w:rFonts w:eastAsia="HG Mincho Light J"/>
                                  <w:szCs w:val="24"/>
                                  <w:lang w:eastAsia="lt-LT"/>
                                </w:rPr>
                                <w:t>1.7</w:t>
                              </w:r>
                            </w:sdtContent>
                          </w:sdt>
                          <w:r>
                            <w:rPr>
                              <w:rFonts w:eastAsia="HG Mincho Light J"/>
                              <w:szCs w:val="24"/>
                              <w:lang w:eastAsia="lt-LT"/>
                            </w:rPr>
                            <w:tab/>
                          </w:r>
                          <w:r>
                            <w:t>359,4 tūkst. Eur mažinamos Socialinės apsaugos programos (06)</w:t>
                          </w:r>
                          <w:r>
                            <w:rPr>
                              <w:lang w:eastAsia="ar-SA"/>
                            </w:rPr>
                            <w:t xml:space="preserve"> lėšos valstybinėms funkcijoms atlikti (VB(VF) skirtos socialinės globos teikimui asmenims su sunkia negalia. Pagal asignavimų valdytojus lėšos mažinamos taip: 350,0 tūkst. Eur </w:t>
                          </w:r>
                          <w:r>
                            <w:t>asignavimų valdytojas – Administracija, 7,0 tūkst. Eur asignavimų valdytojas – Socialinių paslaugų centras ir 2,4 tūkst. Eur asignavimų valdytojas – Šiaulių miesto šeimos centras</w:t>
                          </w:r>
                          <w:r>
                            <w:rPr>
                              <w:lang w:eastAsia="ar-SA"/>
                            </w:rPr>
                            <w:t xml:space="preserve"> </w:t>
                          </w:r>
                          <w:r>
                            <w:t>(raštas Nr. GF-251);</w:t>
                          </w:r>
                        </w:p>
                      </w:sdtContent>
                    </w:sdt>
                    <w:sdt>
                      <w:sdtPr>
                        <w:alias w:val="1.8 pp."/>
                        <w:tag w:val="part_02c14f622fd04825aa14491585c54d70"/>
                        <w:lock w:val="sdtLocked"/>
                        <w:richText/>
                      </w:sdtPr>
                      <w:sdtContent>
                        <w:p w14:paraId="60B229E8" w14:textId="3D0F7FB6">
                          <w:pPr>
                            <w:ind w:firstLine="710"/>
                            <w:jc w:val="both"/>
                          </w:pPr>
                          <w:sdt>
                            <w:sdtPr>
                              <w:alias w:val="Numeris"/>
                              <w:tag w:val="nr_02c14f622fd04825aa14491585c54d70"/>
                              <w:lock w:val="sdtLocked"/>
                              <w:richText/>
                            </w:sdtPr>
                            <w:sdtContent>
                              <w:r>
                                <w:rPr>
                                  <w:rFonts w:eastAsia="HG Mincho Light J"/>
                                  <w:szCs w:val="24"/>
                                  <w:lang w:eastAsia="lt-LT"/>
                                </w:rPr>
                                <w:t>1.8</w:t>
                              </w:r>
                            </w:sdtContent>
                          </w:sdt>
                          <w:r>
                            <w:rPr>
                              <w:rFonts w:eastAsia="HG Mincho Light J"/>
                              <w:szCs w:val="24"/>
                              <w:lang w:eastAsia="lt-LT"/>
                            </w:rPr>
                            <w:tab/>
                          </w:r>
                          <w:r>
                            <w:t xml:space="preserve">303,5 tūkst. Eur didinamos Sporto programos (07) valstybės biudžeto lėšos (VB) skirtos projekto „Bendrojo ugdymo, neformaliojo ugdymo ir kitų viešųjų paslaugų teikimui trūkstamos infrastruktūros sukūrimas, adresu J. Jablonskio g. 14, Šiauliai“ įgyvendinimui. Asignavimų valdytojas – Administracija (raštas Nr. GF-253); </w:t>
                          </w:r>
                        </w:p>
                      </w:sdtContent>
                    </w:sdt>
                    <w:sdt>
                      <w:sdtPr>
                        <w:alias w:val="1.9 pp."/>
                        <w:tag w:val="part_db57b578e948436e8a204244d7582f38"/>
                        <w:lock w:val="sdtLocked"/>
                        <w:richText/>
                      </w:sdtPr>
                      <w:sdtContent>
                        <w:p w14:paraId="6B82BD2B" w14:textId="46523111">
                          <w:pPr>
                            <w:ind w:firstLine="710"/>
                            <w:jc w:val="both"/>
                          </w:pPr>
                          <w:sdt>
                            <w:sdtPr>
                              <w:alias w:val="Numeris"/>
                              <w:tag w:val="nr_db57b578e948436e8a204244d7582f38"/>
                              <w:lock w:val="sdtLocked"/>
                              <w:richText/>
                            </w:sdtPr>
                            <w:sdtContent>
                              <w:r>
                                <w:rPr>
                                  <w:rFonts w:eastAsia="HG Mincho Light J"/>
                                  <w:szCs w:val="24"/>
                                  <w:lang w:eastAsia="lt-LT"/>
                                </w:rPr>
                                <w:t>1.9</w:t>
                              </w:r>
                            </w:sdtContent>
                          </w:sdt>
                          <w:r>
                            <w:rPr>
                              <w:rFonts w:eastAsia="HG Mincho Light J"/>
                              <w:szCs w:val="24"/>
                              <w:lang w:eastAsia="lt-LT"/>
                            </w:rPr>
                            <w:tab/>
                          </w:r>
                          <w:r>
                            <w:t>1 356,2 tūkst. Eur didinamos Sporto programos (07) Europos Sąjungos lėšos (ES) skirtos projekto „Bendrojo ugdymo, neformaliojo ugdymo ir kitų viešųjų paslaugų teikimui trūkstamos infrastruktūros sukūrimas, adresu J. Jablonskio g. 14, Šiauliai“ įgyvendinimui. Asignavimų valdytojas – Administracija (raštas Nr. GF-285);</w:t>
                          </w:r>
                        </w:p>
                      </w:sdtContent>
                    </w:sdt>
                    <w:sdt>
                      <w:sdtPr>
                        <w:alias w:val="1.10 pp."/>
                        <w:tag w:val="part_638cf69cbd354f9b92c2c815b7ba8927"/>
                        <w:lock w:val="sdtLocked"/>
                        <w:richText/>
                      </w:sdtPr>
                      <w:sdtContent>
                        <w:p w14:paraId="1D10A971" w14:textId="7CB2201F">
                          <w:pPr>
                            <w:ind w:firstLine="710"/>
                            <w:jc w:val="both"/>
                          </w:pPr>
                          <w:sdt>
                            <w:sdtPr>
                              <w:alias w:val="Numeris"/>
                              <w:tag w:val="nr_638cf69cbd354f9b92c2c815b7ba8927"/>
                              <w:lock w:val="sdtLocked"/>
                              <w:richText/>
                            </w:sdtPr>
                            <w:sdtContent>
                              <w:r>
                                <w:rPr>
                                  <w:rFonts w:eastAsia="HG Mincho Light J"/>
                                  <w:szCs w:val="24"/>
                                  <w:lang w:eastAsia="lt-LT"/>
                                </w:rPr>
                                <w:t>1.10</w:t>
                              </w:r>
                            </w:sdtContent>
                          </w:sdt>
                          <w:r>
                            <w:rPr>
                              <w:rFonts w:eastAsia="HG Mincho Light J"/>
                              <w:szCs w:val="24"/>
                              <w:lang w:eastAsia="lt-LT"/>
                            </w:rPr>
                            <w:tab/>
                          </w:r>
                          <w:r>
                            <w:t>3 130,0 tūkst. Eur mažinamos Sporto programos (07) paskolos lėšos (PS) skirtos projekto „Bendrojo ugdymo, neformaliojo ugdymo ir kitų viešųjų paslaugų teikimui trūkstamos infrastruktūros sukūrimas, adresu J. Jablonskio g. 14, Šiauliai“ įgyvendinimui. Asignavimų valdytojas – Administracija (SPG posėdžio protokolas Nr. VM-403);</w:t>
                          </w:r>
                        </w:p>
                      </w:sdtContent>
                    </w:sdt>
                    <w:sdt>
                      <w:sdtPr>
                        <w:alias w:val="1.11 pp."/>
                        <w:tag w:val="part_125f7279638b418e8786f8ac82fc6d13"/>
                        <w:lock w:val="sdtLocked"/>
                        <w:richText/>
                      </w:sdtPr>
                      <w:sdtContent>
                        <w:p w14:paraId="149C824F" w14:textId="572B7139">
                          <w:pPr>
                            <w:ind w:firstLine="710"/>
                            <w:jc w:val="both"/>
                          </w:pPr>
                          <w:sdt>
                            <w:sdtPr>
                              <w:alias w:val="Numeris"/>
                              <w:tag w:val="nr_125f7279638b418e8786f8ac82fc6d13"/>
                              <w:lock w:val="sdtLocked"/>
                              <w:richText/>
                            </w:sdtPr>
                            <w:sdtContent>
                              <w:r>
                                <w:rPr>
                                  <w:rFonts w:eastAsia="HG Mincho Light J"/>
                                  <w:szCs w:val="24"/>
                                  <w:lang w:eastAsia="lt-LT"/>
                                </w:rPr>
                                <w:t>1.11</w:t>
                              </w:r>
                            </w:sdtContent>
                          </w:sdt>
                          <w:r>
                            <w:rPr>
                              <w:rFonts w:eastAsia="HG Mincho Light J"/>
                              <w:szCs w:val="24"/>
                              <w:lang w:eastAsia="lt-LT"/>
                            </w:rPr>
                            <w:tab/>
                          </w:r>
                          <w:r>
                            <w:t>1 595,7 tūkst. Eur didinamos Švietimo programos (08) ugdymo lėšos (VB(ML) skirtos ugdymo reikmėms finansuoti. Pagal asignavimų valdytojus lėšų paskirstymas pateiktas aiškinamojo rašto 1 lentelėje (raštas Nr. GF-250 ir raštas Nr. GF-249);</w:t>
                          </w:r>
                        </w:p>
                      </w:sdtContent>
                    </w:sdt>
                    <w:sdt>
                      <w:sdtPr>
                        <w:alias w:val="1.12 pp."/>
                        <w:tag w:val="part_044afbb83bfa4b4db5b9a64e83759acf"/>
                        <w:lock w:val="sdtLocked"/>
                        <w:richText/>
                      </w:sdtPr>
                      <w:sdtContent>
                        <w:p w14:paraId="195A2DFE" w14:textId="63C17B6D">
                          <w:pPr>
                            <w:ind w:firstLine="710"/>
                            <w:jc w:val="both"/>
                          </w:pPr>
                          <w:sdt>
                            <w:sdtPr>
                              <w:alias w:val="Numeris"/>
                              <w:tag w:val="nr_044afbb83bfa4b4db5b9a64e83759acf"/>
                              <w:lock w:val="sdtLocked"/>
                              <w:richText/>
                            </w:sdtPr>
                            <w:sdtContent>
                              <w:r>
                                <w:rPr>
                                  <w:rFonts w:eastAsia="HG Mincho Light J"/>
                                  <w:szCs w:val="24"/>
                                  <w:lang w:eastAsia="lt-LT"/>
                                </w:rPr>
                                <w:t>1.12</w:t>
                              </w:r>
                            </w:sdtContent>
                          </w:sdt>
                          <w:r>
                            <w:rPr>
                              <w:rFonts w:eastAsia="HG Mincho Light J"/>
                              <w:szCs w:val="24"/>
                              <w:lang w:eastAsia="lt-LT"/>
                            </w:rPr>
                            <w:tab/>
                          </w:r>
                          <w:r>
                            <w:t>428,2</w:t>
                          </w:r>
                          <w:r>
                            <w:rPr>
                              <w:color w:val="EE0000"/>
                            </w:rPr>
                            <w:t xml:space="preserve"> </w:t>
                          </w:r>
                          <w:r>
                            <w:t xml:space="preserve">tūkst. Eur didinamos įstaigų pajamų lėšos (PL). Lėšos pagal asignavimų valdytojus pateikto aiškinamojo rašto 2 lentelėje. </w:t>
                          </w:r>
                        </w:p>
                      </w:sdtContent>
                    </w:sdt>
                  </w:sdtContent>
                </w:sdt>
                <w:sdt>
                  <w:sdtPr>
                    <w:alias w:val="2 p."/>
                    <w:tag w:val="part_69b4268a28af44dfae5020c1a1e62971"/>
                    <w:lock w:val="sdtLocked"/>
                    <w:richText/>
                  </w:sdtPr>
                  <w:sdtContent>
                    <w:p w14:paraId="785D1FE7" w14:textId="7D1E6388">
                      <w:pPr>
                        <w:ind w:firstLine="567"/>
                        <w:jc w:val="both"/>
                        <w:rPr>
                          <w:b/>
                          <w:bCs/>
                        </w:rPr>
                      </w:pPr>
                      <w:sdt>
                        <w:sdtPr>
                          <w:alias w:val="Numeris"/>
                          <w:tag w:val="nr_69b4268a28af44dfae5020c1a1e62971"/>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3 423,1</w:t>
                      </w:r>
                      <w:r>
                        <w:rPr>
                          <w:b/>
                          <w:color w:val="EE0000"/>
                        </w:rPr>
                        <w:t xml:space="preserve"> </w:t>
                      </w:r>
                      <w:r>
                        <w:rPr>
                          <w:b/>
                        </w:rPr>
                        <w:t>tūkst. Eur perskirstomi patvirtinti asignavimai tarp programų ir asignavimų valdytojų taip:</w:t>
                      </w:r>
                    </w:p>
                    <w:sdt>
                      <w:sdtPr>
                        <w:alias w:val="2.1 pp."/>
                        <w:tag w:val="part_9f021426392646bc8af646ab8ea85948"/>
                        <w:lock w:val="sdtLocked"/>
                        <w:richText/>
                      </w:sdtPr>
                      <w:sdtContent>
                        <w:p w14:paraId="1624890B" w14:textId="7E4926F8">
                          <w:pPr>
                            <w:ind w:firstLine="710"/>
                            <w:jc w:val="both"/>
                          </w:pPr>
                          <w:sdt>
                            <w:sdtPr>
                              <w:alias w:val="Numeris"/>
                              <w:tag w:val="nr_9f021426392646bc8af646ab8ea85948"/>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rPr>
                              <w:bCs/>
                            </w:rPr>
                            <w:t xml:space="preserve">3 345,3 </w:t>
                          </w:r>
                          <w:r>
                            <w:t>tūkst. Eur perskirstomi tarp programų ir asignavimų valdytojų taip:</w:t>
                          </w:r>
                        </w:p>
                        <w:p w14:paraId="26FD2873" w14:textId="77777777">
                          <w:pPr>
                            <w:jc w:val="both"/>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134"/>
                            <w:gridCol w:w="1276"/>
                            <w:gridCol w:w="1276"/>
                            <w:gridCol w:w="4252"/>
                          </w:tblGrid>
                          <w:tr w14:paraId="52A61865" w14:textId="77777777">
                            <w:tc>
                              <w:tcPr>
                                <w:tcW w:w="1838" w:type="dxa"/>
                              </w:tcPr>
                              <w:p w14:paraId="04835966" w14:textId="37D43B63">
                                <w:pPr>
                                  <w:tabs>
                                    <w:tab w:val="left" w:pos="855"/>
                                  </w:tabs>
                                  <w:jc w:val="center"/>
                                  <w:rPr>
                                    <w:szCs w:val="24"/>
                                    <w:lang w:eastAsia="ar-SA"/>
                                  </w:rPr>
                                </w:pPr>
                                <w:r>
                                  <w:rPr>
                                    <w:szCs w:val="24"/>
                                    <w:lang w:eastAsia="ar-SA"/>
                                  </w:rPr>
                                  <w:t>Programos pavadinimas</w:t>
                                </w:r>
                              </w:p>
                            </w:tc>
                            <w:tc>
                              <w:tcPr>
                                <w:tcW w:w="1134" w:type="dxa"/>
                              </w:tcPr>
                              <w:p w14:paraId="078F3450" w14:textId="77777777">
                                <w:pPr>
                                  <w:tabs>
                                    <w:tab w:val="left" w:pos="855"/>
                                  </w:tabs>
                                  <w:jc w:val="center"/>
                                  <w:rPr>
                                    <w:szCs w:val="24"/>
                                    <w:lang w:eastAsia="ar-SA"/>
                                  </w:rPr>
                                </w:pPr>
                                <w:r>
                                  <w:rPr>
                                    <w:szCs w:val="24"/>
                                    <w:lang w:eastAsia="ar-SA"/>
                                  </w:rPr>
                                  <w:t>Lėšų šaltinis</w:t>
                                </w:r>
                              </w:p>
                            </w:tc>
                            <w:tc>
                              <w:tcPr>
                                <w:tcW w:w="1276" w:type="dxa"/>
                              </w:tcPr>
                              <w:p w14:paraId="1BD69CB5" w14:textId="77777777">
                                <w:pPr>
                                  <w:tabs>
                                    <w:tab w:val="left" w:pos="855"/>
                                  </w:tabs>
                                  <w:jc w:val="center"/>
                                  <w:rPr>
                                    <w:szCs w:val="24"/>
                                    <w:lang w:eastAsia="ar-SA"/>
                                  </w:rPr>
                                </w:pPr>
                                <w:r>
                                  <w:rPr>
                                    <w:szCs w:val="24"/>
                                    <w:lang w:eastAsia="ar-SA"/>
                                  </w:rPr>
                                  <w:t xml:space="preserve">Mažinama </w:t>
                                </w:r>
                                <w:r>
                                  <w:rPr>
                                    <w:sz w:val="22"/>
                                    <w:szCs w:val="22"/>
                                    <w:lang w:eastAsia="ar-SA"/>
                                  </w:rPr>
                                  <w:t>(tūkst. Eur)</w:t>
                                </w:r>
                              </w:p>
                            </w:tc>
                            <w:tc>
                              <w:tcPr>
                                <w:tcW w:w="1276" w:type="dxa"/>
                              </w:tcPr>
                              <w:p w14:paraId="134695B6" w14:textId="2D4AC98A">
                                <w:pPr>
                                  <w:tabs>
                                    <w:tab w:val="left" w:pos="855"/>
                                  </w:tabs>
                                  <w:jc w:val="center"/>
                                  <w:rPr>
                                    <w:szCs w:val="24"/>
                                    <w:lang w:eastAsia="ar-SA"/>
                                  </w:rPr>
                                </w:pPr>
                                <w:r>
                                  <w:rPr>
                                    <w:szCs w:val="24"/>
                                    <w:lang w:eastAsia="ar-SA"/>
                                  </w:rPr>
                                  <w:t>Didinama (</w:t>
                                </w:r>
                                <w:r>
                                  <w:rPr>
                                    <w:sz w:val="22"/>
                                    <w:szCs w:val="22"/>
                                    <w:lang w:eastAsia="ar-SA"/>
                                  </w:rPr>
                                  <w:t>tūkst. Eur)</w:t>
                                </w:r>
                              </w:p>
                            </w:tc>
                            <w:tc>
                              <w:tcPr>
                                <w:tcW w:w="4252" w:type="dxa"/>
                              </w:tcPr>
                              <w:p w14:paraId="15EA2550" w14:textId="77777777">
                                <w:pPr>
                                  <w:tabs>
                                    <w:tab w:val="left" w:pos="855"/>
                                  </w:tabs>
                                  <w:jc w:val="center"/>
                                  <w:rPr>
                                    <w:szCs w:val="24"/>
                                    <w:lang w:eastAsia="ar-SA"/>
                                  </w:rPr>
                                </w:pPr>
                                <w:r>
                                  <w:rPr>
                                    <w:szCs w:val="24"/>
                                    <w:lang w:eastAsia="ar-SA"/>
                                  </w:rPr>
                                  <w:t>Mažinimo/didinimo priežastys</w:t>
                                </w:r>
                              </w:p>
                            </w:tc>
                          </w:tr>
                          <w:tr w14:paraId="323C596E" w14:textId="77777777">
                            <w:trPr>
                              <w:trHeight w:val="537"/>
                            </w:trPr>
                            <w:tc>
                              <w:tcPr>
                                <w:tcW w:w="1838" w:type="dxa"/>
                                <w:vMerge w:val="restart"/>
                              </w:tcPr>
                              <w:p w14:paraId="04DCDABB" w14:textId="77777777">
                                <w:pPr>
                                  <w:tabs>
                                    <w:tab w:val="left" w:pos="855"/>
                                  </w:tabs>
                                  <w:jc w:val="both"/>
                                  <w:rPr>
                                    <w:szCs w:val="24"/>
                                    <w:lang w:eastAsia="ar-SA"/>
                                  </w:rPr>
                                </w:pPr>
                                <w:r>
                                  <w:rPr>
                                    <w:szCs w:val="24"/>
                                    <w:lang w:eastAsia="ar-SA"/>
                                  </w:rPr>
                                  <w:t>Savivaldybės valdymo programa</w:t>
                                </w:r>
                              </w:p>
                              <w:p w14:paraId="1EAA3257" w14:textId="27BFF886">
                                <w:pPr>
                                  <w:tabs>
                                    <w:tab w:val="left" w:pos="855"/>
                                  </w:tabs>
                                  <w:jc w:val="both"/>
                                  <w:rPr>
                                    <w:szCs w:val="24"/>
                                    <w:lang w:eastAsia="ar-SA"/>
                                  </w:rPr>
                                </w:pPr>
                                <w:r>
                                  <w:rPr>
                                    <w:szCs w:val="24"/>
                                    <w:lang w:eastAsia="ar-SA"/>
                                  </w:rPr>
                                  <w:t>(01)</w:t>
                                </w:r>
                              </w:p>
                            </w:tc>
                            <w:tc>
                              <w:tcPr>
                                <w:tcW w:w="1134" w:type="dxa"/>
                              </w:tcPr>
                              <w:p w14:paraId="0259FFE3" w14:textId="4ECA4A2E">
                                <w:pPr>
                                  <w:tabs>
                                    <w:tab w:val="left" w:pos="855"/>
                                  </w:tabs>
                                  <w:jc w:val="center"/>
                                  <w:rPr>
                                    <w:szCs w:val="24"/>
                                    <w:lang w:eastAsia="ar-SA"/>
                                  </w:rPr>
                                </w:pPr>
                                <w:r>
                                  <w:rPr>
                                    <w:szCs w:val="24"/>
                                    <w:lang w:eastAsia="ar-SA"/>
                                  </w:rPr>
                                  <w:t>SB</w:t>
                                </w:r>
                              </w:p>
                            </w:tc>
                            <w:tc>
                              <w:tcPr>
                                <w:tcW w:w="1276" w:type="dxa"/>
                              </w:tcPr>
                              <w:p w14:paraId="51BA577E" w14:textId="30CDC9BC">
                                <w:pPr>
                                  <w:tabs>
                                    <w:tab w:val="left" w:pos="855"/>
                                  </w:tabs>
                                  <w:rPr>
                                    <w:szCs w:val="24"/>
                                    <w:lang w:eastAsia="ar-SA"/>
                                  </w:rPr>
                                </w:pPr>
                                <w:r>
                                  <w:rPr>
                                    <w:szCs w:val="24"/>
                                    <w:lang w:eastAsia="ar-SA"/>
                                  </w:rPr>
                                  <w:t>2 873,8</w:t>
                                </w:r>
                              </w:p>
                            </w:tc>
                            <w:tc>
                              <w:tcPr>
                                <w:tcW w:w="1276" w:type="dxa"/>
                              </w:tcPr>
                              <w:p w14:paraId="74BB672C" w14:textId="77777777">
                                <w:pPr>
                                  <w:tabs>
                                    <w:tab w:val="left" w:pos="855"/>
                                  </w:tabs>
                                  <w:jc w:val="center"/>
                                  <w:rPr>
                                    <w:szCs w:val="24"/>
                                    <w:lang w:eastAsia="ar-SA"/>
                                  </w:rPr>
                                </w:pPr>
                              </w:p>
                            </w:tc>
                            <w:tc>
                              <w:tcPr>
                                <w:tcW w:w="4252" w:type="dxa"/>
                                <w:vMerge w:val="restart"/>
                              </w:tcPr>
                              <w:p w14:paraId="5471F121" w14:textId="75C3CFCE">
                                <w:pPr>
                                  <w:tabs>
                                    <w:tab w:val="left" w:pos="855"/>
                                  </w:tabs>
                                  <w:jc w:val="both"/>
                                  <w:rPr>
                                    <w:szCs w:val="24"/>
                                    <w:lang w:eastAsia="ar-SA"/>
                                  </w:rPr>
                                </w:pPr>
                                <w:r>
                                  <w:t xml:space="preserve">Mažinamos lėšos, skirtos </w:t>
                                </w:r>
                                <w:r>
                                  <w:rPr>
                                    <w:szCs w:val="24"/>
                                    <w:lang w:eastAsia="ar-SA"/>
                                  </w:rPr>
                                  <w:t>nenumatytų būtinų darbų atlikimui. Asignavimų valdytojas – Administracija (SPG protokolai Nr. VM-387 ir Nr. VM-403)</w:t>
                                </w:r>
                              </w:p>
                            </w:tc>
                          </w:tr>
                          <w:tr w14:paraId="704448C8" w14:textId="77777777">
                            <w:trPr>
                              <w:trHeight w:val="699"/>
                            </w:trPr>
                            <w:tc>
                              <w:tcPr>
                                <w:tcW w:w="1838" w:type="dxa"/>
                                <w:vMerge/>
                              </w:tcPr>
                              <w:p w14:paraId="01485870" w14:textId="77777777">
                                <w:pPr>
                                  <w:tabs>
                                    <w:tab w:val="left" w:pos="855"/>
                                  </w:tabs>
                                  <w:jc w:val="both"/>
                                  <w:rPr>
                                    <w:szCs w:val="24"/>
                                    <w:lang w:eastAsia="ar-SA"/>
                                  </w:rPr>
                                </w:pPr>
                              </w:p>
                            </w:tc>
                            <w:tc>
                              <w:tcPr>
                                <w:tcW w:w="1134" w:type="dxa"/>
                              </w:tcPr>
                              <w:p w14:paraId="4F7581E0" w14:textId="3E91B708">
                                <w:pPr>
                                  <w:tabs>
                                    <w:tab w:val="left" w:pos="855"/>
                                  </w:tabs>
                                  <w:jc w:val="center"/>
                                  <w:rPr>
                                    <w:szCs w:val="24"/>
                                    <w:lang w:eastAsia="ar-SA"/>
                                  </w:rPr>
                                </w:pPr>
                                <w:r>
                                  <w:rPr>
                                    <w:szCs w:val="24"/>
                                    <w:lang w:eastAsia="ar-SA"/>
                                  </w:rPr>
                                  <w:t>SB(LIK)</w:t>
                                </w:r>
                              </w:p>
                            </w:tc>
                            <w:tc>
                              <w:tcPr>
                                <w:tcW w:w="1276" w:type="dxa"/>
                              </w:tcPr>
                              <w:p w14:paraId="6A044943" w14:textId="5E92DE76">
                                <w:pPr>
                                  <w:tabs>
                                    <w:tab w:val="left" w:pos="855"/>
                                  </w:tabs>
                                  <w:rPr>
                                    <w:szCs w:val="24"/>
                                    <w:lang w:eastAsia="ar-SA"/>
                                  </w:rPr>
                                </w:pPr>
                                <w:r>
                                  <w:rPr>
                                    <w:szCs w:val="24"/>
                                    <w:lang w:eastAsia="ar-SA"/>
                                  </w:rPr>
                                  <w:t>471,5</w:t>
                                </w:r>
                              </w:p>
                            </w:tc>
                            <w:tc>
                              <w:tcPr>
                                <w:tcW w:w="1276" w:type="dxa"/>
                              </w:tcPr>
                              <w:p w14:paraId="417B814E" w14:textId="77777777">
                                <w:pPr>
                                  <w:tabs>
                                    <w:tab w:val="left" w:pos="855"/>
                                  </w:tabs>
                                  <w:jc w:val="center"/>
                                  <w:rPr>
                                    <w:szCs w:val="24"/>
                                    <w:lang w:eastAsia="ar-SA"/>
                                  </w:rPr>
                                </w:pPr>
                              </w:p>
                            </w:tc>
                            <w:tc>
                              <w:tcPr>
                                <w:tcW w:w="4252" w:type="dxa"/>
                                <w:vMerge/>
                              </w:tcPr>
                              <w:p w14:paraId="3A1C71BE" w14:textId="77777777">
                                <w:pPr>
                                  <w:tabs>
                                    <w:tab w:val="left" w:pos="855"/>
                                  </w:tabs>
                                  <w:jc w:val="both"/>
                                </w:pPr>
                              </w:p>
                            </w:tc>
                          </w:tr>
                          <w:tr w14:paraId="600181D0" w14:textId="77777777">
                            <w:trPr>
                              <w:trHeight w:val="699"/>
                            </w:trPr>
                            <w:tc>
                              <w:tcPr>
                                <w:tcW w:w="1838" w:type="dxa"/>
                                <w:vMerge/>
                              </w:tcPr>
                              <w:p w14:paraId="7E726B0C" w14:textId="77777777">
                                <w:pPr>
                                  <w:tabs>
                                    <w:tab w:val="left" w:pos="855"/>
                                  </w:tabs>
                                  <w:jc w:val="both"/>
                                  <w:rPr>
                                    <w:szCs w:val="24"/>
                                    <w:lang w:eastAsia="ar-SA"/>
                                  </w:rPr>
                                </w:pPr>
                              </w:p>
                            </w:tc>
                            <w:tc>
                              <w:tcPr>
                                <w:tcW w:w="1134" w:type="dxa"/>
                              </w:tcPr>
                              <w:p w14:paraId="0681947D" w14:textId="5535CF02">
                                <w:pPr>
                                  <w:tabs>
                                    <w:tab w:val="left" w:pos="855"/>
                                  </w:tabs>
                                  <w:jc w:val="center"/>
                                  <w:rPr>
                                    <w:szCs w:val="24"/>
                                    <w:lang w:eastAsia="ar-SA"/>
                                  </w:rPr>
                                </w:pPr>
                                <w:r>
                                  <w:rPr>
                                    <w:szCs w:val="24"/>
                                    <w:lang w:eastAsia="ar-SA"/>
                                  </w:rPr>
                                  <w:t>SB</w:t>
                                </w:r>
                              </w:p>
                            </w:tc>
                            <w:tc>
                              <w:tcPr>
                                <w:tcW w:w="1276" w:type="dxa"/>
                              </w:tcPr>
                              <w:p w14:paraId="342A2CE5" w14:textId="77777777">
                                <w:pPr>
                                  <w:tabs>
                                    <w:tab w:val="left" w:pos="855"/>
                                  </w:tabs>
                                  <w:rPr>
                                    <w:szCs w:val="24"/>
                                    <w:lang w:eastAsia="ar-SA"/>
                                  </w:rPr>
                                </w:pPr>
                              </w:p>
                            </w:tc>
                            <w:tc>
                              <w:tcPr>
                                <w:tcW w:w="1276" w:type="dxa"/>
                              </w:tcPr>
                              <w:p w14:paraId="51090A7B" w14:textId="105FDFC4">
                                <w:pPr>
                                  <w:tabs>
                                    <w:tab w:val="left" w:pos="855"/>
                                  </w:tabs>
                                  <w:jc w:val="center"/>
                                  <w:rPr>
                                    <w:szCs w:val="24"/>
                                    <w:lang w:eastAsia="ar-SA"/>
                                  </w:rPr>
                                </w:pPr>
                                <w:r>
                                  <w:rPr>
                                    <w:szCs w:val="24"/>
                                    <w:lang w:eastAsia="ar-SA"/>
                                  </w:rPr>
                                  <w:t>14,0</w:t>
                                </w:r>
                              </w:p>
                            </w:tc>
                            <w:tc>
                              <w:tcPr>
                                <w:tcW w:w="4252" w:type="dxa"/>
                              </w:tcPr>
                              <w:p w14:paraId="62E400D9" w14:textId="58A855BC">
                                <w:pPr>
                                  <w:tabs>
                                    <w:tab w:val="left" w:pos="855"/>
                                  </w:tabs>
                                  <w:jc w:val="both"/>
                                </w:pPr>
                                <w:r>
                                  <w:t>Lėšos skiriamos Šiaulių apskaitos centrui statybos srities ekspertų konsultacinių paslaugų pirkimui, vykdant viešųjų pirkimų procedūras. Asignavimų valdytojas – Šiaulių apskaitos centras (raštas Nr. BGF-1499)</w:t>
                                </w:r>
                              </w:p>
                            </w:tc>
                          </w:tr>
                          <w:tr w14:paraId="080BA336" w14:textId="77777777">
                            <w:trPr>
                              <w:trHeight w:val="1860"/>
                            </w:trPr>
                            <w:tc>
                              <w:tcPr>
                                <w:tcW w:w="1838" w:type="dxa"/>
                              </w:tcPr>
                              <w:p w14:paraId="274F76A1" w14:textId="271B00DF">
                                <w:pPr>
                                  <w:tabs>
                                    <w:tab w:val="left" w:pos="855"/>
                                  </w:tabs>
                                  <w:jc w:val="both"/>
                                  <w:rPr>
                                    <w:szCs w:val="24"/>
                                    <w:lang w:eastAsia="ar-SA"/>
                                  </w:rPr>
                                </w:pPr>
                                <w:r>
                                  <w:rPr>
                                    <w:szCs w:val="24"/>
                                    <w:lang w:eastAsia="ar-SA"/>
                                  </w:rPr>
                                  <w:t>Kultūros programa</w:t>
                                </w:r>
                              </w:p>
                              <w:p w14:paraId="001AB2B5" w14:textId="798130CF">
                                <w:pPr>
                                  <w:tabs>
                                    <w:tab w:val="left" w:pos="855"/>
                                  </w:tabs>
                                  <w:jc w:val="both"/>
                                  <w:rPr>
                                    <w:szCs w:val="24"/>
                                    <w:lang w:eastAsia="ar-SA"/>
                                  </w:rPr>
                                </w:pPr>
                                <w:r>
                                  <w:rPr>
                                    <w:szCs w:val="24"/>
                                    <w:lang w:eastAsia="ar-SA"/>
                                  </w:rPr>
                                  <w:t>(02)</w:t>
                                </w:r>
                              </w:p>
                            </w:tc>
                            <w:tc>
                              <w:tcPr>
                                <w:tcW w:w="1134" w:type="dxa"/>
                              </w:tcPr>
                              <w:p w14:paraId="1B466E19" w14:textId="402DDEC0">
                                <w:pPr>
                                  <w:tabs>
                                    <w:tab w:val="left" w:pos="855"/>
                                  </w:tabs>
                                  <w:jc w:val="center"/>
                                  <w:rPr>
                                    <w:szCs w:val="24"/>
                                    <w:lang w:eastAsia="ar-SA"/>
                                  </w:rPr>
                                </w:pPr>
                                <w:r>
                                  <w:rPr>
                                    <w:szCs w:val="24"/>
                                    <w:lang w:eastAsia="ar-SA"/>
                                  </w:rPr>
                                  <w:t>SB</w:t>
                                </w:r>
                              </w:p>
                            </w:tc>
                            <w:tc>
                              <w:tcPr>
                                <w:tcW w:w="1276" w:type="dxa"/>
                              </w:tcPr>
                              <w:p w14:paraId="6A89D800" w14:textId="269B85AF">
                                <w:pPr>
                                  <w:tabs>
                                    <w:tab w:val="left" w:pos="855"/>
                                  </w:tabs>
                                  <w:rPr>
                                    <w:szCs w:val="24"/>
                                    <w:lang w:eastAsia="ar-SA"/>
                                  </w:rPr>
                                </w:pPr>
                              </w:p>
                              <w:p w14:paraId="77FA6C3A" w14:textId="022CA45C">
                                <w:pPr>
                                  <w:tabs>
                                    <w:tab w:val="left" w:pos="855"/>
                                  </w:tabs>
                                  <w:rPr>
                                    <w:szCs w:val="24"/>
                                    <w:lang w:eastAsia="ar-SA"/>
                                  </w:rPr>
                                </w:pPr>
                              </w:p>
                            </w:tc>
                            <w:tc>
                              <w:tcPr>
                                <w:tcW w:w="1276" w:type="dxa"/>
                              </w:tcPr>
                              <w:p w14:paraId="5D16EFAB" w14:textId="0779D3CA">
                                <w:pPr>
                                  <w:tabs>
                                    <w:tab w:val="left" w:pos="855"/>
                                  </w:tabs>
                                  <w:jc w:val="center"/>
                                  <w:rPr>
                                    <w:szCs w:val="24"/>
                                    <w:lang w:eastAsia="ar-SA"/>
                                  </w:rPr>
                                </w:pPr>
                                <w:r>
                                  <w:rPr>
                                    <w:szCs w:val="24"/>
                                    <w:lang w:eastAsia="ar-SA"/>
                                  </w:rPr>
                                  <w:t>17,6</w:t>
                                </w:r>
                              </w:p>
                            </w:tc>
                            <w:tc>
                              <w:tcPr>
                                <w:tcW w:w="4252" w:type="dxa"/>
                              </w:tcPr>
                              <w:p w14:paraId="53F5640A" w14:textId="00A04FC8">
                                <w:pPr>
                                  <w:tabs>
                                    <w:tab w:val="left" w:pos="855"/>
                                  </w:tabs>
                                  <w:jc w:val="both"/>
                                  <w:rPr>
                                    <w:szCs w:val="24"/>
                                    <w:lang w:eastAsia="ar-SA"/>
                                  </w:rPr>
                                </w:pPr>
                                <w:r>
                                  <w:rPr>
                                    <w:szCs w:val="24"/>
                                    <w:lang w:eastAsia="ar-SA"/>
                                  </w:rPr>
                                  <w:t xml:space="preserve">Lėšos skiriamos: 8,3 tūkst. Eur koncerto, skirto Virgilijaus Noreikos atminimui tiesioginiam filmavimui ir 2,6 tūkst. Eur Šiaulių miesto kultūros centro „Laiptų galerijos“ pastato rangos darbų užbaigimui. Asignavimų valdytojas – Administracija (raštas Nr. GM-337 ir raštas Nr. GM-354) bei 6,7 tūkst. Eur </w:t>
                                </w:r>
                                <w:r>
                                  <w:t xml:space="preserve">skiriama Šiaulių kultūros centrui kosmetiniam laiptinės remontui ir elektros instaliacijai atnaujinti. </w:t>
                                </w:r>
                                <w:r>
                                  <w:rPr>
                                    <w:szCs w:val="24"/>
                                    <w:lang w:eastAsia="ar-SA"/>
                                  </w:rPr>
                                  <w:t>Asignavimų valdytojas – Šiaulių kultūros centras (raštas Nr. GM-355)</w:t>
                                </w:r>
                              </w:p>
                            </w:tc>
                          </w:tr>
                          <w:tr w14:paraId="5B373ECE" w14:textId="77777777">
                            <w:trPr>
                              <w:trHeight w:val="1417"/>
                            </w:trPr>
                            <w:tc>
                              <w:tcPr>
                                <w:tcW w:w="1838" w:type="dxa"/>
                              </w:tcPr>
                              <w:p w14:paraId="75DE5259" w14:textId="05D25BDB">
                                <w:pPr>
                                  <w:tabs>
                                    <w:tab w:val="left" w:pos="855"/>
                                  </w:tabs>
                                  <w:jc w:val="both"/>
                                </w:pPr>
                                <w:r>
                                  <w:t xml:space="preserve">Aplinkos apsaugos programa       (03)</w:t>
                                </w:r>
                              </w:p>
                            </w:tc>
                            <w:tc>
                              <w:tcPr>
                                <w:tcW w:w="1134" w:type="dxa"/>
                              </w:tcPr>
                              <w:p w14:paraId="6D0A209B" w14:textId="21221D26">
                                <w:pPr>
                                  <w:tabs>
                                    <w:tab w:val="left" w:pos="855"/>
                                  </w:tabs>
                                  <w:jc w:val="center"/>
                                  <w:rPr>
                                    <w:szCs w:val="24"/>
                                    <w:lang w:eastAsia="ar-SA"/>
                                  </w:rPr>
                                </w:pPr>
                                <w:r>
                                  <w:rPr>
                                    <w:szCs w:val="24"/>
                                    <w:lang w:eastAsia="ar-SA"/>
                                  </w:rPr>
                                  <w:t>SB</w:t>
                                </w:r>
                              </w:p>
                            </w:tc>
                            <w:tc>
                              <w:tcPr>
                                <w:tcW w:w="1276" w:type="dxa"/>
                              </w:tcPr>
                              <w:p w14:paraId="3891D950" w14:textId="77777777">
                                <w:pPr>
                                  <w:tabs>
                                    <w:tab w:val="left" w:pos="855"/>
                                  </w:tabs>
                                  <w:jc w:val="center"/>
                                  <w:rPr>
                                    <w:szCs w:val="24"/>
                                    <w:lang w:eastAsia="ar-SA"/>
                                  </w:rPr>
                                </w:pPr>
                              </w:p>
                            </w:tc>
                            <w:tc>
                              <w:tcPr>
                                <w:tcW w:w="1276" w:type="dxa"/>
                              </w:tcPr>
                              <w:p w14:paraId="4E4AA768" w14:textId="0A1465DF">
                                <w:pPr>
                                  <w:tabs>
                                    <w:tab w:val="left" w:pos="855"/>
                                  </w:tabs>
                                  <w:jc w:val="center"/>
                                  <w:rPr>
                                    <w:szCs w:val="24"/>
                                    <w:lang w:eastAsia="ar-SA"/>
                                  </w:rPr>
                                </w:pPr>
                                <w:r>
                                  <w:rPr>
                                    <w:szCs w:val="24"/>
                                    <w:lang w:eastAsia="ar-SA"/>
                                  </w:rPr>
                                  <w:t>1 343,1</w:t>
                                </w:r>
                              </w:p>
                            </w:tc>
                            <w:tc>
                              <w:tcPr>
                                <w:tcW w:w="4252" w:type="dxa"/>
                              </w:tcPr>
                              <w:p w14:paraId="2105165A" w14:textId="7288CA94">
                                <w:pPr>
                                  <w:tabs>
                                    <w:tab w:val="left" w:pos="855"/>
                                  </w:tabs>
                                  <w:jc w:val="both"/>
                                  <w:rPr>
                                    <w:szCs w:val="24"/>
                                    <w:lang w:eastAsia="ar-SA"/>
                                  </w:rPr>
                                </w:pPr>
                                <w:r>
                                  <w:rPr>
                                    <w:szCs w:val="24"/>
                                    <w:lang w:eastAsia="ar-SA"/>
                                  </w:rPr>
                                  <w:t>Lėšos skiriamos paviršinių nuotekų valyklos pagal Paviršinių nuotekų specialiojo plano sprendinius pastatymui. Asignavimų valdytojas – Administracija (raštas Nr. GM-282)</w:t>
                                </w:r>
                              </w:p>
                            </w:tc>
                          </w:tr>
                          <w:tr w14:paraId="63B90E20" w14:textId="77777777">
                            <w:trPr>
                              <w:trHeight w:val="1417"/>
                            </w:trPr>
                            <w:tc>
                              <w:tcPr>
                                <w:tcW w:w="1838" w:type="dxa"/>
                                <w:vMerge w:val="restart"/>
                              </w:tcPr>
                              <w:p w14:paraId="1D8ADCFE" w14:textId="77777777">
                                <w:pPr>
                                  <w:tabs>
                                    <w:tab w:val="left" w:pos="855"/>
                                  </w:tabs>
                                  <w:jc w:val="both"/>
                                </w:pPr>
                                <w:r>
                                  <w:t xml:space="preserve">Urbanistinės plėtros ir infrastruktūros programa </w:t>
                                </w:r>
                              </w:p>
                              <w:p w14:paraId="2B9DC915" w14:textId="05992425">
                                <w:pPr>
                                  <w:tabs>
                                    <w:tab w:val="left" w:pos="855"/>
                                  </w:tabs>
                                  <w:jc w:val="both"/>
                                  <w:rPr>
                                    <w:szCs w:val="24"/>
                                    <w:lang w:eastAsia="ar-SA"/>
                                  </w:rPr>
                                </w:pPr>
                                <w:r>
                                  <w:rPr>
                                    <w:szCs w:val="24"/>
                                    <w:lang w:eastAsia="ar-SA"/>
                                  </w:rPr>
                                  <w:t>(04)</w:t>
                                </w:r>
                              </w:p>
                            </w:tc>
                            <w:tc>
                              <w:tcPr>
                                <w:tcW w:w="1134" w:type="dxa"/>
                              </w:tcPr>
                              <w:p w14:paraId="5F37FBA0" w14:textId="37CE2DDD">
                                <w:pPr>
                                  <w:tabs>
                                    <w:tab w:val="left" w:pos="855"/>
                                  </w:tabs>
                                  <w:jc w:val="center"/>
                                  <w:rPr>
                                    <w:szCs w:val="24"/>
                                    <w:lang w:eastAsia="ar-SA"/>
                                  </w:rPr>
                                </w:pPr>
                                <w:r>
                                  <w:rPr>
                                    <w:szCs w:val="24"/>
                                    <w:lang w:eastAsia="ar-SA"/>
                                  </w:rPr>
                                  <w:t>SB</w:t>
                                </w:r>
                              </w:p>
                            </w:tc>
                            <w:tc>
                              <w:tcPr>
                                <w:tcW w:w="1276" w:type="dxa"/>
                              </w:tcPr>
                              <w:p w14:paraId="01BD1088" w14:textId="6A145BFA">
                                <w:pPr>
                                  <w:tabs>
                                    <w:tab w:val="left" w:pos="855"/>
                                  </w:tabs>
                                  <w:jc w:val="center"/>
                                  <w:rPr>
                                    <w:szCs w:val="24"/>
                                    <w:lang w:eastAsia="ar-SA"/>
                                  </w:rPr>
                                </w:pPr>
                              </w:p>
                            </w:tc>
                            <w:tc>
                              <w:tcPr>
                                <w:tcW w:w="1276" w:type="dxa"/>
                              </w:tcPr>
                              <w:p w14:paraId="4D2FD7FE" w14:textId="601B51E4">
                                <w:pPr>
                                  <w:tabs>
                                    <w:tab w:val="left" w:pos="855"/>
                                  </w:tabs>
                                  <w:jc w:val="center"/>
                                  <w:rPr>
                                    <w:szCs w:val="24"/>
                                    <w:lang w:eastAsia="ar-SA"/>
                                  </w:rPr>
                                </w:pPr>
                                <w:r>
                                  <w:rPr>
                                    <w:szCs w:val="24"/>
                                    <w:lang w:eastAsia="ar-SA"/>
                                  </w:rPr>
                                  <w:t>827,1</w:t>
                                </w:r>
                              </w:p>
                            </w:tc>
                            <w:tc>
                              <w:tcPr>
                                <w:tcW w:w="4252" w:type="dxa"/>
                                <w:vMerge w:val="restart"/>
                              </w:tcPr>
                              <w:p w14:paraId="4C740782" w14:textId="206257F8">
                                <w:pPr>
                                  <w:tabs>
                                    <w:tab w:val="left" w:pos="855"/>
                                  </w:tabs>
                                  <w:jc w:val="both"/>
                                  <w:rPr>
                                    <w:szCs w:val="24"/>
                                    <w:lang w:eastAsia="ar-SA"/>
                                  </w:rPr>
                                </w:pPr>
                                <w:r>
                                  <w:rPr>
                                    <w:szCs w:val="24"/>
                                    <w:lang w:eastAsia="ar-SA"/>
                                  </w:rPr>
                                  <w:t xml:space="preserve">Lėšos skiriamos: 250,0 tūkst. Eur  keleivių vežimo nuostolių kompensavimui (raštas Nr. GM-330), 290,0 tūkst. Eur apyvartinėms lėšoms projektui „Tankiai apgyvendintos Šiaulių miesto urbanizuotos teritorijos atgaivinimas, žalinimas ir funkcionalumo didinimas“ vykdymui (raštas Nr. GM-374) ir 758,6 tūkst. Eur  projekto </w:t>
                                </w:r>
                                <w:r>
                                  <w:t>„Vykdyti naujų magistralinių gatvių suprojektavimo ir nutiesimo, susisiekimo komunikacijų įrengimo, rekonstravimo ir remonto darbus“ vykdymui, nes mažinamos paskolos lėšos (raštas Nr. GF-288).</w:t>
                                </w:r>
                              </w:p>
                              <w:p w14:paraId="3F7E1A05" w14:textId="1A50D19B">
                                <w:pPr>
                                  <w:tabs>
                                    <w:tab w:val="left" w:pos="855"/>
                                  </w:tabs>
                                  <w:jc w:val="both"/>
                                </w:pPr>
                                <w:r>
                                  <w:rPr>
                                    <w:szCs w:val="24"/>
                                    <w:lang w:eastAsia="ar-SA"/>
                                  </w:rPr>
                                  <w:t>Asignavimų valdytojas – Administracija</w:t>
                                </w:r>
                              </w:p>
                            </w:tc>
                          </w:tr>
                          <w:tr w14:paraId="01C91CAC" w14:textId="77777777">
                            <w:trPr>
                              <w:trHeight w:val="557"/>
                            </w:trPr>
                            <w:tc>
                              <w:tcPr>
                                <w:tcW w:w="1838" w:type="dxa"/>
                                <w:vMerge/>
                              </w:tcPr>
                              <w:p w14:paraId="087C99B3" w14:textId="77777777">
                                <w:pPr>
                                  <w:tabs>
                                    <w:tab w:val="left" w:pos="855"/>
                                  </w:tabs>
                                  <w:jc w:val="both"/>
                                </w:pPr>
                              </w:p>
                            </w:tc>
                            <w:tc>
                              <w:tcPr>
                                <w:tcW w:w="1134" w:type="dxa"/>
                              </w:tcPr>
                              <w:p w14:paraId="2F212C4A" w14:textId="70560D8C">
                                <w:pPr>
                                  <w:tabs>
                                    <w:tab w:val="left" w:pos="855"/>
                                  </w:tabs>
                                  <w:jc w:val="center"/>
                                  <w:rPr>
                                    <w:szCs w:val="24"/>
                                    <w:lang w:eastAsia="ar-SA"/>
                                  </w:rPr>
                                </w:pPr>
                                <w:r>
                                  <w:rPr>
                                    <w:szCs w:val="24"/>
                                    <w:lang w:eastAsia="ar-SA"/>
                                  </w:rPr>
                                  <w:t>SB(LIK)</w:t>
                                </w:r>
                              </w:p>
                            </w:tc>
                            <w:tc>
                              <w:tcPr>
                                <w:tcW w:w="1276" w:type="dxa"/>
                              </w:tcPr>
                              <w:p w14:paraId="26ACD891" w14:textId="77777777">
                                <w:pPr>
                                  <w:tabs>
                                    <w:tab w:val="left" w:pos="855"/>
                                  </w:tabs>
                                  <w:jc w:val="center"/>
                                  <w:rPr>
                                    <w:szCs w:val="24"/>
                                    <w:lang w:eastAsia="ar-SA"/>
                                  </w:rPr>
                                </w:pPr>
                              </w:p>
                            </w:tc>
                            <w:tc>
                              <w:tcPr>
                                <w:tcW w:w="1276" w:type="dxa"/>
                              </w:tcPr>
                              <w:p w14:paraId="4FFD09AB" w14:textId="1632AF1A">
                                <w:pPr>
                                  <w:tabs>
                                    <w:tab w:val="left" w:pos="855"/>
                                  </w:tabs>
                                  <w:jc w:val="center"/>
                                  <w:rPr>
                                    <w:szCs w:val="24"/>
                                    <w:lang w:eastAsia="ar-SA"/>
                                  </w:rPr>
                                </w:pPr>
                                <w:r>
                                  <w:rPr>
                                    <w:szCs w:val="24"/>
                                    <w:lang w:eastAsia="ar-SA"/>
                                  </w:rPr>
                                  <w:t>471,5</w:t>
                                </w:r>
                              </w:p>
                            </w:tc>
                            <w:tc>
                              <w:tcPr>
                                <w:tcW w:w="4252" w:type="dxa"/>
                                <w:vMerge/>
                              </w:tcPr>
                              <w:p w14:paraId="3968BA8A" w14:textId="77777777">
                                <w:pPr>
                                  <w:tabs>
                                    <w:tab w:val="left" w:pos="855"/>
                                  </w:tabs>
                                  <w:jc w:val="both"/>
                                  <w:rPr>
                                    <w:szCs w:val="24"/>
                                    <w:lang w:eastAsia="ar-SA"/>
                                  </w:rPr>
                                </w:pPr>
                              </w:p>
                            </w:tc>
                          </w:tr>
                          <w:tr w14:paraId="290214E2" w14:textId="77777777">
                            <w:trPr>
                              <w:trHeight w:val="557"/>
                            </w:trPr>
                            <w:tc>
                              <w:tcPr>
                                <w:tcW w:w="1838" w:type="dxa"/>
                              </w:tcPr>
                              <w:p w14:paraId="5826E04B" w14:textId="6E188DEB">
                                <w:pPr>
                                  <w:tabs>
                                    <w:tab w:val="left" w:pos="855"/>
                                  </w:tabs>
                                  <w:jc w:val="both"/>
                                </w:pPr>
                                <w:r>
                                  <w:t xml:space="preserve">Socialinės apsaugos programa       (06)</w:t>
                                </w:r>
                              </w:p>
                            </w:tc>
                            <w:tc>
                              <w:tcPr>
                                <w:tcW w:w="1134" w:type="dxa"/>
                              </w:tcPr>
                              <w:p w14:paraId="66777F40" w14:textId="3CF2AA27">
                                <w:pPr>
                                  <w:tabs>
                                    <w:tab w:val="left" w:pos="855"/>
                                  </w:tabs>
                                  <w:jc w:val="center"/>
                                  <w:rPr>
                                    <w:szCs w:val="24"/>
                                    <w:lang w:eastAsia="ar-SA"/>
                                  </w:rPr>
                                </w:pPr>
                                <w:r>
                                  <w:rPr>
                                    <w:szCs w:val="24"/>
                                    <w:lang w:eastAsia="ar-SA"/>
                                  </w:rPr>
                                  <w:t>SB</w:t>
                                </w:r>
                              </w:p>
                            </w:tc>
                            <w:tc>
                              <w:tcPr>
                                <w:tcW w:w="1276" w:type="dxa"/>
                              </w:tcPr>
                              <w:p w14:paraId="1159AA92" w14:textId="77777777">
                                <w:pPr>
                                  <w:tabs>
                                    <w:tab w:val="left" w:pos="855"/>
                                  </w:tabs>
                                  <w:jc w:val="center"/>
                                  <w:rPr>
                                    <w:szCs w:val="24"/>
                                    <w:lang w:eastAsia="ar-SA"/>
                                  </w:rPr>
                                </w:pPr>
                              </w:p>
                            </w:tc>
                            <w:tc>
                              <w:tcPr>
                                <w:tcW w:w="1276" w:type="dxa"/>
                              </w:tcPr>
                              <w:p w14:paraId="37F1613B" w14:textId="7407406C">
                                <w:pPr>
                                  <w:tabs>
                                    <w:tab w:val="left" w:pos="855"/>
                                  </w:tabs>
                                  <w:jc w:val="center"/>
                                  <w:rPr>
                                    <w:szCs w:val="24"/>
                                    <w:lang w:eastAsia="ar-SA"/>
                                  </w:rPr>
                                </w:pPr>
                                <w:r>
                                  <w:rPr>
                                    <w:szCs w:val="24"/>
                                    <w:lang w:eastAsia="ar-SA"/>
                                  </w:rPr>
                                  <w:t>130,5</w:t>
                                </w:r>
                              </w:p>
                            </w:tc>
                            <w:tc>
                              <w:tcPr>
                                <w:tcW w:w="4252" w:type="dxa"/>
                              </w:tcPr>
                              <w:p w14:paraId="422BE522" w14:textId="62FE88E1">
                                <w:pPr>
                                  <w:tabs>
                                    <w:tab w:val="left" w:pos="855"/>
                                  </w:tabs>
                                  <w:jc w:val="both"/>
                                  <w:rPr>
                                    <w:szCs w:val="24"/>
                                    <w:lang w:eastAsia="ar-SA"/>
                                  </w:rPr>
                                </w:pPr>
                                <w:r>
                                  <w:rPr>
                                    <w:szCs w:val="24"/>
                                    <w:lang w:eastAsia="ar-SA"/>
                                  </w:rPr>
                                  <w:t>Lėšos skiriamos: 83,0 tūkst. Eur būsto pritaikymo darbams apmokėti ir 6,5 tūkst. Eur akredituotoms vaikų dienos socialinės priežiūros paslaugoms vaikų dienos centruose apmokėti (Asignavimų valdytojas – Administracija) bei 41,0 tūkst. Eur Socialinių paslaugų centrui darbo užmokesčiui mokėti (Asignavimų valdytojas – Socialinių paslaugų centras) (raštas Nr. GF-255)</w:t>
                                </w:r>
                              </w:p>
                            </w:tc>
                          </w:tr>
                          <w:tr w14:paraId="747A6C56" w14:textId="77777777">
                            <w:trPr>
                              <w:trHeight w:val="557"/>
                            </w:trPr>
                            <w:tc>
                              <w:tcPr>
                                <w:tcW w:w="1838" w:type="dxa"/>
                              </w:tcPr>
                              <w:p w14:paraId="30A7F265" w14:textId="61C09E63">
                                <w:pPr>
                                  <w:tabs>
                                    <w:tab w:val="left" w:pos="855"/>
                                  </w:tabs>
                                  <w:jc w:val="both"/>
                                </w:pPr>
                                <w:r>
                                  <w:t>Sporto programa (07)</w:t>
                                </w:r>
                              </w:p>
                            </w:tc>
                            <w:tc>
                              <w:tcPr>
                                <w:tcW w:w="1134" w:type="dxa"/>
                              </w:tcPr>
                              <w:p w14:paraId="360AE39C" w14:textId="35893700">
                                <w:pPr>
                                  <w:tabs>
                                    <w:tab w:val="left" w:pos="855"/>
                                  </w:tabs>
                                  <w:jc w:val="center"/>
                                  <w:rPr>
                                    <w:szCs w:val="24"/>
                                    <w:lang w:eastAsia="ar-SA"/>
                                  </w:rPr>
                                </w:pPr>
                                <w:r>
                                  <w:rPr>
                                    <w:szCs w:val="24"/>
                                    <w:lang w:eastAsia="ar-SA"/>
                                  </w:rPr>
                                  <w:t>SB</w:t>
                                </w:r>
                              </w:p>
                            </w:tc>
                            <w:tc>
                              <w:tcPr>
                                <w:tcW w:w="1276" w:type="dxa"/>
                              </w:tcPr>
                              <w:p w14:paraId="5ACAA61F" w14:textId="2F51B12E">
                                <w:pPr>
                                  <w:tabs>
                                    <w:tab w:val="left" w:pos="855"/>
                                  </w:tabs>
                                  <w:jc w:val="center"/>
                                  <w:rPr>
                                    <w:szCs w:val="24"/>
                                    <w:lang w:eastAsia="ar-SA"/>
                                  </w:rPr>
                                </w:pPr>
                              </w:p>
                            </w:tc>
                            <w:tc>
                              <w:tcPr>
                                <w:tcW w:w="1276" w:type="dxa"/>
                              </w:tcPr>
                              <w:p w14:paraId="2B53D3EC" w14:textId="3D7FBB9B">
                                <w:pPr>
                                  <w:tabs>
                                    <w:tab w:val="left" w:pos="855"/>
                                  </w:tabs>
                                  <w:jc w:val="center"/>
                                  <w:rPr>
                                    <w:szCs w:val="24"/>
                                    <w:lang w:eastAsia="ar-SA"/>
                                  </w:rPr>
                                </w:pPr>
                                <w:r>
                                  <w:rPr>
                                    <w:szCs w:val="24"/>
                                    <w:lang w:eastAsia="ar-SA"/>
                                  </w:rPr>
                                  <w:t>125,0</w:t>
                                </w:r>
                              </w:p>
                            </w:tc>
                            <w:tc>
                              <w:tcPr>
                                <w:tcW w:w="4252" w:type="dxa"/>
                              </w:tcPr>
                              <w:p w14:paraId="49F5C459" w14:textId="16382451">
                                <w:pPr>
                                  <w:tabs>
                                    <w:tab w:val="left" w:pos="855"/>
                                  </w:tabs>
                                  <w:jc w:val="both"/>
                                </w:pPr>
                                <w:r>
                                  <w:rPr>
                                    <w:szCs w:val="24"/>
                                    <w:lang w:eastAsia="ar-SA"/>
                                  </w:rPr>
                                  <w:t>Lėšos skiriamos: 100,0 tūkst. Eur Krepšinio klubui „Šiauliai“ struktūrinių pokyčių vykdymui (Asignavimų valdytojas – Administracija), 15,0 tūkst. Eur Lengvosios atletikos ir sveikatingumo centrui medicinos įrangos įsigijimui (Asignavimų valdytojas – Lengvosios atletikos ir sveikatingumo centras) (raštas Nr. GM-292) ir 10,0 tūkst. Eur Šiaulių PGV sportininkų apdovanojimui (Asignavimų valdytojas – Administracija) (raštas Nr. GM-368)</w:t>
                                </w:r>
                              </w:p>
                            </w:tc>
                          </w:tr>
                          <w:tr w14:paraId="20AFC774" w14:textId="77777777">
                            <w:trPr>
                              <w:trHeight w:val="699"/>
                            </w:trPr>
                            <w:tc>
                              <w:tcPr>
                                <w:tcW w:w="1838" w:type="dxa"/>
                              </w:tcPr>
                              <w:p w14:paraId="5FD6EC3B" w14:textId="77777777">
                                <w:pPr>
                                  <w:tabs>
                                    <w:tab w:val="left" w:pos="855"/>
                                  </w:tabs>
                                  <w:jc w:val="both"/>
                                </w:pPr>
                                <w:r>
                                  <w:t>Švietimo programos</w:t>
                                </w:r>
                              </w:p>
                              <w:p w14:paraId="357B254F" w14:textId="734CAEB3">
                                <w:pPr>
                                  <w:tabs>
                                    <w:tab w:val="left" w:pos="855"/>
                                  </w:tabs>
                                  <w:ind w:firstLine="62"/>
                                  <w:jc w:val="both"/>
                                </w:pPr>
                                <w:r>
                                  <w:t>(08)</w:t>
                                </w:r>
                              </w:p>
                            </w:tc>
                            <w:tc>
                              <w:tcPr>
                                <w:tcW w:w="1134" w:type="dxa"/>
                              </w:tcPr>
                              <w:p w14:paraId="50530A9C" w14:textId="4853BDBB">
                                <w:pPr>
                                  <w:tabs>
                                    <w:tab w:val="left" w:pos="855"/>
                                  </w:tabs>
                                  <w:jc w:val="center"/>
                                  <w:rPr>
                                    <w:szCs w:val="24"/>
                                    <w:lang w:eastAsia="ar-SA"/>
                                  </w:rPr>
                                </w:pPr>
                                <w:r>
                                  <w:rPr>
                                    <w:szCs w:val="24"/>
                                    <w:lang w:eastAsia="ar-SA"/>
                                  </w:rPr>
                                  <w:t>SB</w:t>
                                </w:r>
                              </w:p>
                            </w:tc>
                            <w:tc>
                              <w:tcPr>
                                <w:tcW w:w="1276" w:type="dxa"/>
                              </w:tcPr>
                              <w:p w14:paraId="1CCAE461" w14:textId="66643943">
                                <w:pPr>
                                  <w:tabs>
                                    <w:tab w:val="left" w:pos="855"/>
                                  </w:tabs>
                                  <w:jc w:val="center"/>
                                  <w:rPr>
                                    <w:szCs w:val="24"/>
                                    <w:lang w:eastAsia="ar-SA"/>
                                  </w:rPr>
                                </w:pPr>
                              </w:p>
                            </w:tc>
                            <w:tc>
                              <w:tcPr>
                                <w:tcW w:w="1276" w:type="dxa"/>
                              </w:tcPr>
                              <w:p w14:paraId="2EA831AF" w14:textId="45C45C6B">
                                <w:pPr>
                                  <w:tabs>
                                    <w:tab w:val="left" w:pos="855"/>
                                  </w:tabs>
                                  <w:jc w:val="center"/>
                                  <w:rPr>
                                    <w:szCs w:val="24"/>
                                    <w:lang w:eastAsia="ar-SA"/>
                                  </w:rPr>
                                </w:pPr>
                                <w:r>
                                  <w:rPr>
                                    <w:szCs w:val="24"/>
                                    <w:lang w:eastAsia="ar-SA"/>
                                  </w:rPr>
                                  <w:t>416,5</w:t>
                                </w:r>
                              </w:p>
                            </w:tc>
                            <w:tc>
                              <w:tcPr>
                                <w:tcW w:w="4252" w:type="dxa"/>
                              </w:tcPr>
                              <w:p w14:paraId="0586D541" w14:textId="0218AAD8">
                                <w:pPr>
                                  <w:tabs>
                                    <w:tab w:val="left" w:pos="855"/>
                                  </w:tabs>
                                  <w:jc w:val="both"/>
                                </w:pPr>
                                <w:r>
                                  <w:rPr>
                                    <w:szCs w:val="24"/>
                                    <w:lang w:eastAsia="ar-SA"/>
                                  </w:rPr>
                                  <w:t xml:space="preserve">Lėšos skiriamos: 400,0 tūkst. Eur projekto „Edukacinių erdvių įrengimas Šiaulių miesto ugdymo įstaigose, vystant visos dienos mokyklos veiklas“ vykdymui kaip apyvartinės lėšos (Asignavimų valdytojas – Administracija) (raštas Nr. GM-346), 15,0 tūkst. Eur  „Santarvės“ gimnazijai laiptinės prie sporto salės tarp persirengimo kambarių remontui (Asignavimų valdytojas – Santarvės gimnazija) (raštas Nr. GM-326) ir 1,5 tūkst. Eur Menų mokyklai krepšinio 3x3 turnyro organizavimui (Asignavimų valdytojas – Menų mokykla) (raštas Nr. GM-379)</w:t>
                                </w:r>
                              </w:p>
                            </w:tc>
                          </w:tr>
                          <w:tr w14:paraId="747A439A" w14:textId="77777777">
                            <w:trPr>
                              <w:trHeight w:val="331"/>
                            </w:trPr>
                            <w:tc>
                              <w:tcPr>
                                <w:tcW w:w="2972" w:type="dxa"/>
                                <w:gridSpan w:val="2"/>
                              </w:tcPr>
                              <w:p w14:paraId="2D9D9C34" w14:textId="665EFF10">
                                <w:pPr>
                                  <w:tabs>
                                    <w:tab w:val="left" w:pos="855"/>
                                  </w:tabs>
                                  <w:jc w:val="center"/>
                                  <w:rPr>
                                    <w:b/>
                                    <w:bCs/>
                                    <w:szCs w:val="24"/>
                                    <w:lang w:eastAsia="ar-SA"/>
                                  </w:rPr>
                                </w:pPr>
                                <w:r>
                                  <w:rPr>
                                    <w:b/>
                                    <w:bCs/>
                                    <w:szCs w:val="24"/>
                                    <w:lang w:eastAsia="ar-SA"/>
                                  </w:rPr>
                                  <w:t>Iš viso</w:t>
                                </w:r>
                              </w:p>
                            </w:tc>
                            <w:tc>
                              <w:tcPr>
                                <w:tcW w:w="1276" w:type="dxa"/>
                              </w:tcPr>
                              <w:p w14:paraId="127E4F62" w14:textId="2C9B71E4">
                                <w:pPr>
                                  <w:jc w:val="center"/>
                                  <w:rPr>
                                    <w:b/>
                                    <w:bCs/>
                                    <w:lang w:eastAsia="ar-SA"/>
                                  </w:rPr>
                                </w:pPr>
                                <w:r>
                                  <w:rPr>
                                    <w:b/>
                                    <w:bCs/>
                                    <w:lang w:eastAsia="ar-SA"/>
                                  </w:rPr>
                                  <w:t>3 345,3</w:t>
                                </w:r>
                              </w:p>
                            </w:tc>
                            <w:tc>
                              <w:tcPr>
                                <w:tcW w:w="1276" w:type="dxa"/>
                              </w:tcPr>
                              <w:p w14:paraId="12B829F0" w14:textId="0D22AA4E">
                                <w:pPr>
                                  <w:jc w:val="center"/>
                                  <w:rPr>
                                    <w:b/>
                                    <w:bCs/>
                                    <w:lang w:eastAsia="ar-SA"/>
                                  </w:rPr>
                                </w:pPr>
                                <w:r>
                                  <w:rPr>
                                    <w:b/>
                                    <w:bCs/>
                                    <w:lang w:eastAsia="ar-SA"/>
                                  </w:rPr>
                                  <w:t>3 345,3</w:t>
                                </w:r>
                              </w:p>
                            </w:tc>
                            <w:tc>
                              <w:tcPr>
                                <w:tcW w:w="4252" w:type="dxa"/>
                              </w:tcPr>
                              <w:p w14:paraId="3E2D8CAB" w14:textId="77777777">
                                <w:pPr>
                                  <w:tabs>
                                    <w:tab w:val="left" w:pos="855"/>
                                  </w:tabs>
                                  <w:jc w:val="both"/>
                                  <w:rPr>
                                    <w:szCs w:val="24"/>
                                    <w:lang w:eastAsia="ar-SA"/>
                                  </w:rPr>
                                </w:pPr>
                              </w:p>
                            </w:tc>
                          </w:tr>
                        </w:tbl>
                        <w:p w14:paraId="487A587A" w14:textId="76F52DC5">
                          <w:pPr>
                            <w:widowControl w:val="0"/>
                            <w:suppressAutoHyphens/>
                            <w:jc w:val="both"/>
                            <w:rPr>
                              <w:rFonts w:eastAsia="HG Mincho Light J"/>
                              <w:szCs w:val="24"/>
                              <w:lang w:eastAsia="lt-LT"/>
                            </w:rPr>
                          </w:pPr>
                        </w:p>
                      </w:sdtContent>
                    </w:sdt>
                    <w:sdt>
                      <w:sdtPr>
                        <w:alias w:val="2.2 pp."/>
                        <w:tag w:val="part_e7a6454c382846fe8b2c9fecce68c8e6"/>
                        <w:lock w:val="sdtLocked"/>
                        <w:richText/>
                      </w:sdtPr>
                      <w:sdtContent>
                        <w:p w14:paraId="173DC6E9" w14:textId="5AD4B006">
                          <w:pPr>
                            <w:ind w:firstLine="710"/>
                            <w:jc w:val="both"/>
                          </w:pPr>
                          <w:sdt>
                            <w:sdtPr>
                              <w:alias w:val="Numeris"/>
                              <w:tag w:val="nr_e7a6454c382846fe8b2c9fecce68c8e6"/>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 xml:space="preserve">50,0 tūkst. Eur savivaldybės biudžeto lėšų (SB), skirtų globos centrų veiklai užtikrinti, perskirstoma tarp Socialinės apsaugos programos (06) asignavimų valdytojų taip: 50,0 tūkst. Eur mažinama Šiaulių miesto šeimos centrui ir 50,0 tūkst. Eur lėšų didinama Socialinių paslaugų centrui Globos centro darbuotojų darbo užmokesčiui mokėti, nes nuo 2025 m. kovo 1 d. padidėjo Globos centro darbuotojų koeficientai (pastovioji dalis ir kintamoji dalis dėl darbuotojų darbo stažo ir įgytos kvalifikacijos), vadovaujantis LR biudžetinių įstaigų darbuotojų darbo apmokėjimo ir komisijų narių atlygio už darbą įstatymu </w:t>
                          </w:r>
                          <w:r>
                            <w:rPr>
                              <w:lang w:eastAsia="ar-SA"/>
                            </w:rPr>
                            <w:t>(raštas Nr. GF-254).</w:t>
                          </w:r>
                        </w:p>
                      </w:sdtContent>
                    </w:sdt>
                    <w:sdt>
                      <w:sdtPr>
                        <w:alias w:val="2.3 pp."/>
                        <w:tag w:val="part_0bb1e0df2a0a49a09b8dfae1d4cd20d0"/>
                        <w:lock w:val="sdtLocked"/>
                        <w:richText/>
                      </w:sdtPr>
                      <w:sdtContent>
                        <w:p w14:paraId="66FCE23A" w14:textId="718CA8EF">
                          <w:pPr>
                            <w:ind w:firstLine="710"/>
                            <w:jc w:val="both"/>
                          </w:pPr>
                          <w:sdt>
                            <w:sdtPr>
                              <w:alias w:val="Numeris"/>
                              <w:tag w:val="nr_0bb1e0df2a0a49a09b8dfae1d4cd20d0"/>
                              <w:lock w:val="sdtLocked"/>
                              <w:richText/>
                            </w:sdtPr>
                            <w:sdtContent>
                              <w:r>
                                <w:rPr>
                                  <w:rFonts w:eastAsia="HG Mincho Light J"/>
                                  <w:color w:val="000000"/>
                                  <w:szCs w:val="24"/>
                                  <w:lang w:eastAsia="lt-LT"/>
                                </w:rPr>
                                <w:t>2.3</w:t>
                              </w:r>
                            </w:sdtContent>
                          </w:sdt>
                          <w:r>
                            <w:rPr>
                              <w:rFonts w:eastAsia="HG Mincho Light J"/>
                              <w:color w:val="000000"/>
                              <w:szCs w:val="24"/>
                              <w:lang w:eastAsia="lt-LT"/>
                            </w:rPr>
                            <w:tab/>
                          </w:r>
                          <w:r>
                            <w:t xml:space="preserve">21,5 tūkst. Eur savivaldybės biudžeto lėšų (SB), skirtų sportininkų rengimui, perskirstoma tarp Sporto programos (07) asignavimų valdytojų taip: 12,4 tūkst. Eur mažinama sporto centrui „Atžalynas“, 4,6 tūkst. Eur mažinama plaukimo centrui „Delfinas“ ir 4,5 tūkst. Eur mažinama Teniso akademijai. Sumažintos lėšos (21,5 tūkst. Eur) skiriamos 19,5 tūkst. Eur sporto centrui „Dubysa“ ir 2,0 tūkst. Eur Lengvosios atletikos ir sveikatingumo centrui </w:t>
                          </w:r>
                          <w:r>
                            <w:rPr>
                              <w:lang w:eastAsia="ar-SA"/>
                            </w:rPr>
                            <w:t>(raštas Nr. GM-363).</w:t>
                          </w:r>
                        </w:p>
                      </w:sdtContent>
                    </w:sdt>
                    <w:sdt>
                      <w:sdtPr>
                        <w:alias w:val="2.4 pp."/>
                        <w:tag w:val="part_7a174bf4712249a39067c916e4a78ab9"/>
                        <w:lock w:val="sdtLocked"/>
                        <w:richText/>
                      </w:sdtPr>
                      <w:sdtContent>
                        <w:p w14:paraId="37D05EEA" w14:textId="71AE9A46">
                          <w:pPr>
                            <w:ind w:firstLine="710"/>
                            <w:jc w:val="both"/>
                          </w:pPr>
                          <w:sdt>
                            <w:sdtPr>
                              <w:alias w:val="Numeris"/>
                              <w:tag w:val="nr_7a174bf4712249a39067c916e4a78ab9"/>
                              <w:lock w:val="sdtLocked"/>
                              <w:richText/>
                            </w:sdtPr>
                            <w:sdtContent>
                              <w:r>
                                <w:rPr>
                                  <w:rFonts w:eastAsia="HG Mincho Light J"/>
                                  <w:color w:val="000000"/>
                                  <w:szCs w:val="24"/>
                                  <w:lang w:eastAsia="lt-LT"/>
                                </w:rPr>
                                <w:t>2.4</w:t>
                              </w:r>
                            </w:sdtContent>
                          </w:sdt>
                          <w:r>
                            <w:rPr>
                              <w:rFonts w:eastAsia="HG Mincho Light J"/>
                              <w:color w:val="000000"/>
                              <w:szCs w:val="24"/>
                              <w:lang w:eastAsia="lt-LT"/>
                            </w:rPr>
                            <w:tab/>
                          </w:r>
                          <w:r>
                            <w:t xml:space="preserve">6,3 tūkst. Eur savivaldybės biudžeto lėšų (SB), skirtų atstovauti miestui, pristatyti švietimo veiklą, organizuoti renginius, perskirstoma tarp Švietimo programos (08) asignavimų valdytojų taip: 6,3 tūkst. Eur mažinama Administracijai ir 4,0 tūkst. Eur skiriama „Juventos“ progimnazijai Lietuvos vaikų ir moksleivių televizijos konkurso „Dainų dainelė“ koordinavimui ir organizavimui,  2,3 tūkst. Eur skiriama Salduvės progimnazijai papildomos Visos dienos mokyklos klasės steigimui (raštas Nr. GF-271).</w:t>
                          </w:r>
                        </w:p>
                        <w:p w14:paraId="2E8A5C62" w14:textId="72516659">
                          <w:pPr>
                            <w:widowControl w:val="0"/>
                            <w:suppressAutoHyphens/>
                            <w:ind w:left="-142" w:firstLine="709"/>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2025-2027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4D8C4CAE">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vedėjo pavaduotoja Irena Paliulytė, tel. +370 41 596271.</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09C4D223" w14:textId="77777777">
                          <w:pPr>
                            <w:tabs>
                              <w:tab w:val="left" w:pos="855"/>
                            </w:tabs>
                            <w:jc w:val="both"/>
                            <w:rPr>
                              <w:rFonts w:eastAsia="Calibri"/>
                              <w:szCs w:val="24"/>
                            </w:rPr>
                          </w:pPr>
                        </w:p>
                        <w:p w14:paraId="6E26ECA5" w14:textId="77777777">
                          <w:pPr>
                            <w:tabs>
                              <w:tab w:val="left" w:pos="855"/>
                            </w:tabs>
                            <w:jc w:val="both"/>
                            <w:rPr>
                              <w:rFonts w:eastAsia="Calibri"/>
                              <w:szCs w:val="24"/>
                            </w:rPr>
                          </w:pPr>
                        </w:p>
                        <w:p w14:paraId="5B1A9E9F" w14:textId="77777777">
                          <w:pPr>
                            <w:tabs>
                              <w:tab w:val="left" w:pos="855"/>
                            </w:tabs>
                            <w:jc w:val="both"/>
                            <w:rPr>
                              <w:rFonts w:eastAsia="Calibri"/>
                              <w:szCs w:val="24"/>
                            </w:rPr>
                          </w:pPr>
                        </w:p>
                        <w:p w14:paraId="7D2904A7" w14:textId="77777777">
                          <w:pPr>
                            <w:tabs>
                              <w:tab w:val="left" w:pos="855"/>
                            </w:tabs>
                            <w:jc w:val="both"/>
                            <w:rPr>
                              <w:rFonts w:eastAsia="Calibri"/>
                              <w:szCs w:val="24"/>
                            </w:rPr>
                          </w:pPr>
                        </w:p>
                        <w:p w14:paraId="24DCBC6A" w14:textId="77777777">
                          <w:pPr>
                            <w:tabs>
                              <w:tab w:val="left" w:pos="855"/>
                            </w:tabs>
                            <w:jc w:val="both"/>
                            <w:rPr>
                              <w:rFonts w:eastAsia="Calibri"/>
                              <w:szCs w:val="24"/>
                            </w:rPr>
                          </w:pPr>
                        </w:p>
                      </w:sdtContent>
                    </w:sdt>
                  </w:sdtContent>
                </w:sdt>
              </w:sdtContent>
            </w:sdt>
          </w:sdtContent>
        </w:sdt>
        <w:sdt>
          <w:sdtPr>
            <w:alias w:val="signatura"/>
            <w:tag w:val="part_8c592503fc9547a1b368ee356f2bf1a3"/>
            <w:lock w:val="sdtLocked"/>
            <w:richText/>
          </w:sdtPr>
          <w:sdtContent>
            <w:p w14:paraId="42A5F6BE" w14:textId="1895C043">
              <w:pPr>
                <w:tabs>
                  <w:tab w:val="left" w:pos="855"/>
                </w:tabs>
                <w:jc w:val="both"/>
                <w:rPr>
                  <w:szCs w:val="24"/>
                  <w:lang w:val="en-US" w:eastAsia="ar-SA"/>
                </w:rPr>
              </w:pPr>
              <w:r>
                <w:rPr>
                  <w:szCs w:val="24"/>
                  <w:lang w:eastAsia="ar-SA"/>
                </w:rPr>
                <w:t xml:space="preserve">Strateginio planavimo ir finansų skyriaus vedėja                                            Vaida Kalasevičienė</w:t>
              </w:r>
            </w:p>
            <w:p w14:paraId="7BB263DD" w14:textId="77777777">
              <w:pPr>
                <w:tabs>
                  <w:tab w:val="left" w:pos="855"/>
                </w:tabs>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EDC7DF" w14:textId="77777777">
      <w:r>
        <w:separator/>
      </w:r>
    </w:p>
  </w:endnote>
  <w:endnote w:type="continuationSeparator" w:id="0">
    <w:p w14:paraId="6BE2273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E12ED"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7303D"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608F7"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7D8" w14:textId="77777777">
      <w:r>
        <w:separator/>
      </w:r>
    </w:p>
  </w:footnote>
  <w:footnote w:type="continuationSeparator" w:id="0">
    <w:p w14:paraId="727E9D0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58976652">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1993949998">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df07a0524824323bf6b5ec8d7aded72" PartId="376ea38532174a9499e7c67cab45a9f2">
    <Part Type="skyrius" Nr="999" Title="SPRENDIMO „DĖL ŠIAULIŲ MIESTO SAVIVALDYBĖS TARYBOS 2025 M. VASARIO 6 D. SPRENDIMO NR. T-2 „ DĖL ŠIAULIŲ MIESTO SAVIVALDYBĖS 2025 METŲ BIUDŽETO IR 2026-2027 METŲ PAJAMŲ IR ASIGNAVIMŲ PATVIRTINIMO“ PAKEITIMO“ PROJEKTO AIŠKINAMASIS RAŠTAS" DocPartId="1ec3ccb9d4ec479480e89fb24acbdd8d" PartId="d4d6efd039484ff6b05fd31f2c2af1ea">
      <Part Type="poskyris" Title="Parengto sprendimo projekto tikslas ir uždaviniai." DocPartId="ec6c2d9b0e1746408969da7337ed7c72" PartId="3df4e4ed80a849d89ae0174b6a2a766d"/>
      <Part Type="poskyris" Title="Dabartinis sprendimo projekte aptariamų klausimų reguliavimas." DocPartId="fa550a58dcf5458397b912ae23911b1b" PartId="b18bea4696844cf78dd24db470ce0f76"/>
      <Part Type="poskyris" Title="Sprendimo projekte numatytos naujos teisinio reglamentavimo nuostatos." DocPartId="2fda958107644c25973ce610544f0d09" PartId="fbc0123c2c7f438a83bd9f98adb316f8">
        <Part Type="punktas" Nr="1" Abbr="1 p." DocPartId="4740ff96aefa4b88b7145a86b0fab4ce" PartId="4d61b21d2a804a2b9b24c46c17ed6473">
          <Part Type="papunktis" Nr="1.1" Abbr="1.1 pp." DocPartId="8f15f10ef9d7451f8f5cbfc9979c3894" PartId="b2a404115e814c41ba55ce0728ddfb33"/>
          <Part Type="papunktis" Nr="1.2" Abbr="1.2 pp." DocPartId="f8e6ed5a9bea41408084711fd0efb0eb" PartId="c4cc56b169b64274b70bff30c1b9a7f5"/>
          <Part Type="papunktis" Nr="1.3" Abbr="1.3 pp." DocPartId="12ee0ef7ad344e2481f103207679edba" PartId="9177c48e349d4a649c531a897d030015"/>
          <Part Type="papunktis" Nr="1.4" Abbr="1.4 pp." DocPartId="1fe24b0e9324466a9322c7724496f25c" PartId="81e45a6dcdd041089bcc1a991d340df7"/>
          <Part Type="papunktis" Nr="1.5" Abbr="1.5 pp." DocPartId="9f9d6c58dfa141d3be1059e05c9b7b76" PartId="7d2c5114c59b44caac35ef16a7bce911"/>
          <Part Type="papunktis" Nr="1.6" Abbr="1.6 pp." DocPartId="e1c4056aa45045e7903a3fee870b12fc" PartId="a752f531f32948f0acca55bdacb80adc"/>
          <Part Type="papunktis" Nr="1.7" Abbr="1.7 pp." DocPartId="c11eccd536e34e5ca34334db7cd85a02" PartId="128f111e6a754485bbfd729b41d8ea43"/>
          <Part Type="papunktis" Nr="1.8" Abbr="1.8 pp." DocPartId="59b65084b8e349eb9db580ba4b586d9a" PartId="02c14f622fd04825aa14491585c54d70"/>
          <Part Type="papunktis" Nr="1.9" Abbr="1.9 pp." DocPartId="7c39613b447f4dca94f9618c8f546c98" PartId="db57b578e948436e8a204244d7582f38"/>
          <Part Type="papunktis" Nr="1.10" Abbr="1.10 pp." DocPartId="8d0cce128b9248589c2574119f35c50d" PartId="638cf69cbd354f9b92c2c815b7ba8927"/>
          <Part Type="papunktis" Nr="1.11" Abbr="1.11 pp." DocPartId="0517905ed759442e9443178468dc3087" PartId="125f7279638b418e8786f8ac82fc6d13"/>
          <Part Type="papunktis" Nr="1.12" Abbr="1.12 pp." DocPartId="6d7eeab7db81454bbe3564c65c73df77" PartId="044afbb83bfa4b4db5b9a64e83759acf"/>
        </Part>
        <Part Type="punktas" Nr="2" Abbr="2 p." DocPartId="bce78340c9274721ac35572b4a766ed9" PartId="69b4268a28af44dfae5020c1a1e62971">
          <Part Type="papunktis" Nr="2.1" Abbr="2.1 pp." DocPartId="80cd72d3b923470aae16f51b8f374f6f" PartId="9f021426392646bc8af646ab8ea85948"/>
          <Part Type="papunktis" Nr="2.2" Abbr="2.2 pp." DocPartId="8aac3f815b934d3cae62578959bc2960" PartId="e7a6454c382846fe8b2c9fecce68c8e6"/>
          <Part Type="papunktis" Nr="2.3" Abbr="2.3 pp." DocPartId="f8515d536e2b4e5599c6f5a4fdf20450" PartId="0bb1e0df2a0a49a09b8dfae1d4cd20d0"/>
          <Part Type="papunktis" Nr="2.4" Abbr="2.4 pp." DocPartId="ec3f81e7a22042deaddbea08376bc375" PartId="7a174bf4712249a39067c916e4a78ab9"/>
        </Part>
      </Part>
    </Part>
    <Part Type="signatura" DocPartId="d427b4a6f1e648d1b6f6196c55a8a10e" PartId="8c592503fc9547a1b368ee356f2bf1a3"/>
  </Part>
</Parts>
</file>

<file path=customXml/itemProps1.xml><?xml version="1.0" encoding="utf-8"?>
<ds:datastoreItem xmlns:ds="http://schemas.openxmlformats.org/officeDocument/2006/customXml" ds:itemID="{2AB40026-4CF9-4C8D-9C53-61399726988E}">
  <ds:schemaRefs>
    <ds:schemaRef ds:uri="http://schemas.openxmlformats.org/officeDocument/2006/bibliography"/>
  </ds:schemaRefs>
</ds:datastoreItem>
</file>

<file path=customXml/itemProps2.xml><?xml version="1.0" encoding="utf-8"?>
<ds:datastoreItem xmlns:ds="http://schemas.openxmlformats.org/officeDocument/2006/customXml" ds:itemID="{C9406559-1F91-4745-9904-CC3FCF4D0D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2033</Words>
  <Characters>14295</Characters>
  <Application>Microsoft Office Word</Application>
  <DocSecurity>4</DocSecurity>
  <Lines>324</Lines>
  <Paragraphs>101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16227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2025-11-25T15:39:00Z</dcterms:created>
  <dc:creator>Irmina Volskienė</dc:creator>
  <lastModifiedBy>adlibuser</lastModifiedBy>
  <lastPrinted>2025-11-20T12:35:00Z</lastPrinted>
  <dcterms:modified xsi:type="dcterms:W3CDTF">2025-11-25T15:39:00Z</dcterms:modified>
  <revision>2</revision>
</coreProperties>
</file>