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a22b27ec0d41329c16b4cb14888ce1"/>
        <w:lock w:val="sdtLocked"/>
        <w:richText/>
      </w:sdtPr>
      <w:sdtContent>
        <w:p>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2c7026ccf8574b34a64d9540dc0d8bf8"/>
            <w:lock w:val="sdtLocked"/>
            <w:richText/>
          </w:sdtPr>
          <w:sdtContent>
            <w:p>
              <w:pPr>
                <w:widowControl w:val="0"/>
                <w:suppressAutoHyphens/>
                <w:jc w:val="center"/>
                <w:rPr>
                  <w:rFonts w:eastAsia="Lucida Sans Unicode"/>
                  <w:b/>
                  <w:bCs/>
                  <w:szCs w:val="24"/>
                  <w:lang w:eastAsia="lt-LT"/>
                </w:rPr>
              </w:pPr>
              <w:r>
                <w:rPr>
                  <w:rFonts w:eastAsia="Lucida Sans Unicode"/>
                  <w:b/>
                  <w:bCs/>
                  <w:szCs w:val="24"/>
                  <w:lang w:eastAsia="lt-LT"/>
                </w:rPr>
                <w:t>MIESTO ŪKIO IR APLINKOS SKYRIUS</w:t>
              </w:r>
            </w:p>
            <w:p>
              <w:pPr>
                <w:widowControl w:val="0"/>
                <w:suppressAutoHyphens/>
                <w:jc w:val="center"/>
                <w:rPr>
                  <w:rFonts w:eastAsia="Lucida Sans Unicode"/>
                  <w:b/>
                  <w:bCs/>
                  <w:szCs w:val="24"/>
                  <w:lang w:eastAsia="lt-LT"/>
                </w:rPr>
              </w:pPr>
            </w:p>
            <w:sdt>
              <w:sdtPr>
                <w:alias w:val="Pavadinimas"/>
                <w:tag w:val="title_2c7026ccf8574b34a64d9540dc0d8bf8"/>
                <w:lock w:val="sdtLocked"/>
                <w:richText/>
              </w:sdtPr>
              <w:sdtContent>
                <w:p>
                  <w:pPr>
                    <w:widowControl w:val="0"/>
                    <w:suppressAutoHyphens/>
                    <w:jc w:val="center"/>
                    <w:rPr>
                      <w:rFonts w:eastAsia="Lucida Sans Unicode"/>
                      <w:b/>
                      <w:bCs/>
                      <w:szCs w:val="24"/>
                      <w:lang w:eastAsia="lt-LT"/>
                    </w:rPr>
                  </w:pPr>
                  <w:r>
                    <w:rPr>
                      <w:rFonts w:eastAsia="Lucida Sans Unicode"/>
                      <w:b/>
                      <w:bCs/>
                      <w:szCs w:val="24"/>
                      <w:lang w:eastAsia="lt-LT"/>
                    </w:rPr>
                    <w:t xml:space="preserve">SPRENDIMO „DĖL </w:t>
                  </w:r>
                  <w:r>
                    <w:rPr>
                      <w:rFonts w:eastAsia="Lucida Sans Unicode"/>
                      <w:b/>
                      <w:szCs w:val="24"/>
                      <w:lang w:eastAsia="lt-LT"/>
                    </w:rPr>
                    <w:t>ŠIAULIŲ MIESTO SAVIVALDYBĖS APLINKOS APSAUGOS RĖMIMO SPECIALIOSIOS PROGRAMOS 2024 M. PRIEMONIŲ VYKDYMO ATASKAITOS PATVIRTINIMO</w:t>
                  </w:r>
                  <w:r>
                    <w:rPr>
                      <w:rFonts w:eastAsia="Lucida Sans Unicode"/>
                      <w:b/>
                      <w:bCs/>
                      <w:szCs w:val="24"/>
                      <w:lang w:eastAsia="lt-LT"/>
                    </w:rPr>
                    <w:t>“ PROJEKTO</w:t>
                  </w:r>
                </w:p>
                <w:p>
                  <w:pPr>
                    <w:keepNext/>
                    <w:widowControl w:val="0"/>
                    <w:suppressAutoHyphens/>
                    <w:jc w:val="center"/>
                    <w:outlineLvl w:val="4"/>
                    <w:rPr>
                      <w:rFonts w:eastAsia="Lucida Sans Unicode"/>
                      <w:b/>
                      <w:bCs/>
                      <w:szCs w:val="24"/>
                      <w:lang w:eastAsia="lt-LT"/>
                    </w:rPr>
                  </w:pPr>
                  <w:r>
                    <w:rPr>
                      <w:rFonts w:eastAsia="Lucida Sans Unicode"/>
                      <w:b/>
                      <w:bCs/>
                      <w:szCs w:val="24"/>
                      <w:lang w:eastAsia="lt-LT"/>
                    </w:rPr>
                    <w:t>AIŠKINAMASIS RAŠTAS</w:t>
                  </w:r>
                </w:p>
              </w:sdtContent>
            </w:sdt>
            <w:p>
              <w:pPr>
                <w:widowControl w:val="0"/>
                <w:jc w:val="center"/>
                <w:rPr>
                  <w:rFonts w:eastAsia="Lucida Sans Unicode"/>
                  <w:iCs/>
                  <w:sz w:val="18"/>
                  <w:szCs w:val="18"/>
                  <w:lang w:eastAsia="lt-LT"/>
                </w:rPr>
              </w:pPr>
            </w:p>
            <w:p>
              <w:pPr>
                <w:widowControl w:val="0"/>
                <w:suppressAutoHyphens/>
                <w:jc w:val="center"/>
                <w:rPr>
                  <w:rFonts w:eastAsia="Lucida Sans Unicode"/>
                  <w:szCs w:val="24"/>
                  <w:lang w:eastAsia="lt-LT"/>
                </w:rPr>
              </w:pPr>
              <w:r>
                <w:rPr>
                  <w:rFonts w:eastAsia="Lucida Sans Unicode"/>
                  <w:szCs w:val="24"/>
                  <w:lang w:eastAsia="lt-LT"/>
                </w:rPr>
                <w:t>2025-01-09</w:t>
              </w:r>
            </w:p>
            <w:p>
              <w:pPr>
                <w:widowControl w:val="0"/>
                <w:jc w:val="center"/>
                <w:rPr>
                  <w:rFonts w:eastAsia="Lucida Sans Unicode"/>
                  <w:iCs/>
                  <w:szCs w:val="24"/>
                  <w:lang w:eastAsia="lt-LT"/>
                </w:rPr>
              </w:pPr>
              <w:r>
                <w:rPr>
                  <w:rFonts w:eastAsia="Lucida Sans Unicode"/>
                  <w:iCs/>
                  <w:szCs w:val="24"/>
                  <w:lang w:eastAsia="lt-LT"/>
                </w:rPr>
                <w:t>Šiauliai</w:t>
              </w:r>
            </w:p>
            <w:p>
              <w:pPr>
                <w:widowControl w:val="0"/>
                <w:rPr>
                  <w:rFonts w:eastAsia="Lucida Sans Unicode"/>
                  <w:b/>
                  <w:bCs/>
                  <w:iCs/>
                  <w:sz w:val="20"/>
                  <w:lang w:eastAsia="lt-LT"/>
                </w:rPr>
              </w:pPr>
            </w:p>
            <w:sdt>
              <w:sdtPr>
                <w:alias w:val="poskyris"/>
                <w:tag w:val="part_ac85dc84fbdf4028b13955a95f933f73"/>
                <w:lock w:val="sdtLocked"/>
                <w:richText/>
              </w:sdtPr>
              <w:sdtContent>
                <w:p>
                  <w:pPr>
                    <w:widowControl w:val="0"/>
                    <w:ind w:firstLine="1134"/>
                    <w:jc w:val="both"/>
                    <w:rPr>
                      <w:rFonts w:eastAsia="Lucida Sans Unicode"/>
                      <w:b/>
                      <w:bCs/>
                      <w:szCs w:val="24"/>
                      <w:lang w:eastAsia="lt-LT"/>
                    </w:rPr>
                  </w:pPr>
                  <w:sdt>
                    <w:sdtPr>
                      <w:alias w:val="Pavadinimas"/>
                      <w:tag w:val="title_ac85dc84fbdf4028b13955a95f933f73"/>
                      <w:lock w:val="sdtLocked"/>
                      <w:richText/>
                    </w:sdtPr>
                    <w:sdtContent>
                      <w:r>
                        <w:rPr>
                          <w:rFonts w:eastAsia="Lucida Sans Unicode"/>
                          <w:b/>
                          <w:bCs/>
                          <w:szCs w:val="24"/>
                          <w:lang w:eastAsia="lt-LT"/>
                        </w:rPr>
                        <w:t xml:space="preserve">Parengto sprendimo projekto tikslai ir uždaviniai. </w:t>
                      </w:r>
                    </w:sdtContent>
                  </w:sdt>
                </w:p>
                <w:p>
                  <w:pPr>
                    <w:widowControl w:val="0"/>
                    <w:ind w:firstLine="1134"/>
                    <w:jc w:val="both"/>
                    <w:rPr>
                      <w:rFonts w:eastAsia="Lucida Sans Unicode"/>
                      <w:szCs w:val="24"/>
                      <w:lang w:eastAsia="lt-LT"/>
                    </w:rPr>
                  </w:pPr>
                  <w:r>
                    <w:rPr>
                      <w:rFonts w:eastAsia="Lucida Sans Unicode"/>
                      <w:szCs w:val="24"/>
                      <w:lang w:eastAsia="lt-LT"/>
                    </w:rPr>
                    <w:t>Sprendimo projekto tikslas – Lietuvos Respublikos aplinkos ministerijos nustatyta tvarka pateikti Aplinkos apsaugos departamentui prie Aplinkos ministerijos informaciją apie Šiaulių miesto savivaldybės aplinkos apsaugos rėmimo specialiosios programos 2024 m. priemonių vykdymą ir lėšų panaudojimą, įgyvendinant Lietuvos Respublikos savivaldybių aplinkos apsaugos rėmimo įstatymo reikalavimus.</w:t>
                  </w:r>
                </w:p>
                <w:p>
                  <w:pPr>
                    <w:widowControl w:val="0"/>
                    <w:ind w:firstLine="1134"/>
                    <w:jc w:val="both"/>
                    <w:rPr>
                      <w:rFonts w:eastAsia="Lucida Sans Unicode"/>
                      <w:szCs w:val="24"/>
                      <w:lang w:eastAsia="lt-LT"/>
                    </w:rPr>
                  </w:pPr>
                  <w:r>
                    <w:rPr>
                      <w:rFonts w:eastAsia="Lucida Sans Unicode"/>
                      <w:szCs w:val="24"/>
                      <w:lang w:eastAsia="lt-LT"/>
                    </w:rPr>
                    <w:t xml:space="preserve">Sprendimo projekto uždavinys – patvirtinti Šiaulių miesto savivaldybės aplinkos apsaugos rėmimo specialiosios programos 2024 m. ataskaitą apie programos priemonių vykdymą (toliau – Ataskaita). </w:t>
                  </w:r>
                </w:p>
              </w:sdtContent>
            </w:sdt>
            <w:sdt>
              <w:sdtPr>
                <w:alias w:val="poskyris"/>
                <w:tag w:val="part_2b973fc8e48042caaad9c29a592587f8"/>
                <w:lock w:val="sdtLocked"/>
                <w:richText/>
              </w:sdtPr>
              <w:sdtContent>
                <w:p>
                  <w:pPr>
                    <w:widowControl w:val="0"/>
                    <w:ind w:firstLine="1134"/>
                    <w:jc w:val="both"/>
                    <w:rPr>
                      <w:rFonts w:eastAsia="Lucida Sans Unicode"/>
                      <w:b/>
                      <w:bCs/>
                      <w:szCs w:val="24"/>
                      <w:lang w:eastAsia="lt-LT"/>
                    </w:rPr>
                  </w:pPr>
                  <w:sdt>
                    <w:sdtPr>
                      <w:alias w:val="Pavadinimas"/>
                      <w:tag w:val="title_2b973fc8e48042caaad9c29a592587f8"/>
                      <w:lock w:val="sdtLocked"/>
                      <w:richText/>
                    </w:sdtPr>
                    <w:sdtContent>
                      <w:r>
                        <w:rPr>
                          <w:rFonts w:eastAsia="Lucida Sans Unicode"/>
                          <w:b/>
                          <w:bCs/>
                          <w:szCs w:val="24"/>
                          <w:lang w:eastAsia="lt-LT"/>
                        </w:rPr>
                        <w:t>Dabartinis sprendimo projekte aptariamų klausimų reguliavimas.</w:t>
                      </w:r>
                    </w:sdtContent>
                  </w:sdt>
                </w:p>
                <w:p>
                  <w:pPr>
                    <w:widowControl w:val="0"/>
                    <w:suppressAutoHyphens/>
                    <w:ind w:firstLine="1134"/>
                    <w:jc w:val="both"/>
                    <w:rPr>
                      <w:rFonts w:eastAsia="Lucida Sans Unicode"/>
                      <w:bCs/>
                      <w:szCs w:val="24"/>
                      <w:lang w:eastAsia="lt-LT"/>
                    </w:rPr>
                  </w:pPr>
                  <w:r>
                    <w:rPr>
                      <w:rFonts w:eastAsia="Lucida Sans Unicode"/>
                      <w:szCs w:val="24"/>
                      <w:lang w:eastAsia="lt-LT"/>
                    </w:rPr>
                    <w:t>Ataskaitos rengimo bei pildymo tvarką ir formą reglamentuoja Lietuvos Respublikos aplinkos ministro 2011 m. kovo 4 d. įsakymas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w:t>
                  </w:r>
                  <w:r>
                    <w:rPr>
                      <w:rFonts w:eastAsia="Lucida Sans Unicode"/>
                      <w:bCs/>
                      <w:szCs w:val="24"/>
                      <w:lang w:eastAsia="lt-LT"/>
                    </w:rPr>
                    <w:t>“. Vadovaujantis tvarkos aprašo 4 punktu „Savivaldybė ne vėliau kaip iki kovo 1 d. pateikia AAD savivaldybės tarybos sprendimu patvirtintą Ataskaitą kartu su šio sprendimo kopija“.</w:t>
                  </w:r>
                </w:p>
                <w:p>
                  <w:pPr>
                    <w:widowControl w:val="0"/>
                    <w:suppressAutoHyphens/>
                    <w:ind w:firstLine="1134"/>
                    <w:jc w:val="both"/>
                    <w:rPr>
                      <w:rFonts w:eastAsia="Lucida Sans Unicode"/>
                      <w:bCs/>
                      <w:szCs w:val="24"/>
                      <w:lang w:eastAsia="lt-LT"/>
                    </w:rPr>
                  </w:pPr>
                  <w:r>
                    <w:rPr>
                      <w:rFonts w:eastAsia="Lucida Sans Unicode"/>
                      <w:szCs w:val="24"/>
                      <w:lang w:eastAsia="lt-LT"/>
                    </w:rPr>
                    <w:t>2024 m. aplinkos apsaugos rėmimo specialiosios programos pajamos ir išlaidos patvirtintos Šiaulių miesto savivaldybės tarybos 2024 m. vasario 1 d. sprendimu Nr. T-2 „Dėl Šiaulių miesto savivaldybės 2024 metų biudžeto patvirtinimo“. Aplinkos apsaugos rėmimo specialiosios programos 2024 m. priemonės patvirtintos Šiaulių miesto savivaldybės tarybos 2024 m. vasario 1 d. sprendimo T-1 „Dėl Šiaulių miesto savivaldybės 2024-2026 metų strateginio veiklos plano patvirtinimo“ Aplinkos apsaugos programoje.</w:t>
                  </w:r>
                  <w:r>
                    <w:rPr>
                      <w:rFonts w:eastAsia="Lucida Sans Unicode"/>
                      <w:bCs/>
                      <w:szCs w:val="24"/>
                      <w:lang w:eastAsia="lt-LT"/>
                    </w:rPr>
                    <w:t xml:space="preserve"> Kai kurios ataskaitoje aprašomos veiklos strateginiame veiklos plane numatytos ne kaip priemonės, o kaip priemonių įgyvendinimo rodikliai, pvz: </w:t>
                  </w:r>
                  <w:r>
                    <w:rPr>
                      <w:rFonts w:eastAsia="Lucida Sans Unicode"/>
                      <w:szCs w:val="24"/>
                      <w:lang w:eastAsia="lt-LT"/>
                    </w:rPr>
                    <w:t>„Naikinti Sosnovskio barščius Šiaulių mieste“, „Išvalyti paviršinius vandens telkinius nuo perteklinių vandens augalų“.</w:t>
                  </w:r>
                </w:p>
                <w:p>
                  <w:pPr>
                    <w:widowControl w:val="0"/>
                    <w:suppressAutoHyphens/>
                    <w:ind w:firstLine="1134"/>
                    <w:jc w:val="both"/>
                    <w:rPr>
                      <w:rFonts w:eastAsia="Lucida Sans Unicode"/>
                      <w:strike/>
                      <w:szCs w:val="24"/>
                      <w:lang w:eastAsia="lt-LT"/>
                    </w:rPr>
                  </w:pPr>
                  <w:r>
                    <w:rPr>
                      <w:rFonts w:eastAsia="Lucida Sans Unicode"/>
                      <w:bCs/>
                      <w:szCs w:val="24"/>
                      <w:lang w:eastAsia="lt-LT"/>
                    </w:rPr>
                    <w:t>Ataskaitoje pateikiami gauti juridinių ir fizinių asmenų sumokėti mokesčiai per ataskaitinius metus už teršalų išmetimą į aplinką, už valstybinius gamtos išteklius, už kertamus saugotinus želdinius, aprašomos įgyvendintos priemonės ir pateikiamos panaudotos lėšos. Ataskaitoje tiek gaunamos, tiek panaudojamos lėšos nurodomos eurų tikslumu. Pildant ataskaitą dėl lėšų apvalinimo s</w:t>
                  </w:r>
                  <w:r>
                    <w:rPr>
                      <w:rFonts w:eastAsia="Lucida Sans Unicode"/>
                      <w:szCs w:val="24"/>
                      <w:lang w:eastAsia="lt-LT"/>
                    </w:rPr>
                    <w:t>usidaro situacija, kuomet atsiranda skirtumas tarp Ataskaitoje pateikto ir faktinio savivaldybės biudžeto lėšų likučio.</w:t>
                  </w:r>
                </w:p>
                <w:p>
                  <w:pPr>
                    <w:widowControl w:val="0"/>
                    <w:suppressAutoHyphens/>
                    <w:ind w:firstLine="1134"/>
                    <w:jc w:val="both"/>
                    <w:rPr>
                      <w:rFonts w:eastAsia="Lucida Sans Unicode"/>
                      <w:bCs/>
                      <w:szCs w:val="24"/>
                      <w:lang w:eastAsia="lt-LT"/>
                    </w:rPr>
                  </w:pPr>
                  <w:r>
                    <w:rPr>
                      <w:rFonts w:eastAsia="Lucida Sans Unicode"/>
                      <w:bCs/>
                      <w:szCs w:val="24"/>
                      <w:lang w:eastAsia="lt-LT"/>
                    </w:rPr>
                    <w:t>Nustatytoje ataskaitos formoje yra nurodytos specialiosios programos lėšų naudojimo veiklos, o jų detalus paskirstymas pateiktas Lietuvos Respublikos aplinkos ministerijos Savivaldybių aplinkos apsaugos rėmimo specialiosios programos lėšų naudojimo rekomendacijose (toliau – rekomendacijos).</w:t>
                  </w:r>
                </w:p>
                <w:p>
                  <w:pPr>
                    <w:widowControl w:val="0"/>
                    <w:suppressAutoHyphens/>
                    <w:ind w:firstLine="1134"/>
                    <w:jc w:val="both"/>
                    <w:rPr>
                      <w:rFonts w:eastAsia="Lucida Sans Unicode"/>
                      <w:szCs w:val="24"/>
                      <w:lang w:eastAsia="lt-LT"/>
                    </w:rPr>
                  </w:pPr>
                </w:p>
                <w:p>
                  <w:pPr>
                    <w:widowControl w:val="0"/>
                    <w:suppressAutoHyphens/>
                    <w:ind w:firstLine="1134"/>
                    <w:jc w:val="both"/>
                    <w:rPr>
                      <w:rFonts w:eastAsia="Lucida Sans Unicode"/>
                      <w:szCs w:val="24"/>
                      <w:lang w:eastAsia="lt-LT"/>
                    </w:rPr>
                  </w:pPr>
                </w:p>
                <w:p>
                  <w:pPr>
                    <w:widowControl w:val="0"/>
                    <w:suppressAutoHyphens/>
                    <w:ind w:firstLine="1134"/>
                    <w:jc w:val="both"/>
                    <w:rPr>
                      <w:rFonts w:eastAsia="Lucida Sans Unicode"/>
                      <w:szCs w:val="24"/>
                      <w:lang w:eastAsia="lt-LT"/>
                    </w:rPr>
                  </w:pPr>
                </w:p>
                <w:p>
                  <w:pPr>
                    <w:widowControl w:val="0"/>
                    <w:suppressAutoHyphens/>
                    <w:ind w:firstLine="1134"/>
                    <w:jc w:val="both"/>
                    <w:rPr>
                      <w:rFonts w:eastAsia="Lucida Sans Unicode"/>
                      <w:szCs w:val="24"/>
                      <w:lang w:eastAsia="lt-LT"/>
                    </w:rPr>
                  </w:pPr>
                  <w:r>
                    <w:rPr>
                      <w:rFonts w:eastAsia="Lucida Sans Unicode"/>
                      <w:szCs w:val="24"/>
                      <w:lang w:eastAsia="lt-LT"/>
                    </w:rPr>
                    <w:t xml:space="preserve">2024 metams buvo planuota surinkti: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2127"/>
                    <w:gridCol w:w="1927"/>
                    <w:gridCol w:w="1895"/>
                  </w:tblGrid>
                  <w:tr>
                    <w:tc>
                      <w:tcPr>
                        <w:tcW w:w="3397" w:type="dxa"/>
                      </w:tcPr>
                      <w:p>
                        <w:pPr>
                          <w:widowControl w:val="0"/>
                          <w:suppressAutoHyphens/>
                          <w:jc w:val="both"/>
                          <w:rPr>
                            <w:rFonts w:eastAsia="Lucida Sans Unicode"/>
                            <w:szCs w:val="24"/>
                            <w:lang w:eastAsia="lt-LT"/>
                          </w:rPr>
                        </w:pPr>
                      </w:p>
                    </w:tc>
                    <w:tc>
                      <w:tcPr>
                        <w:tcW w:w="2127" w:type="dxa"/>
                      </w:tcPr>
                      <w:p>
                        <w:pPr>
                          <w:widowControl w:val="0"/>
                          <w:suppressAutoHyphens/>
                          <w:jc w:val="both"/>
                          <w:rPr>
                            <w:rFonts w:eastAsia="Lucida Sans Unicode"/>
                            <w:szCs w:val="24"/>
                            <w:lang w:eastAsia="lt-LT"/>
                          </w:rPr>
                        </w:pPr>
                        <w:r>
                          <w:rPr>
                            <w:rFonts w:eastAsia="Lucida Sans Unicode"/>
                            <w:szCs w:val="24"/>
                            <w:lang w:eastAsia="lt-LT"/>
                          </w:rPr>
                          <w:t>Planuota surinkti 2024 m, Eur</w:t>
                        </w:r>
                      </w:p>
                    </w:tc>
                    <w:tc>
                      <w:tcPr>
                        <w:tcW w:w="1927" w:type="dxa"/>
                      </w:tcPr>
                      <w:p>
                        <w:pPr>
                          <w:widowControl w:val="0"/>
                          <w:suppressAutoHyphens/>
                          <w:jc w:val="both"/>
                          <w:rPr>
                            <w:rFonts w:eastAsia="Lucida Sans Unicode"/>
                            <w:szCs w:val="24"/>
                            <w:lang w:eastAsia="lt-LT"/>
                          </w:rPr>
                        </w:pPr>
                        <w:r>
                          <w:rPr>
                            <w:rFonts w:eastAsia="Lucida Sans Unicode"/>
                            <w:szCs w:val="24"/>
                            <w:lang w:eastAsia="lt-LT"/>
                          </w:rPr>
                          <w:t>Faktiškai surinkta 2024 m, Eur</w:t>
                        </w:r>
                      </w:p>
                    </w:tc>
                    <w:tc>
                      <w:tcPr>
                        <w:tcW w:w="1895" w:type="dxa"/>
                      </w:tcPr>
                      <w:p>
                        <w:pPr>
                          <w:widowControl w:val="0"/>
                          <w:suppressAutoHyphens/>
                          <w:jc w:val="both"/>
                          <w:rPr>
                            <w:rFonts w:eastAsia="Lucida Sans Unicode"/>
                            <w:b/>
                            <w:szCs w:val="24"/>
                            <w:lang w:eastAsia="lt-LT"/>
                          </w:rPr>
                        </w:pPr>
                        <w:r>
                          <w:rPr>
                            <w:rFonts w:eastAsia="Lucida Sans Unicode"/>
                            <w:b/>
                            <w:szCs w:val="24"/>
                            <w:lang w:eastAsia="lt-LT"/>
                          </w:rPr>
                          <w:t>Surinkta daugiau nei planuota, Eur</w:t>
                        </w:r>
                      </w:p>
                    </w:tc>
                  </w:tr>
                  <w:tr>
                    <w:tc>
                      <w:tcPr>
                        <w:tcW w:w="3397" w:type="dxa"/>
                      </w:tcPr>
                      <w:p>
                        <w:pPr>
                          <w:widowControl w:val="0"/>
                          <w:suppressAutoHyphens/>
                          <w:jc w:val="both"/>
                          <w:rPr>
                            <w:rFonts w:eastAsia="Lucida Sans Unicode"/>
                            <w:szCs w:val="24"/>
                            <w:lang w:eastAsia="lt-LT"/>
                          </w:rPr>
                        </w:pPr>
                        <w:r>
                          <w:rPr>
                            <w:rFonts w:eastAsia="Lucida Sans Unicode"/>
                            <w:szCs w:val="24"/>
                            <w:lang w:eastAsia="lt-LT"/>
                          </w:rPr>
                          <w:t>Už teršalų išmetimą į aplinką</w:t>
                        </w:r>
                      </w:p>
                    </w:tc>
                    <w:tc>
                      <w:tcPr>
                        <w:tcW w:w="2127" w:type="dxa"/>
                      </w:tcPr>
                      <w:p>
                        <w:pPr>
                          <w:widowControl w:val="0"/>
                          <w:suppressAutoHyphens/>
                          <w:jc w:val="both"/>
                          <w:rPr>
                            <w:rFonts w:eastAsia="Lucida Sans Unicode"/>
                            <w:szCs w:val="24"/>
                            <w:lang w:eastAsia="lt-LT"/>
                          </w:rPr>
                        </w:pPr>
                        <w:r>
                          <w:rPr>
                            <w:rFonts w:eastAsia="Lucida Sans Unicode"/>
                            <w:szCs w:val="24"/>
                            <w:lang w:eastAsia="lt-LT"/>
                          </w:rPr>
                          <w:t>250 000</w:t>
                        </w:r>
                      </w:p>
                    </w:tc>
                    <w:tc>
                      <w:tcPr>
                        <w:tcW w:w="1927" w:type="dxa"/>
                      </w:tcPr>
                      <w:p>
                        <w:pPr>
                          <w:widowControl w:val="0"/>
                          <w:suppressAutoHyphens/>
                          <w:jc w:val="both"/>
                          <w:rPr>
                            <w:rFonts w:eastAsia="Lucida Sans Unicode"/>
                            <w:szCs w:val="24"/>
                            <w:lang w:eastAsia="lt-LT"/>
                          </w:rPr>
                        </w:pPr>
                        <w:r>
                          <w:rPr>
                            <w:rFonts w:eastAsia="Lucida Sans Unicode"/>
                            <w:szCs w:val="24"/>
                            <w:lang w:eastAsia="lt-LT"/>
                          </w:rPr>
                          <w:t>371 700,69</w:t>
                        </w:r>
                      </w:p>
                    </w:tc>
                    <w:tc>
                      <w:tcPr>
                        <w:tcW w:w="1895" w:type="dxa"/>
                      </w:tcPr>
                      <w:p>
                        <w:pPr>
                          <w:widowControl w:val="0"/>
                          <w:suppressAutoHyphens/>
                          <w:jc w:val="both"/>
                          <w:rPr>
                            <w:rFonts w:eastAsia="Lucida Sans Unicode"/>
                            <w:b/>
                            <w:szCs w:val="24"/>
                            <w:lang w:eastAsia="lt-LT"/>
                          </w:rPr>
                        </w:pPr>
                        <w:r>
                          <w:rPr>
                            <w:rFonts w:eastAsia="Lucida Sans Unicode"/>
                            <w:b/>
                            <w:szCs w:val="24"/>
                            <w:lang w:eastAsia="lt-LT"/>
                          </w:rPr>
                          <w:t>121 700,69</w:t>
                        </w:r>
                      </w:p>
                    </w:tc>
                  </w:tr>
                  <w:tr>
                    <w:tc>
                      <w:tcPr>
                        <w:tcW w:w="3397" w:type="dxa"/>
                      </w:tcPr>
                      <w:p>
                        <w:pPr>
                          <w:widowControl w:val="0"/>
                          <w:suppressAutoHyphens/>
                          <w:jc w:val="both"/>
                          <w:rPr>
                            <w:rFonts w:eastAsia="Lucida Sans Unicode"/>
                            <w:szCs w:val="24"/>
                            <w:lang w:eastAsia="lt-LT"/>
                          </w:rPr>
                        </w:pPr>
                        <w:r>
                          <w:rPr>
                            <w:rFonts w:eastAsia="Lucida Sans Unicode"/>
                            <w:szCs w:val="24"/>
                            <w:lang w:eastAsia="lt-LT"/>
                          </w:rPr>
                          <w:t>Už valstybinius gamtos išteklius</w:t>
                        </w:r>
                      </w:p>
                    </w:tc>
                    <w:tc>
                      <w:tcPr>
                        <w:tcW w:w="2127" w:type="dxa"/>
                      </w:tcPr>
                      <w:p>
                        <w:pPr>
                          <w:widowControl w:val="0"/>
                          <w:suppressAutoHyphens/>
                          <w:jc w:val="both"/>
                          <w:rPr>
                            <w:rFonts w:eastAsia="Lucida Sans Unicode"/>
                            <w:szCs w:val="24"/>
                            <w:lang w:eastAsia="lt-LT"/>
                          </w:rPr>
                        </w:pPr>
                        <w:r>
                          <w:rPr>
                            <w:rFonts w:eastAsia="Lucida Sans Unicode"/>
                            <w:szCs w:val="24"/>
                            <w:lang w:eastAsia="lt-LT"/>
                          </w:rPr>
                          <w:t>100 000</w:t>
                        </w:r>
                      </w:p>
                    </w:tc>
                    <w:tc>
                      <w:tcPr>
                        <w:tcW w:w="1927" w:type="dxa"/>
                      </w:tcPr>
                      <w:p>
                        <w:pPr>
                          <w:widowControl w:val="0"/>
                          <w:suppressAutoHyphens/>
                          <w:jc w:val="both"/>
                          <w:rPr>
                            <w:rFonts w:eastAsia="Lucida Sans Unicode"/>
                            <w:szCs w:val="24"/>
                            <w:lang w:eastAsia="lt-LT"/>
                          </w:rPr>
                        </w:pPr>
                        <w:r>
                          <w:rPr>
                            <w:rFonts w:eastAsia="Lucida Sans Unicode"/>
                            <w:szCs w:val="24"/>
                            <w:lang w:eastAsia="lt-LT"/>
                          </w:rPr>
                          <w:t>74 279,12</w:t>
                        </w:r>
                      </w:p>
                    </w:tc>
                    <w:tc>
                      <w:tcPr>
                        <w:tcW w:w="1895" w:type="dxa"/>
                      </w:tcPr>
                      <w:p>
                        <w:pPr>
                          <w:widowControl w:val="0"/>
                          <w:suppressAutoHyphens/>
                          <w:ind w:firstLine="372"/>
                          <w:jc w:val="both"/>
                          <w:rPr>
                            <w:rFonts w:eastAsia="Lucida Sans Unicode"/>
                            <w:b/>
                            <w:szCs w:val="24"/>
                            <w:lang w:eastAsia="lt-LT"/>
                          </w:rPr>
                        </w:pPr>
                        <w:r>
                          <w:rPr>
                            <w:rFonts w:eastAsia="Lucida Sans Unicode"/>
                            <w:b/>
                            <w:szCs w:val="24"/>
                            <w:lang w:eastAsia="lt-LT"/>
                          </w:rPr>
                          <w:t>-25 720,88</w:t>
                        </w:r>
                      </w:p>
                    </w:tc>
                  </w:tr>
                  <w:tr>
                    <w:tc>
                      <w:tcPr>
                        <w:tcW w:w="3397" w:type="dxa"/>
                      </w:tcPr>
                      <w:p>
                        <w:pPr>
                          <w:widowControl w:val="0"/>
                          <w:suppressAutoHyphens/>
                          <w:jc w:val="both"/>
                          <w:rPr>
                            <w:rFonts w:eastAsia="Lucida Sans Unicode"/>
                            <w:szCs w:val="24"/>
                            <w:lang w:eastAsia="lt-LT"/>
                          </w:rPr>
                        </w:pPr>
                        <w:r>
                          <w:rPr>
                            <w:rFonts w:eastAsia="Lucida Sans Unicode"/>
                            <w:szCs w:val="24"/>
                            <w:lang w:eastAsia="lt-LT"/>
                          </w:rPr>
                          <w:t>Atkuriamoji vertė už iškirstus želdinius</w:t>
                        </w:r>
                      </w:p>
                    </w:tc>
                    <w:tc>
                      <w:tcPr>
                        <w:tcW w:w="2127" w:type="dxa"/>
                      </w:tcPr>
                      <w:p>
                        <w:pPr>
                          <w:widowControl w:val="0"/>
                          <w:suppressAutoHyphens/>
                          <w:jc w:val="both"/>
                          <w:rPr>
                            <w:rFonts w:eastAsia="Lucida Sans Unicode"/>
                            <w:szCs w:val="24"/>
                            <w:lang w:eastAsia="lt-LT"/>
                          </w:rPr>
                        </w:pPr>
                        <w:r>
                          <w:rPr>
                            <w:rFonts w:eastAsia="Lucida Sans Unicode"/>
                            <w:szCs w:val="24"/>
                            <w:lang w:eastAsia="lt-LT"/>
                          </w:rPr>
                          <w:t>100 000</w:t>
                        </w:r>
                      </w:p>
                    </w:tc>
                    <w:tc>
                      <w:tcPr>
                        <w:tcW w:w="1927" w:type="dxa"/>
                      </w:tcPr>
                      <w:p>
                        <w:pPr>
                          <w:widowControl w:val="0"/>
                          <w:suppressAutoHyphens/>
                          <w:jc w:val="both"/>
                          <w:rPr>
                            <w:rFonts w:eastAsia="Lucida Sans Unicode"/>
                            <w:szCs w:val="24"/>
                            <w:lang w:eastAsia="lt-LT"/>
                          </w:rPr>
                        </w:pPr>
                        <w:r>
                          <w:rPr>
                            <w:rFonts w:eastAsia="Lucida Sans Unicode"/>
                            <w:szCs w:val="24"/>
                            <w:lang w:eastAsia="lt-LT"/>
                          </w:rPr>
                          <w:t>275 566,73</w:t>
                        </w:r>
                      </w:p>
                    </w:tc>
                    <w:tc>
                      <w:tcPr>
                        <w:tcW w:w="1895" w:type="dxa"/>
                      </w:tcPr>
                      <w:p>
                        <w:pPr>
                          <w:widowControl w:val="0"/>
                          <w:suppressAutoHyphens/>
                          <w:jc w:val="both"/>
                          <w:rPr>
                            <w:rFonts w:eastAsia="Lucida Sans Unicode"/>
                            <w:b/>
                            <w:szCs w:val="24"/>
                            <w:lang w:eastAsia="lt-LT"/>
                          </w:rPr>
                        </w:pPr>
                        <w:r>
                          <w:rPr>
                            <w:rFonts w:eastAsia="Lucida Sans Unicode"/>
                            <w:b/>
                            <w:szCs w:val="24"/>
                            <w:lang w:eastAsia="lt-LT"/>
                          </w:rPr>
                          <w:t>175 566,73</w:t>
                        </w:r>
                      </w:p>
                    </w:tc>
                  </w:tr>
                  <w:tr>
                    <w:tc>
                      <w:tcPr>
                        <w:tcW w:w="7451" w:type="dxa"/>
                        <w:gridSpan w:val="3"/>
                      </w:tcPr>
                      <w:p>
                        <w:pPr>
                          <w:widowControl w:val="0"/>
                          <w:suppressAutoHyphens/>
                          <w:ind w:firstLine="6820"/>
                          <w:jc w:val="both"/>
                          <w:rPr>
                            <w:rFonts w:eastAsia="Lucida Sans Unicode"/>
                            <w:szCs w:val="24"/>
                            <w:lang w:eastAsia="lt-LT"/>
                          </w:rPr>
                        </w:pPr>
                        <w:r>
                          <w:rPr>
                            <w:rFonts w:eastAsia="Lucida Sans Unicode"/>
                            <w:szCs w:val="24"/>
                            <w:lang w:eastAsia="lt-LT"/>
                          </w:rPr>
                          <w:t>VISO:</w:t>
                        </w:r>
                      </w:p>
                    </w:tc>
                    <w:tc>
                      <w:tcPr>
                        <w:tcW w:w="1895" w:type="dxa"/>
                      </w:tcPr>
                      <w:p>
                        <w:pPr>
                          <w:widowControl w:val="0"/>
                          <w:suppressAutoHyphens/>
                          <w:jc w:val="both"/>
                          <w:rPr>
                            <w:rFonts w:eastAsia="Lucida Sans Unicode"/>
                            <w:b/>
                            <w:szCs w:val="24"/>
                            <w:lang w:eastAsia="lt-LT"/>
                          </w:rPr>
                        </w:pPr>
                        <w:r>
                          <w:rPr>
                            <w:rFonts w:eastAsia="Lucida Sans Unicode"/>
                            <w:b/>
                            <w:szCs w:val="24"/>
                            <w:lang w:eastAsia="lt-LT"/>
                          </w:rPr>
                          <w:t>271 546,54</w:t>
                        </w:r>
                      </w:p>
                    </w:tc>
                  </w:tr>
                </w:tbl>
                <w:p>
                  <w:pPr>
                    <w:widowControl w:val="0"/>
                    <w:suppressAutoHyphens/>
                    <w:ind w:firstLine="1134"/>
                    <w:jc w:val="both"/>
                    <w:rPr>
                      <w:rFonts w:eastAsia="Lucida Sans Unicode"/>
                      <w:szCs w:val="24"/>
                      <w:lang w:eastAsia="lt-LT"/>
                    </w:rPr>
                  </w:pPr>
                </w:p>
                <w:p>
                  <w:pPr>
                    <w:widowControl w:val="0"/>
                    <w:suppressAutoHyphens/>
                    <w:ind w:firstLine="1134"/>
                    <w:jc w:val="both"/>
                    <w:rPr>
                      <w:rFonts w:eastAsia="Lucida Sans Unicode"/>
                      <w:bCs/>
                      <w:szCs w:val="24"/>
                      <w:lang w:eastAsia="lt-LT"/>
                    </w:rPr>
                  </w:pPr>
                  <w:r>
                    <w:rPr>
                      <w:rFonts w:eastAsia="Lucida Sans Unicode"/>
                      <w:szCs w:val="24"/>
                      <w:lang w:eastAsia="lt-LT"/>
                    </w:rPr>
                    <w:t>Surinkta 271 546,54 Eur daugiau negu buvo planuota. Šios surinktos lėšos, kartu su 2023 metų likučiu yra tikslinės lėšos, kurios bus naudojamos veikloms atitinkančioms</w:t>
                  </w:r>
                  <w:r>
                    <w:rPr>
                      <w:rFonts w:eastAsia="Lucida Sans Unicode"/>
                      <w:bCs/>
                      <w:szCs w:val="24"/>
                      <w:lang w:eastAsia="lt-LT"/>
                    </w:rPr>
                    <w:t xml:space="preserve"> Savivaldybių aplinkos apsaugos rėmimo specialiosios programos lėšų naudojimo rekomendacijas</w:t>
                  </w:r>
                  <w:r>
                    <w:rPr>
                      <w:rFonts w:eastAsia="Lucida Sans Unicode"/>
                      <w:szCs w:val="24"/>
                      <w:lang w:eastAsia="lt-LT"/>
                    </w:rPr>
                    <w:t xml:space="preserve">. Lėšos kaupiamos iki poreikio panaudoti. Lėšų nepanaudojimo priežastys pateikiamos priede. </w:t>
                  </w:r>
                </w:p>
              </w:sdtContent>
            </w:sdt>
            <w:sdt>
              <w:sdtPr>
                <w:alias w:val="poskyris"/>
                <w:tag w:val="part_38e280a290bd42179fb1944504c41377"/>
                <w:lock w:val="sdtLocked"/>
                <w:richText/>
              </w:sdtPr>
              <w:sdtContent>
                <w:p>
                  <w:pPr>
                    <w:widowControl w:val="0"/>
                    <w:suppressAutoHyphens/>
                    <w:ind w:firstLine="1134"/>
                    <w:jc w:val="both"/>
                    <w:rPr>
                      <w:rFonts w:eastAsia="Lucida Sans Unicode"/>
                      <w:b/>
                      <w:bCs/>
                      <w:szCs w:val="24"/>
                      <w:lang w:eastAsia="lt-LT"/>
                    </w:rPr>
                  </w:pPr>
                  <w:sdt>
                    <w:sdtPr>
                      <w:alias w:val="Pavadinimas"/>
                      <w:tag w:val="title_38e280a290bd42179fb1944504c41377"/>
                      <w:lock w:val="sdtLocked"/>
                      <w:richText/>
                    </w:sdtPr>
                    <w:sdtContent>
                      <w:r>
                        <w:rPr>
                          <w:rFonts w:eastAsia="Lucida Sans Unicode"/>
                          <w:b/>
                          <w:bCs/>
                          <w:szCs w:val="24"/>
                          <w:lang w:eastAsia="lt-LT"/>
                        </w:rPr>
                        <w:t>Sprendimo projekte numatytos naujos teisinio reglamentavimo nuostatos:</w:t>
                      </w:r>
                    </w:sdtContent>
                  </w:sdt>
                </w:p>
                <w:p>
                  <w:pPr>
                    <w:widowControl w:val="0"/>
                    <w:suppressAutoHyphens/>
                    <w:ind w:firstLine="1134"/>
                    <w:jc w:val="both"/>
                    <w:rPr>
                      <w:rFonts w:eastAsia="Lucida Sans Unicode"/>
                      <w:szCs w:val="24"/>
                      <w:lang w:eastAsia="lt-LT"/>
                    </w:rPr>
                  </w:pPr>
                  <w:r>
                    <w:rPr>
                      <w:rFonts w:eastAsia="Lucida Sans Unicode"/>
                      <w:szCs w:val="24"/>
                      <w:lang w:eastAsia="lt-LT"/>
                    </w:rPr>
                    <w:t>Sprendimo projekte numatyta patvirtinti Šiaulių miesto savivaldybės aplinkos apsaugos rėmimo specialiosios programos 2024 m. priemonių vykdymo ataskaitą.</w:t>
                  </w:r>
                </w:p>
              </w:sdtContent>
            </w:sdt>
            <w:sdt>
              <w:sdtPr>
                <w:alias w:val="poskyris"/>
                <w:tag w:val="part_e885e0b8e4a04a6da506f6f1c920942f"/>
                <w:lock w:val="sdtLocked"/>
                <w:richText/>
              </w:sdtPr>
              <w:sdtContent>
                <w:p>
                  <w:pPr>
                    <w:widowControl w:val="0"/>
                    <w:ind w:left="425" w:firstLine="709"/>
                    <w:jc w:val="both"/>
                    <w:rPr>
                      <w:rFonts w:eastAsia="Lucida Sans Unicode"/>
                      <w:b/>
                      <w:szCs w:val="24"/>
                      <w:lang w:eastAsia="lt-LT"/>
                    </w:rPr>
                  </w:pPr>
                  <w:sdt>
                    <w:sdtPr>
                      <w:alias w:val="Pavadinimas"/>
                      <w:tag w:val="title_e885e0b8e4a04a6da506f6f1c920942f"/>
                      <w:lock w:val="sdtLocked"/>
                      <w:richText/>
                    </w:sdtPr>
                    <w:sdtContent>
                      <w:r>
                        <w:rPr>
                          <w:rFonts w:eastAsia="Lucida Sans Unicode"/>
                          <w:b/>
                          <w:szCs w:val="24"/>
                          <w:lang w:eastAsia="lt-LT"/>
                        </w:rPr>
                        <w:t xml:space="preserve">Priėmus sprendimą, galimos pasekmės. </w:t>
                      </w:r>
                    </w:sdtContent>
                  </w:sdt>
                </w:p>
                <w:p>
                  <w:pPr>
                    <w:widowControl w:val="0"/>
                    <w:ind w:firstLine="1134"/>
                    <w:jc w:val="both"/>
                    <w:rPr>
                      <w:rFonts w:eastAsia="Lucida Sans Unicode"/>
                      <w:szCs w:val="24"/>
                      <w:lang w:eastAsia="lt-LT"/>
                    </w:rPr>
                  </w:pPr>
                  <w:r>
                    <w:rPr>
                      <w:rFonts w:eastAsia="Lucida Sans Unicode"/>
                      <w:szCs w:val="24"/>
                      <w:lang w:eastAsia="lt-LT"/>
                    </w:rPr>
                    <w:t>Priėmus sprendimą bus įgyvendinti LR teisės aktų, reglamentuojančių aplinkos apsaugos rėmimo specialiosios programos priemonių vykdymo ataskaitos teikimo tvarką, reikalavimai.</w:t>
                  </w:r>
                </w:p>
                <w:p>
                  <w:pPr>
                    <w:widowControl w:val="0"/>
                    <w:ind w:firstLine="1134"/>
                    <w:jc w:val="both"/>
                    <w:rPr>
                      <w:rFonts w:eastAsia="Lucida Sans Unicode"/>
                      <w:bCs/>
                      <w:szCs w:val="24"/>
                      <w:lang w:eastAsia="lt-LT"/>
                    </w:rPr>
                  </w:pPr>
                  <w:r>
                    <w:rPr>
                      <w:rFonts w:eastAsia="Lucida Sans Unicode"/>
                      <w:szCs w:val="24"/>
                      <w:lang w:eastAsia="lt-LT"/>
                    </w:rPr>
                    <w:t>Neigiamų pasekmių nenumatoma.</w:t>
                  </w:r>
                </w:p>
              </w:sdtContent>
            </w:sdt>
            <w:sdt>
              <w:sdtPr>
                <w:alias w:val="poskyris"/>
                <w:tag w:val="part_6e04f89d926a4e4f905eb36035a3c710"/>
                <w:lock w:val="sdtLocked"/>
                <w:richText/>
              </w:sdtPr>
              <w:sdtContent>
                <w:p>
                  <w:pPr>
                    <w:widowControl w:val="0"/>
                    <w:suppressLineNumbers/>
                    <w:suppressAutoHyphens/>
                    <w:ind w:firstLine="1134"/>
                    <w:jc w:val="both"/>
                    <w:rPr>
                      <w:rFonts w:eastAsia="Lucida Sans Unicode"/>
                      <w:b/>
                      <w:bCs/>
                      <w:szCs w:val="24"/>
                      <w:lang w:eastAsia="lt-LT"/>
                    </w:rPr>
                  </w:pPr>
                  <w:sdt>
                    <w:sdtPr>
                      <w:alias w:val="Pavadinimas"/>
                      <w:tag w:val="title_6e04f89d926a4e4f905eb36035a3c710"/>
                      <w:lock w:val="sdtLocked"/>
                      <w:richText/>
                    </w:sdtPr>
                    <w:sdtContent>
                      <w:r>
                        <w:rPr>
                          <w:rFonts w:eastAsia="Lucida Sans Unicode"/>
                          <w:b/>
                          <w:bCs/>
                          <w:szCs w:val="24"/>
                          <w:lang w:eastAsia="lt-LT"/>
                        </w:rPr>
                        <w:t>Priėmus sprendimą, keičiami ar pripažįstami negaliojančiais teisės aktai.</w:t>
                      </w:r>
                    </w:sdtContent>
                  </w:sdt>
                </w:p>
                <w:p>
                  <w:pPr>
                    <w:widowControl w:val="0"/>
                    <w:suppressLineNumbers/>
                    <w:suppressAutoHyphens/>
                    <w:ind w:firstLine="1134"/>
                    <w:jc w:val="both"/>
                    <w:rPr>
                      <w:rFonts w:eastAsia="Lucida Sans Unicode"/>
                      <w:bCs/>
                      <w:szCs w:val="24"/>
                      <w:lang w:eastAsia="lt-LT"/>
                    </w:rPr>
                  </w:pPr>
                  <w:r>
                    <w:rPr>
                      <w:rFonts w:eastAsia="Lucida Sans Unicode"/>
                      <w:bCs/>
                      <w:szCs w:val="24"/>
                      <w:lang w:eastAsia="lt-LT"/>
                    </w:rPr>
                    <w:t>Priėmus sprendimą, savivaldybės teisės aktai nekeičiami ir nenaikinami.</w:t>
                  </w:r>
                </w:p>
              </w:sdtContent>
            </w:sdt>
            <w:sdt>
              <w:sdtPr>
                <w:alias w:val="poskyris"/>
                <w:tag w:val="part_0a6a973ebe8e4d5b93462a430ff22c0c"/>
                <w:lock w:val="sdtLocked"/>
                <w:richText/>
              </w:sdtPr>
              <w:sdtContent>
                <w:p>
                  <w:pPr>
                    <w:widowControl w:val="0"/>
                    <w:suppressAutoHyphens/>
                    <w:ind w:firstLine="1134"/>
                    <w:jc w:val="both"/>
                    <w:rPr>
                      <w:rFonts w:eastAsia="Lucida Sans Unicode"/>
                      <w:b/>
                      <w:bCs/>
                      <w:szCs w:val="24"/>
                      <w:lang w:eastAsia="lt-LT"/>
                    </w:rPr>
                  </w:pPr>
                  <w:sdt>
                    <w:sdtPr>
                      <w:alias w:val="Pavadinimas"/>
                      <w:tag w:val="title_0a6a973ebe8e4d5b93462a430ff22c0c"/>
                      <w:lock w:val="sdtLocked"/>
                      <w:richText/>
                    </w:sdtPr>
                    <w:sdtContent>
                      <w:r>
                        <w:rPr>
                          <w:rFonts w:eastAsia="Lucida Sans Unicode"/>
                          <w:b/>
                          <w:bCs/>
                          <w:szCs w:val="24"/>
                          <w:lang w:eastAsia="lt-LT"/>
                        </w:rPr>
                        <w:t>Sprendimui įgyvendinti reikalingi priimti papildomi teisės aktai.</w:t>
                      </w:r>
                    </w:sdtContent>
                  </w:sdt>
                </w:p>
                <w:p>
                  <w:pPr>
                    <w:widowControl w:val="0"/>
                    <w:ind w:firstLine="1134"/>
                    <w:jc w:val="both"/>
                    <w:rPr>
                      <w:rFonts w:eastAsia="Lucida Sans Unicode"/>
                      <w:b/>
                      <w:bCs/>
                      <w:szCs w:val="24"/>
                      <w:lang w:eastAsia="lt-LT"/>
                    </w:rPr>
                  </w:pPr>
                  <w:r>
                    <w:rPr>
                      <w:rFonts w:eastAsia="Lucida Sans Unicode"/>
                      <w:szCs w:val="24"/>
                      <w:lang w:eastAsia="lt-LT"/>
                    </w:rPr>
                    <w:t>Sprendimui įgyvendinti papildomų teisės aktų priimti nereikės.</w:t>
                  </w:r>
                </w:p>
                <w:p>
                  <w:pPr>
                    <w:widowControl w:val="0"/>
                    <w:ind w:firstLine="1134"/>
                    <w:jc w:val="both"/>
                    <w:rPr>
                      <w:rFonts w:eastAsia="Lucida Sans Unicode"/>
                      <w:bCs/>
                      <w:szCs w:val="24"/>
                      <w:lang w:eastAsia="lt-LT"/>
                    </w:rPr>
                  </w:pPr>
                  <w:r>
                    <w:rPr>
                      <w:rFonts w:eastAsia="Lucida Sans Unicode"/>
                      <w:b/>
                      <w:bCs/>
                      <w:szCs w:val="24"/>
                      <w:lang w:eastAsia="lt-LT"/>
                    </w:rPr>
                    <w:t>Sprendimui įgyvendinti reikalingos lėšos</w:t>
                  </w:r>
                  <w:r>
                    <w:rPr>
                      <w:rFonts w:eastAsia="Lucida Sans Unicode"/>
                      <w:bCs/>
                      <w:szCs w:val="24"/>
                      <w:lang w:eastAsia="lt-LT"/>
                    </w:rPr>
                    <w:t>.</w:t>
                  </w:r>
                </w:p>
                <w:p>
                  <w:pPr>
                    <w:widowControl w:val="0"/>
                    <w:ind w:firstLine="1134"/>
                    <w:jc w:val="both"/>
                    <w:rPr>
                      <w:rFonts w:eastAsia="Lucida Sans Unicode"/>
                      <w:szCs w:val="24"/>
                      <w:lang w:eastAsia="lt-LT"/>
                    </w:rPr>
                  </w:pPr>
                  <w:r>
                    <w:rPr>
                      <w:rFonts w:eastAsia="Lucida Sans Unicode"/>
                      <w:szCs w:val="24"/>
                      <w:lang w:eastAsia="lt-LT"/>
                    </w:rPr>
                    <w:t>Sprendimui įgyvendinti lėšos nereikalingos.</w:t>
                  </w:r>
                </w:p>
              </w:sdtContent>
            </w:sdt>
            <w:sdt>
              <w:sdtPr>
                <w:alias w:val="poskyris"/>
                <w:tag w:val="part_b2b4c11f29e64279a9c49522fffbb42a"/>
                <w:lock w:val="sdtLocked"/>
                <w:richText/>
              </w:sdtPr>
              <w:sdtContent>
                <w:p>
                  <w:pPr>
                    <w:widowControl w:val="0"/>
                    <w:ind w:firstLine="1134"/>
                    <w:jc w:val="both"/>
                    <w:rPr>
                      <w:rFonts w:eastAsia="Lucida Sans Unicode"/>
                      <w:b/>
                      <w:szCs w:val="24"/>
                      <w:lang w:eastAsia="lt-LT"/>
                    </w:rPr>
                  </w:pPr>
                  <w:sdt>
                    <w:sdtPr>
                      <w:alias w:val="Pavadinimas"/>
                      <w:tag w:val="title_b2b4c11f29e64279a9c49522fffbb42a"/>
                      <w:lock w:val="sdtLocked"/>
                      <w:richText/>
                    </w:sdtPr>
                    <w:sdtContent>
                      <w:r>
                        <w:rPr>
                          <w:rFonts w:eastAsia="Lucida Sans Unicode"/>
                          <w:b/>
                          <w:szCs w:val="24"/>
                          <w:lang w:eastAsia="lt-LT"/>
                        </w:rPr>
                        <w:t>Sprendimo projekto antikorupcinis vertinimas.</w:t>
                      </w:r>
                    </w:sdtContent>
                  </w:sdt>
                </w:p>
                <w:p>
                  <w:pPr>
                    <w:widowControl w:val="0"/>
                    <w:ind w:firstLine="1134"/>
                    <w:jc w:val="both"/>
                    <w:rPr>
                      <w:rFonts w:eastAsia="Lucida Sans Unicode"/>
                      <w:b/>
                      <w:szCs w:val="24"/>
                      <w:lang w:eastAsia="lt-LT"/>
                    </w:rPr>
                  </w:pPr>
                  <w:r>
                    <w:rPr>
                      <w:rFonts w:eastAsia="Lucida Sans Unicode"/>
                      <w:szCs w:val="24"/>
                      <w:lang w:eastAsia="lt-LT"/>
                    </w:rPr>
                    <w:t>Sprendimo projekto antikorupcinis vertinimas nebuvo atliekamas, nes šis projektas nėra susijęs nė su vienu atveju, išvardintu Lietuvos Respublikos korupcijos prevencijos įstatymo 8 straipsnio 1 dalyje.</w:t>
                  </w:r>
                </w:p>
                <w:p>
                  <w:pPr>
                    <w:widowControl w:val="0"/>
                    <w:suppressLineNumbers/>
                    <w:ind w:firstLine="1134"/>
                    <w:jc w:val="both"/>
                    <w:rPr>
                      <w:rFonts w:eastAsia="Lucida Sans Unicode"/>
                      <w:szCs w:val="24"/>
                      <w:lang w:eastAsia="lt-LT"/>
                    </w:rPr>
                  </w:pPr>
                  <w:r>
                    <w:rPr>
                      <w:rFonts w:eastAsia="Lucida Sans Unicode"/>
                      <w:b/>
                      <w:bCs/>
                      <w:szCs w:val="24"/>
                      <w:lang w:eastAsia="lt-LT"/>
                    </w:rPr>
                    <w:t>Sprendimo projektą parengė</w:t>
                  </w:r>
                  <w:r>
                    <w:rPr>
                      <w:rFonts w:eastAsia="Lucida Sans Unicode"/>
                      <w:szCs w:val="24"/>
                      <w:lang w:eastAsia="lt-LT"/>
                    </w:rPr>
                    <w:t xml:space="preserve"> Šiaulių miesto savivaldybės administracijos Miesto ūkio ir aplinkos skyriaus Aplinkosaugos ir miesto tvarkymo poskyrio vedėja Toma Vilutienė, tel. (+370 41) 50 05 28. Tiesioginis rengėjas – Miesto ūkio ir aplinkos skyrius.</w:t>
                  </w:r>
                </w:p>
              </w:sdtContent>
            </w:sdt>
            <w:sdt>
              <w:sdtPr>
                <w:alias w:val="poskyris"/>
                <w:tag w:val="part_1a2149cef7b54d28b21d687abbe79d5c"/>
                <w:lock w:val="sdtLocked"/>
                <w:richText/>
              </w:sdtPr>
              <w:sdtContent>
                <w:p>
                  <w:pPr>
                    <w:widowControl w:val="0"/>
                    <w:suppressAutoHyphens/>
                    <w:ind w:firstLine="1134"/>
                    <w:jc w:val="both"/>
                    <w:rPr>
                      <w:rFonts w:eastAsia="Lucida Sans Unicode"/>
                      <w:b/>
                      <w:szCs w:val="24"/>
                      <w:lang w:eastAsia="lt-LT"/>
                    </w:rPr>
                  </w:pPr>
                  <w:sdt>
                    <w:sdtPr>
                      <w:alias w:val="Pavadinimas"/>
                      <w:tag w:val="title_1a2149cef7b54d28b21d687abbe79d5c"/>
                      <w:lock w:val="sdtLocked"/>
                      <w:richText/>
                    </w:sdtPr>
                    <w:sdtContent>
                      <w:r>
                        <w:rPr>
                          <w:rFonts w:eastAsia="Lucida Sans Unicode"/>
                          <w:b/>
                          <w:szCs w:val="24"/>
                          <w:lang w:eastAsia="lt-LT"/>
                        </w:rPr>
                        <w:t>Numatomo teisinio reguliavimo poveikio vertinimo rezultatai.</w:t>
                      </w:r>
                    </w:sdtContent>
                  </w:sdt>
                </w:p>
                <w:p>
                  <w:pPr>
                    <w:widowControl w:val="0"/>
                    <w:suppressAutoHyphens/>
                    <w:ind w:firstLine="1134"/>
                    <w:jc w:val="both"/>
                    <w:rPr>
                      <w:rFonts w:eastAsia="Lucida Sans Unicode"/>
                      <w:szCs w:val="24"/>
                      <w:lang w:eastAsia="lt-LT"/>
                    </w:rPr>
                  </w:pPr>
                  <w:r>
                    <w:rPr>
                      <w:rFonts w:eastAsia="Lucida Sans Unicode"/>
                      <w:szCs w:val="24"/>
                      <w:lang w:eastAsia="lt-LT"/>
                    </w:rPr>
                    <w:t>N</w:t>
                  </w:r>
                  <w:r>
                    <w:rPr>
                      <w:rFonts w:eastAsia="Lucida Sans Unicode"/>
                      <w:bCs/>
                      <w:color w:val="000000"/>
                      <w:szCs w:val="24"/>
                      <w:lang w:eastAsia="lt-LT"/>
                    </w:rPr>
                    <w:t>umatomo teisinio poveikio reguliavimo poveikio vertinimas neatliktinas, nes sprendimo projektu nėra numatoma reguliuoti iki tol nereglamentuotus santykius ar iš esmės keisti teisinį reguliavimą.</w:t>
                  </w:r>
                </w:p>
                <w:p>
                  <w:pPr>
                    <w:widowControl w:val="0"/>
                    <w:suppressLineNumbers/>
                    <w:ind w:firstLine="1134"/>
                    <w:jc w:val="both"/>
                    <w:rPr>
                      <w:rFonts w:eastAsia="Lucida Sans Unicode"/>
                      <w:szCs w:val="24"/>
                      <w:lang w:eastAsia="lt-LT"/>
                    </w:rPr>
                  </w:pPr>
                </w:p>
                <w:p>
                  <w:pPr>
                    <w:widowControl w:val="0"/>
                    <w:suppressLineNumbers/>
                    <w:ind w:firstLine="1134"/>
                    <w:jc w:val="both"/>
                    <w:rPr>
                      <w:rFonts w:eastAsia="Lucida Sans Unicode"/>
                      <w:szCs w:val="24"/>
                      <w:lang w:eastAsia="lt-LT"/>
                    </w:rPr>
                  </w:pPr>
                </w:p>
              </w:sdtContent>
            </w:sdt>
          </w:sdtContent>
        </w:sdt>
        <w:sdt>
          <w:sdtPr>
            <w:alias w:val="signatura"/>
            <w:tag w:val="part_d970fb4d3b204b3fbb509204e5faa35e"/>
            <w:lock w:val="sdtLocked"/>
            <w:richText/>
          </w:sdtPr>
          <w:sdtContent>
            <w:p>
              <w:pPr>
                <w:widowControl w:val="0"/>
                <w:tabs>
                  <w:tab w:val="right" w:pos="9356"/>
                </w:tabs>
                <w:suppressAutoHyphens/>
                <w:jc w:val="both"/>
                <w:rPr>
                  <w:rFonts w:eastAsia="Lucida Sans Unicode"/>
                  <w:szCs w:val="24"/>
                  <w:lang w:eastAsia="lt-LT"/>
                </w:rPr>
              </w:pPr>
              <w:r>
                <w:rPr>
                  <w:rFonts w:eastAsia="Lucida Sans Unicode"/>
                  <w:szCs w:val="24"/>
                  <w:lang w:eastAsia="lt-LT"/>
                </w:rPr>
                <w:t>Vedėja</w:t>
                <w:tab/>
                <w:t>Eglė Bružienė</w:t>
              </w:r>
            </w:p>
          </w:sdtContent>
        </w:sdt>
      </w:sdtContent>
    </w:sdt>
    <w:sectPr>
      <w:pgSz w:w="11906" w:h="16838"/>
      <w:pgMar w:top="1418" w:right="849" w:bottom="1276" w:left="1701"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FB6C72-111C-43A3-A882-6CF952289FA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63705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4adc48c4e4a299fe65f957119b53b" PartId="24a22b27ec0d41329c16b4cb14888ce1">
    <Part Type="skyrius" Nr="999" Title="SPRENDIMO „DĖL ŠIAULIŲ MIESTO SAVIVALDYBĖS APLINKOS APSAUGOS RĖMIMO SPECIALIOSIOS PROGRAMOS 2024 M. PRIEMONIŲ VYKDYMO ATASKAITOS PATVIRTINIMO“ PROJEKTO AIŠKINAMASIS RAŠTAS" DocPartId="ab29601c9a174b95afc52fa043e2cb4e" PartId="2c7026ccf8574b34a64d9540dc0d8bf8">
      <Part Type="poskyris" Title="Parengto sprendimo projekto tikslai ir uždaviniai." DocPartId="84c576c2b5394675bb8f8b27b172ae58" PartId="ac85dc84fbdf4028b13955a95f933f73"/>
      <Part Type="poskyris" Title="Dabartinis sprendimo projekte aptariamų klausimų reguliavimas." DocPartId="ca50ceff5e0645e489786ac11a4e2a69" PartId="2b973fc8e48042caaad9c29a592587f8"/>
      <Part Type="poskyris" Title="Sprendimo projekte numatytos naujos teisinio reglamentavimo nuostatos:" DocPartId="3f05e939384f4fe1b05ac1614fdc2f8f" PartId="38e280a290bd42179fb1944504c41377"/>
      <Part Type="poskyris" Title="Priėmus sprendimą, galimos pasekmės." DocPartId="2b5b9c5fc6a044e8a53345203afa1f5d" PartId="e885e0b8e4a04a6da506f6f1c920942f"/>
      <Part Type="poskyris" Title="Priėmus sprendimą, keičiami ar pripažįstami negaliojančiais teisės aktai." DocPartId="649479978adf44c28b5e260356b181a0" PartId="6e04f89d926a4e4f905eb36035a3c710"/>
      <Part Type="poskyris" Title="Sprendimui įgyvendinti reikalingi priimti papildomi teisės aktai." DocPartId="00454b093e7f4d078b5c0c8a6977e017" PartId="0a6a973ebe8e4d5b93462a430ff22c0c"/>
      <Part Type="poskyris" Title="Sprendimo projekto antikorupcinis vertinimas." DocPartId="03a8d0728f1e4cb5b97b7fc0fb592c02" PartId="b2b4c11f29e64279a9c49522fffbb42a"/>
      <Part Type="poskyris" Title="Numatomo teisinio reguliavimo poveikio vertinimo rezultatai." DocPartId="855a8de890334dc9b27d7721ede29f65" PartId="1a2149cef7b54d28b21d687abbe79d5c"/>
    </Part>
    <Part Type="signatura" DocPartId="d72e86f6508044d0984cfd5ef2c46c48" PartId="d970fb4d3b204b3fbb509204e5faa35e"/>
  </Part>
</Parts>
</file>

<file path=customXml/itemProps1.xml><?xml version="1.0" encoding="utf-8"?>
<ds:datastoreItem xmlns:ds="http://schemas.openxmlformats.org/officeDocument/2006/customXml" ds:itemID="{DA35F904-C771-456A-9530-CED911729A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654</Words>
  <Characters>4850</Characters>
  <Application>Microsoft Office Word</Application>
  <DocSecurity>4</DocSecurity>
  <Lines>110</Lines>
  <Paragraphs>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5448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2025-01-14T06:22:00Z</dcterms:created>
  <dc:creator>Edita Čičelienė</dc:creator>
  <lastModifiedBy>adlibuser</lastModifiedBy>
  <lastPrinted>2011-04-27T06:56:00Z</lastPrinted>
  <dcterms:modified xsi:type="dcterms:W3CDTF">2025-01-14T06:22:00Z</dcterms:modified>
  <revision>2</revision>
  <dc:title>ŠIAULIŲ MIESTO SAVIVALDYBĖS ADMINISTRACIJOS</dc:title>
</coreProperties>
</file>