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fe53ce74a04c54a68beadc178eb5d1"/>
        <w:lock w:val="sdtLocked"/>
        <w:richText/>
      </w:sdtPr>
      <w:sdtContent>
        <w:p w14:paraId="7DEFA9A8" w14:textId="77777777">
          <w:pPr>
            <w:tabs>
              <w:tab w:val="center" w:pos="4320"/>
              <w:tab w:val="right" w:pos="8640"/>
            </w:tabs>
          </w:pPr>
        </w:p>
        <w:p w14:paraId="20C6A527" w14:textId="77777777">
          <w:pPr>
            <w:jc w:val="center"/>
            <w:rPr>
              <w:szCs w:val="24"/>
            </w:rPr>
          </w:pPr>
          <w:r>
            <w:rPr>
              <w:b/>
              <w:szCs w:val="24"/>
            </w:rPr>
            <w:t>ŠIAULIŲ MIESTO SAVIVALDYBĖS ADMINISTRACIJOS</w:t>
          </w:r>
        </w:p>
        <w:sdt>
          <w:sdtPr>
            <w:alias w:val="skyrius"/>
            <w:tag w:val="part_b09ee40c8eef4a7f8b4e98b62011d53b"/>
            <w:lock w:val="sdtLocked"/>
            <w:richText/>
          </w:sdtPr>
          <w:sdtContent>
            <w:p w14:paraId="7FBA82DC" w14:textId="0AFDF4DC">
              <w:pPr>
                <w:jc w:val="center"/>
                <w:rPr>
                  <w:b/>
                  <w:szCs w:val="24"/>
                </w:rPr>
              </w:pPr>
              <w:r>
                <w:rPr>
                  <w:b/>
                  <w:szCs w:val="24"/>
                </w:rPr>
                <w:t>SOCIALINIŲ PASLAUGŲ SKYRIUS</w:t>
              </w:r>
            </w:p>
            <w:p w14:paraId="313B2CE1" w14:textId="77777777">
              <w:pPr>
                <w:rPr>
                  <w:b/>
                  <w:szCs w:val="24"/>
                </w:rPr>
              </w:pPr>
            </w:p>
            <w:p w14:paraId="3AC97E0C" w14:textId="77777777">
              <w:pPr>
                <w:suppressAutoHyphens/>
                <w:rPr>
                  <w:kern w:val="3"/>
                  <w:szCs w:val="24"/>
                  <w:lang w:eastAsia="zh-CN"/>
                </w:rPr>
              </w:pPr>
              <w:r>
                <w:rPr>
                  <w:kern w:val="3"/>
                  <w:szCs w:val="24"/>
                  <w:lang w:eastAsia="zh-CN"/>
                </w:rPr>
                <w:t>Šiaulių miesto savivaldybės tarybai</w:t>
              </w:r>
            </w:p>
            <w:p w14:paraId="51F23FA7" w14:textId="77777777">
              <w:pPr>
                <w:rPr>
                  <w:b/>
                  <w:szCs w:val="24"/>
                </w:rPr>
              </w:pPr>
            </w:p>
            <w:sdt>
              <w:sdtPr>
                <w:alias w:val="poskyris"/>
                <w:tag w:val="part_389d9f2f842741bd924a14dd055a40d4"/>
                <w:lock w:val="sdtLocked"/>
                <w:richText/>
              </w:sdtPr>
              <w:sdtContent>
                <w:sdt>
                  <w:sdtPr>
                    <w:alias w:val="Pavadinimas"/>
                    <w:tag w:val="title_389d9f2f842741bd924a14dd055a40d4"/>
                    <w:lock w:val="sdtLocked"/>
                    <w:richText/>
                  </w:sdtPr>
                  <w:sdtContent>
                    <w:p w14:paraId="4635906D" w14:textId="44F3EC9F">
                      <w:pPr>
                        <w:keepLines/>
                        <w:suppressAutoHyphens/>
                        <w:ind w:right="57"/>
                        <w:jc w:val="center"/>
                        <w:textAlignment w:val="center"/>
                        <w:rPr>
                          <w:szCs w:val="24"/>
                        </w:rPr>
                      </w:pPr>
                      <w:r>
                        <w:rPr>
                          <w:b/>
                          <w:bCs/>
                          <w:szCs w:val="24"/>
                        </w:rPr>
                        <w:t>SPRENDIMO „DĖL</w:t>
                      </w:r>
                      <w:r>
                        <w:rPr>
                          <w:szCs w:val="24"/>
                        </w:rPr>
                        <w:t xml:space="preserve"> </w:t>
                      </w:r>
                      <w:r>
                        <w:rPr>
                          <w:b/>
                          <w:bCs/>
                          <w:caps/>
                          <w:color w:val="000000"/>
                          <w:szCs w:val="24"/>
                          <w:lang w:eastAsia="lt-LT"/>
                        </w:rPr>
                        <w:t>KOMPLEKSINIŲ PASLAUGŲ NAMŲ „ALKA“ NUOSTATŲ</w:t>
                      </w:r>
                      <w:r>
                        <w:rPr>
                          <w:b/>
                          <w:bCs/>
                          <w:szCs w:val="24"/>
                        </w:rPr>
                        <w:t xml:space="preserve"> PATVIRTINIMO</w:t>
                      </w:r>
                      <w:r>
                        <w:rPr>
                          <w:rFonts w:eastAsia="HG Mincho Light J"/>
                          <w:b/>
                          <w:bCs/>
                          <w:szCs w:val="24"/>
                        </w:rPr>
                        <w:t xml:space="preserve">“ </w:t>
                      </w:r>
                      <w:r>
                        <w:rPr>
                          <w:b/>
                          <w:bCs/>
                          <w:szCs w:val="24"/>
                        </w:rPr>
                        <w:t>PROJEKTO</w:t>
                      </w:r>
                    </w:p>
                    <w:p w14:paraId="0FF27387" w14:textId="77777777">
                      <w:pPr>
                        <w:shd w:val="clear" w:color="auto" w:fill="FFFFFF"/>
                        <w:jc w:val="center"/>
                        <w:rPr>
                          <w:b/>
                          <w:szCs w:val="24"/>
                        </w:rPr>
                      </w:pPr>
                      <w:r>
                        <w:rPr>
                          <w:b/>
                          <w:szCs w:val="24"/>
                        </w:rPr>
                        <w:t>AIŠKINAMASIS RAŠTAS</w:t>
                      </w:r>
                    </w:p>
                  </w:sdtContent>
                </w:sdt>
                <w:p w14:paraId="6346B1EC" w14:textId="77777777">
                  <w:pPr>
                    <w:shd w:val="clear" w:color="auto" w:fill="FFFFFF"/>
                    <w:jc w:val="center"/>
                    <w:rPr>
                      <w:szCs w:val="24"/>
                    </w:rPr>
                  </w:pPr>
                </w:p>
                <w:p w14:paraId="2A248733" w14:textId="03436AB2">
                  <w:pPr>
                    <w:shd w:val="clear" w:color="auto" w:fill="FFFFFF"/>
                    <w:jc w:val="center"/>
                    <w:rPr>
                      <w:szCs w:val="24"/>
                    </w:rPr>
                  </w:pPr>
                  <w:r>
                    <w:rPr>
                      <w:szCs w:val="24"/>
                    </w:rPr>
                    <w:t>2025 m. gegužės 29 d.</w:t>
                  </w:r>
                </w:p>
                <w:p w14:paraId="3EAEA577" w14:textId="316878FD">
                  <w:pPr>
                    <w:shd w:val="clear" w:color="auto" w:fill="FFFFFF"/>
                    <w:jc w:val="center"/>
                    <w:rPr>
                      <w:szCs w:val="24"/>
                    </w:rPr>
                  </w:pPr>
                  <w:r>
                    <w:rPr>
                      <w:szCs w:val="24"/>
                    </w:rPr>
                    <w:t>Šiauliai</w:t>
                  </w:r>
                </w:p>
                <w:p w14:paraId="400C0423" w14:textId="77777777">
                  <w:pPr>
                    <w:shd w:val="clear" w:color="auto" w:fill="FFFFFF"/>
                    <w:jc w:val="center"/>
                    <w:rPr>
                      <w:szCs w:val="24"/>
                    </w:rPr>
                  </w:pPr>
                </w:p>
              </w:sdtContent>
            </w:sdt>
            <w:sdt>
              <w:sdtPr>
                <w:alias w:val="poskyris"/>
                <w:tag w:val="part_a7aeb93ce2714d06bbb3ff6e3c808215"/>
                <w:lock w:val="sdtLocked"/>
                <w:richText/>
              </w:sdtPr>
              <w:sdtContent>
                <w:p w14:paraId="4D0EA191" w14:textId="62ECC24E">
                  <w:pPr>
                    <w:shd w:val="clear" w:color="auto" w:fill="FFFFFF"/>
                    <w:tabs>
                      <w:tab w:val="left" w:pos="855"/>
                    </w:tabs>
                    <w:ind w:firstLine="567"/>
                    <w:jc w:val="both"/>
                    <w:rPr>
                      <w:szCs w:val="24"/>
                      <w:shd w:val="clear" w:color="auto" w:fill="FFFFFF"/>
                    </w:rPr>
                  </w:pPr>
                  <w:sdt>
                    <w:sdtPr>
                      <w:alias w:val="Pavadinimas"/>
                      <w:tag w:val="title_a7aeb93ce2714d06bbb3ff6e3c808215"/>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79131E01" w14:textId="77777777">
                  <w:pPr>
                    <w:ind w:firstLine="680"/>
                    <w:jc w:val="both"/>
                    <w:rPr>
                      <w:szCs w:val="24"/>
                      <w:shd w:val="clear" w:color="auto" w:fill="FFFFFF"/>
                    </w:rPr>
                  </w:pPr>
                  <w:r>
                    <w:rPr>
                      <w:szCs w:val="24"/>
                    </w:rPr>
                    <w:t xml:space="preserve">Sprendimo projekto tikslas – pakeisti ir patvirtinti </w:t>
                  </w:r>
                  <w:r>
                    <w:rPr>
                      <w:szCs w:val="24"/>
                      <w:lang w:eastAsia="ar-SA"/>
                    </w:rPr>
                    <w:t>kompleksinių paslaugų namų „Alka“</w:t>
                  </w:r>
                  <w:r>
                    <w:rPr>
                      <w:szCs w:val="24"/>
                    </w:rPr>
                    <w:t xml:space="preserve"> nuostatus (toliau – Nuostatai)</w:t>
                  </w:r>
                  <w:r>
                    <w:rPr>
                      <w:rFonts w:cs="Tahoma"/>
                      <w:szCs w:val="24"/>
                    </w:rPr>
                    <w:t>.</w:t>
                  </w:r>
                </w:p>
              </w:sdtContent>
            </w:sdt>
            <w:sdt>
              <w:sdtPr>
                <w:alias w:val="poskyris"/>
                <w:tag w:val="part_daf97e80063942e482397cae5c56a6af"/>
                <w:lock w:val="sdtLocked"/>
                <w:richText/>
              </w:sdtPr>
              <w:sdtContent>
                <w:p w14:paraId="076BCAD3" w14:textId="42420052">
                  <w:pPr>
                    <w:ind w:firstLine="680"/>
                    <w:jc w:val="both"/>
                    <w:rPr>
                      <w:szCs w:val="24"/>
                      <w:shd w:val="clear" w:color="auto" w:fill="FFFFFF"/>
                    </w:rPr>
                  </w:pPr>
                  <w:sdt>
                    <w:sdtPr>
                      <w:alias w:val="Pavadinimas"/>
                      <w:tag w:val="title_daf97e80063942e482397cae5c56a6af"/>
                      <w:lock w:val="sdtLocked"/>
                      <w:richText/>
                    </w:sdtPr>
                    <w:sdtContent>
                      <w:r>
                        <w:rPr>
                          <w:b/>
                          <w:szCs w:val="24"/>
                          <w:shd w:val="clear" w:color="auto" w:fill="FFFFFF"/>
                        </w:rPr>
                        <w:t>Dabartinis sprendimo projekte aptariamų klausimų reguliavimas.</w:t>
                      </w:r>
                    </w:sdtContent>
                  </w:sdt>
                </w:p>
                <w:p w14:paraId="4D2A5CC4" w14:textId="1ED66C41">
                  <w:pPr>
                    <w:shd w:val="clear" w:color="auto" w:fill="FFFFFF"/>
                    <w:tabs>
                      <w:tab w:val="left" w:pos="855"/>
                    </w:tabs>
                    <w:ind w:firstLine="567"/>
                    <w:jc w:val="both"/>
                    <w:rPr>
                      <w:szCs w:val="24"/>
                      <w:shd w:val="clear" w:color="auto" w:fill="FFFFFF"/>
                    </w:rPr>
                  </w:pPr>
                  <w:r>
                    <w:rPr>
                      <w:szCs w:val="24"/>
                      <w:lang w:eastAsia="ar-SA"/>
                    </w:rPr>
                    <w:t>Kompleksinių paslaugų namų „Alka“</w:t>
                  </w:r>
                  <w:r>
                    <w:rPr>
                      <w:szCs w:val="24"/>
                    </w:rPr>
                    <w:t xml:space="preserve"> (toliau – Įstaiga) nuostatai patvirtinti </w:t>
                  </w:r>
                  <w:r>
                    <w:rPr>
                      <w:rFonts w:cs="Tahoma"/>
                      <w:szCs w:val="24"/>
                    </w:rPr>
                    <w:t>Šiaulių miesto savivaldybės tarybos</w:t>
                  </w:r>
                  <w:r>
                    <w:rPr>
                      <w:szCs w:val="24"/>
                    </w:rPr>
                    <w:t xml:space="preserve"> Šiaulių miesto savivaldybės tarybos 2024 m. gegužės 2 d. sprendimu Nr. T-177 „Dėl Kompleksinių paslaugų namų „Alka“ nuostatų patvirtinimo“</w:t>
                  </w:r>
                  <w:r>
                    <w:rPr>
                      <w:szCs w:val="24"/>
                      <w:shd w:val="clear" w:color="auto" w:fill="FFFFFF"/>
                    </w:rPr>
                    <w:t xml:space="preserve">. </w:t>
                  </w:r>
                </w:p>
                <w:p w14:paraId="2FE0241D" w14:textId="4560BF3F">
                  <w:pPr>
                    <w:spacing w:line="259" w:lineRule="auto"/>
                    <w:ind w:firstLine="567"/>
                    <w:jc w:val="both"/>
                    <w:rPr>
                      <w:szCs w:val="24"/>
                    </w:rPr>
                  </w:pPr>
                  <w:r>
                    <w:rPr>
                      <w:szCs w:val="24"/>
                      <w:shd w:val="clear" w:color="auto" w:fill="FFFFFF"/>
                      <w:lang w:val="pt-PT"/>
                    </w:rPr>
                    <w:t>Valstybės duomenų agentūros</w:t>
                  </w:r>
                  <w:r>
                    <w:rPr>
                      <w:szCs w:val="24"/>
                      <w:shd w:val="clear" w:color="auto" w:fill="FFFFFF"/>
                    </w:rPr>
                    <w:t xml:space="preserve"> </w:t>
                  </w:r>
                  <w:r>
                    <w:rPr>
                      <w:szCs w:val="24"/>
                      <w:shd w:val="clear" w:color="auto" w:fill="FFFFFF"/>
                      <w:lang w:val="pt-PT"/>
                    </w:rPr>
                    <w:t xml:space="preserve">generalinis direktoriaus </w:t>
                  </w:r>
                  <w:r>
                    <w:rPr>
                      <w:szCs w:val="24"/>
                      <w:shd w:val="clear" w:color="auto" w:fill="FFFFFF"/>
                    </w:rPr>
                    <w:t xml:space="preserve">2024 m. gruodžio 3 d.  </w:t>
                  </w:r>
                  <w:r>
                    <w:rPr>
                      <w:szCs w:val="24"/>
                      <w:shd w:val="clear" w:color="auto" w:fill="FFFFFF"/>
                      <w:lang w:val="pt-PT"/>
                    </w:rPr>
                    <w:t>įsakymu</w:t>
                  </w:r>
                  <w:r>
                    <w:rPr>
                      <w:szCs w:val="24"/>
                      <w:shd w:val="clear" w:color="auto" w:fill="FFFFFF"/>
                    </w:rPr>
                    <w:t xml:space="preserve"> Nr. DĮ-266 </w:t>
                  </w:r>
                  <w:r>
                    <w:rPr>
                      <w:szCs w:val="24"/>
                      <w:lang w:eastAsia="ar-SA"/>
                    </w:rPr>
                    <w:t xml:space="preserve">patvirtino </w:t>
                  </w:r>
                  <w:r>
                    <w:rPr>
                      <w:szCs w:val="24"/>
                      <w:shd w:val="clear" w:color="auto" w:fill="FFFFFF"/>
                    </w:rPr>
                    <w:t>ekonominės veiklos rūšių klasifikatorių (EVRK 2.1 red.), kuris leidžia tiksliai apibūdinti, kokią veiklą vykdo įmonė ar organizacija. (</w:t>
                  </w:r>
                  <w:r>
                    <w:rPr>
                      <w:szCs w:val="24"/>
                    </w:rPr>
                    <w:t xml:space="preserve">EVRK 2.1 red.) pradėta taikyti nuo 2025 m. sausio 1 d.  </w:t>
                  </w:r>
                  <w:r>
                    <w:rPr>
                      <w:szCs w:val="24"/>
                      <w:lang w:val="pt-BR"/>
                    </w:rPr>
                    <w:t xml:space="preserve">Atnaujintoje EVRK versijoje pakeisti, kai kurie ekonominių veiklų kodai ar pavadinimai. </w:t>
                  </w:r>
                  <w:r>
                    <w:rPr>
                      <w:color w:val="000000"/>
                      <w:szCs w:val="24"/>
                    </w:rPr>
                    <w:t xml:space="preserve">Atsižvelgiant į šiuos pakeitimus, buvo peržiūrėti ir </w:t>
                  </w:r>
                  <w:r>
                    <w:rPr>
                      <w:szCs w:val="24"/>
                    </w:rPr>
                    <w:t>patikslinti Įstaigos Nuostatų III skyriaus 16 punkto papunkčiai.</w:t>
                  </w:r>
                </w:p>
                <w:p w14:paraId="3EA1589F" w14:textId="311D4E78">
                  <w:pPr>
                    <w:spacing w:line="259" w:lineRule="auto"/>
                    <w:ind w:firstLine="567"/>
                    <w:jc w:val="both"/>
                    <w:rPr>
                      <w:szCs w:val="24"/>
                    </w:rPr>
                  </w:pPr>
                  <w:r>
                    <w:rPr>
                      <w:szCs w:val="24"/>
                    </w:rPr>
                    <w:t xml:space="preserve">Vadovaujantis Lietuvos Respublikos biudžetinių įstaigų įstatymo ir Lietuvos Respublikos socialinių paslaugų įstatymo 22 straipsnio nuostatomis pakeisti nuostatų 13.1. p., 24 ir 25 punktai.  </w:t>
                  </w:r>
                </w:p>
              </w:sdtContent>
            </w:sdt>
            <w:sdt>
              <w:sdtPr>
                <w:alias w:val="poskyris"/>
                <w:tag w:val="part_916d21a01a78418a825a53bd72ab27b5"/>
                <w:lock w:val="sdtLocked"/>
                <w:richText/>
              </w:sdtPr>
              <w:sdtContent>
                <w:p w14:paraId="4DA743E3" w14:textId="5B68FC75">
                  <w:pPr>
                    <w:shd w:val="clear" w:color="auto" w:fill="FFFFFF"/>
                    <w:tabs>
                      <w:tab w:val="left" w:pos="855"/>
                    </w:tabs>
                    <w:ind w:firstLine="567"/>
                    <w:jc w:val="both"/>
                    <w:rPr>
                      <w:b/>
                      <w:szCs w:val="24"/>
                    </w:rPr>
                  </w:pPr>
                  <w:sdt>
                    <w:sdtPr>
                      <w:alias w:val="Pavadinimas"/>
                      <w:tag w:val="title_916d21a01a78418a825a53bd72ab27b5"/>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360FF51A" w14:textId="77777777">
                  <w:pPr>
                    <w:shd w:val="clear" w:color="auto" w:fill="FFFFFF"/>
                    <w:tabs>
                      <w:tab w:val="left" w:pos="552"/>
                    </w:tabs>
                    <w:ind w:firstLine="567"/>
                    <w:jc w:val="both"/>
                    <w:rPr>
                      <w:szCs w:val="24"/>
                    </w:rPr>
                  </w:pPr>
                  <w:r>
                    <w:rPr>
                      <w:szCs w:val="24"/>
                    </w:rPr>
                    <w:t>Tarybos sprendimo projektu keičiama:</w:t>
                  </w:r>
                </w:p>
                <w:p w14:paraId="2E56910E" w14:textId="2233B3C5">
                  <w:pPr>
                    <w:tabs>
                      <w:tab w:val="left" w:pos="567"/>
                      <w:tab w:val="left" w:pos="851"/>
                    </w:tabs>
                    <w:ind w:firstLine="567"/>
                    <w:jc w:val="both"/>
                    <w:rPr>
                      <w:szCs w:val="24"/>
                    </w:rPr>
                  </w:pPr>
                  <w:r>
                    <w:rPr>
                      <w:szCs w:val="24"/>
                    </w:rPr>
                    <w:t>-</w:t>
                    <w:tab/>
                    <w:t xml:space="preserve">Nuostatų 11 punktas &lt;... Įstaigos savininkas  – Šiaulių miesto savivaldybė (toliau – Savivaldybė), </w:t>
                  </w:r>
                  <w:r>
                    <w:rPr>
                      <w:b/>
                      <w:bCs/>
                      <w:szCs w:val="24"/>
                    </w:rPr>
                    <w:t>kodas 111109429</w:t>
                  </w:r>
                  <w:r>
                    <w:rPr>
                      <w:szCs w:val="24"/>
                    </w:rPr>
                    <w:t>, Vasario 16-osios g. 62, Šiauliai.&gt;;</w:t>
                  </w:r>
                </w:p>
                <w:p w14:paraId="0DCF13B1" w14:textId="3A0A0CD7">
                  <w:pPr>
                    <w:shd w:val="clear" w:color="auto" w:fill="FFFFFF"/>
                    <w:tabs>
                      <w:tab w:val="left" w:pos="552"/>
                      <w:tab w:val="left" w:pos="851"/>
                    </w:tabs>
                    <w:ind w:firstLine="567"/>
                    <w:jc w:val="both"/>
                    <w:rPr>
                      <w:szCs w:val="24"/>
                    </w:rPr>
                  </w:pPr>
                  <w:r>
                    <w:rPr>
                      <w:szCs w:val="24"/>
                    </w:rPr>
                    <w:t>-</w:t>
                    <w:tab/>
                    <w:t xml:space="preserve">Nuostatų 13.1 papunktis &lt;...priimti į pareigas ir atleisti iš jų Įstaigos direktorių  (toliau – direktorius), </w:t>
                  </w:r>
                  <w:r>
                    <w:rPr>
                      <w:b/>
                      <w:bCs/>
                      <w:szCs w:val="24"/>
                    </w:rPr>
                    <w:t>atšaukti iš pareigų bei</w:t>
                  </w:r>
                  <w:r>
                    <w:rPr>
                      <w:szCs w:val="24"/>
                    </w:rPr>
                    <w:t xml:space="preserve"> įgyvendinti kitas funkcijas, susijusias su Įstaigos direktoriaus darbo santykiais, Lietuvos Respublikos darbo kodekso ir kitų teisės aktų nustatyta tvarka;&gt;.</w:t>
                  </w:r>
                </w:p>
                <w:p w14:paraId="2C575213" w14:textId="69ABD511">
                  <w:pPr>
                    <w:shd w:val="clear" w:color="auto" w:fill="FFFFFF"/>
                    <w:tabs>
                      <w:tab w:val="left" w:pos="552"/>
                      <w:tab w:val="left" w:pos="851"/>
                    </w:tabs>
                    <w:ind w:firstLine="567"/>
                    <w:jc w:val="both"/>
                    <w:rPr>
                      <w:szCs w:val="24"/>
                    </w:rPr>
                  </w:pPr>
                  <w:r>
                    <w:rPr>
                      <w:szCs w:val="24"/>
                    </w:rPr>
                    <w:t>-</w:t>
                    <w:tab/>
                    <w:t>Nuostatų 16 punktas – patikslinti dauguma EVRK kodų ir veiklos;</w:t>
                  </w:r>
                </w:p>
                <w:p w14:paraId="36F82CC4" w14:textId="0B8F746F">
                  <w:pPr>
                    <w:shd w:val="clear" w:color="auto" w:fill="FFFFFF"/>
                    <w:tabs>
                      <w:tab w:val="left" w:pos="552"/>
                      <w:tab w:val="left" w:pos="851"/>
                    </w:tabs>
                    <w:ind w:firstLine="567"/>
                    <w:jc w:val="both"/>
                    <w:rPr>
                      <w:i/>
                      <w:iCs/>
                      <w:szCs w:val="24"/>
                    </w:rPr>
                  </w:pPr>
                  <w:r>
                    <w:rPr>
                      <w:iCs/>
                      <w:szCs w:val="24"/>
                    </w:rPr>
                    <w:t>-</w:t>
                    <w:tab/>
                  </w:r>
                  <w:r>
                    <w:rPr>
                      <w:szCs w:val="24"/>
                      <w:lang w:eastAsia="ar-SA"/>
                    </w:rPr>
                    <w:t xml:space="preserve">Nuostatų buvęs 19.5.2 papunktis į  19.7 papunktį &lt;patikėjimo teise valdo, naudoja ir </w:t>
                  </w:r>
                  <w:r>
                    <w:rPr>
                      <w:b/>
                      <w:bCs/>
                      <w:szCs w:val="24"/>
                      <w:lang w:eastAsia="ar-SA"/>
                    </w:rPr>
                    <w:t>disponuoja Savivaldybės turtu</w:t>
                  </w:r>
                  <w:r>
                    <w:rPr>
                      <w:szCs w:val="24"/>
                      <w:lang w:eastAsia="ar-SA"/>
                    </w:rPr>
                    <w:t>;&gt;;</w:t>
                  </w:r>
                </w:p>
                <w:p w14:paraId="66B2134C" w14:textId="2330EEB3">
                  <w:pPr>
                    <w:shd w:val="clear" w:color="auto" w:fill="FFFFFF"/>
                    <w:tabs>
                      <w:tab w:val="left" w:pos="851"/>
                    </w:tabs>
                    <w:ind w:firstLine="567"/>
                    <w:rPr>
                      <w:szCs w:val="24"/>
                      <w:lang w:eastAsia="ar-SA"/>
                    </w:rPr>
                  </w:pPr>
                  <w:r>
                    <w:rPr>
                      <w:szCs w:val="24"/>
                      <w:lang w:eastAsia="ar-SA"/>
                    </w:rPr>
                    <w:t>-</w:t>
                    <w:tab/>
                    <w:t>Nuostatų 19.5.11 – 19.5.16 papunkčiai keičiami į 19.6 – 19.11 papunkčius;</w:t>
                  </w:r>
                </w:p>
                <w:p w14:paraId="6FC46C63" w14:textId="36F6BC32">
                  <w:pPr>
                    <w:shd w:val="clear" w:color="auto" w:fill="FFFFFF"/>
                    <w:tabs>
                      <w:tab w:val="left" w:pos="851"/>
                    </w:tabs>
                    <w:ind w:firstLine="567"/>
                    <w:jc w:val="both"/>
                    <w:rPr>
                      <w:szCs w:val="24"/>
                      <w:lang w:eastAsia="ar-SA"/>
                    </w:rPr>
                  </w:pPr>
                  <w:r>
                    <w:rPr>
                      <w:szCs w:val="24"/>
                      <w:lang w:eastAsia="ar-SA"/>
                    </w:rPr>
                    <w:t>-</w:t>
                    <w:tab/>
                  </w:r>
                  <w:r>
                    <w:rPr>
                      <w:szCs w:val="24"/>
                    </w:rPr>
                    <w:t xml:space="preserve">Nuostatų 24 punktas - </w:t>
                  </w:r>
                  <w:r>
                    <w:rPr>
                      <w:i/>
                      <w:iCs/>
                      <w:szCs w:val="24"/>
                    </w:rPr>
                    <w:t>&lt;</w:t>
                  </w:r>
                  <w:r>
                    <w:rPr>
                      <w:color w:val="000000"/>
                      <w:szCs w:val="24"/>
                      <w:shd w:val="clear" w:color="auto" w:fill="FFFFFF"/>
                      <w:lang w:eastAsia="lt-LT"/>
                    </w:rPr>
                    <w:t xml:space="preserve">... </w:t>
                  </w:r>
                  <w:r>
                    <w:rPr>
                      <w:b/>
                      <w:bCs/>
                      <w:color w:val="000000"/>
                      <w:szCs w:val="24"/>
                      <w:shd w:val="clear" w:color="auto" w:fill="FFFFFF"/>
                      <w:lang w:eastAsia="lt-LT"/>
                    </w:rPr>
                    <w:t xml:space="preserve">Įstaigai vadovauja direktorius, </w:t>
                  </w:r>
                  <w:r>
                    <w:rPr>
                      <w:b/>
                      <w:bCs/>
                      <w:szCs w:val="24"/>
                    </w:rPr>
                    <w:t xml:space="preserve">kuris į pareigas skiriamas 5 metų kadencijai konkurso būdu Lietuvos Respublikos Vyriausybės nustatyta tvarka. Valstybės ir savivaldybių biudžetinių socialinių paslaugų įstaigų ir viešųjų socialinių paslaugų įstaigų vadovų kadencijų skaičius neribojamas. Pasibaigus direktoriaus 5 metų kadencijai, mero sprendimu jis gali būti skiriamas be konkurso antrajai 5 metų kadencijai, jeigu  kiekvienais kadencijos metais jo veikla buvo įvertinta kaip atitinkanti arba viršijanti lūkesčius. Sprendimas dėl  direktoriaus skyrimo be konkurso antrajai 5 metų kadencijai turi būti priimtas likus ne mažiau kaip 2 mėnesiams iki šio direktoriaus kadencijos pabaigos. </w:t>
                  </w:r>
                  <w:r>
                    <w:rPr>
                      <w:b/>
                      <w:bCs/>
                      <w:szCs w:val="24"/>
                      <w:lang w:val="es-ES"/>
                    </w:rPr>
                    <w:t>D</w:t>
                  </w:r>
                  <w:r>
                    <w:rPr>
                      <w:b/>
                      <w:bCs/>
                      <w:szCs w:val="24"/>
                      <w:shd w:val="clear" w:color="auto" w:fill="FFFFFF"/>
                      <w:lang w:val="es-ES" w:eastAsia="lt-LT"/>
                    </w:rPr>
                    <w:t>irektoriaus teises ir pareigas nustato Nuostatai ir direktoriaus pareigybės aprašymas. Direktoriaus kvalifikacinius reikalavimus nustato Lietuvos Respublikos socialinių paslaugų įstatymas. D</w:t>
                  </w:r>
                  <w:r>
                    <w:rPr>
                      <w:b/>
                      <w:bCs/>
                      <w:szCs w:val="24"/>
                      <w:lang w:val="es-ES"/>
                    </w:rPr>
                    <w:t>irektorius turi būti nepriekaištingos reputacijos.</w:t>
                  </w:r>
                  <w:r>
                    <w:rPr>
                      <w:szCs w:val="24"/>
                      <w:lang w:val="es-ES"/>
                    </w:rPr>
                    <w:t>&gt;;</w:t>
                  </w:r>
                </w:p>
                <w:p w14:paraId="1CE3571A" w14:textId="5AAE0656">
                  <w:pPr>
                    <w:shd w:val="clear" w:color="auto" w:fill="FFFFFF"/>
                    <w:tabs>
                      <w:tab w:val="left" w:pos="552"/>
                      <w:tab w:val="left" w:pos="851"/>
                    </w:tabs>
                    <w:ind w:firstLine="567"/>
                    <w:jc w:val="both"/>
                    <w:rPr>
                      <w:szCs w:val="24"/>
                    </w:rPr>
                  </w:pPr>
                  <w:r>
                    <w:rPr>
                      <w:szCs w:val="24"/>
                    </w:rPr>
                    <w:t>-</w:t>
                    <w:tab/>
                    <w:t>Nuostatų 25 punktas</w:t>
                  </w:r>
                  <w:r>
                    <w:rPr>
                      <w:b/>
                      <w:bCs/>
                      <w:szCs w:val="24"/>
                    </w:rPr>
                    <w:t xml:space="preserve"> </w:t>
                  </w:r>
                  <w:r>
                    <w:rPr>
                      <w:szCs w:val="24"/>
                    </w:rPr>
                    <w:t>&lt;..... Sprendimą dėl direktoriaus priėmimo į pareigas, jo atleidimo arba atšaukimo iš pareigų priima meras Lietuvos Respublikos darbo kodekso, Nuostatų ir kitų teisės aktų nustatyta tvarka. Be kitų darbo sutarties pasibaigimo pagrindų, darbo sutartis su direktoriumi taip pat pasibaigia atšaukus jį iš pareigų. Direktorius gali būti atšaukiamas iš pareigų</w:t>
                  </w:r>
                  <w:r>
                    <w:rPr>
                      <w:bCs/>
                      <w:szCs w:val="24"/>
                    </w:rPr>
                    <w:t xml:space="preserve">, jei jis praranda nepriekaištingą reputaciją </w:t>
                  </w:r>
                  <w:r>
                    <w:rPr>
                      <w:b/>
                      <w:szCs w:val="24"/>
                    </w:rPr>
                    <w:t>ir nebeatitinka Lietuvos Respublikos valstybės tarnybos įstatyme nustatytų nepriekaištingos reputacijos reikalavimų įstaigos vadovams</w:t>
                  </w:r>
                  <w:r>
                    <w:rPr>
                      <w:bCs/>
                      <w:szCs w:val="24"/>
                    </w:rPr>
                    <w:t xml:space="preserve"> ar kitaip </w:t>
                  </w:r>
                  <w:r>
                    <w:rPr>
                      <w:szCs w:val="24"/>
                    </w:rPr>
                    <w:t>prarand</w:t>
                  </w:r>
                  <w:r>
                    <w:rPr>
                      <w:bCs/>
                      <w:szCs w:val="24"/>
                    </w:rPr>
                    <w:t>amas</w:t>
                  </w:r>
                  <w:r>
                    <w:rPr>
                      <w:szCs w:val="24"/>
                    </w:rPr>
                    <w:t xml:space="preserve"> pasitikėjim</w:t>
                  </w:r>
                  <w:r>
                    <w:rPr>
                      <w:bCs/>
                      <w:szCs w:val="24"/>
                    </w:rPr>
                    <w:t>as juo. Dėl direktoriaus atšaukimo iš pareigų priimamas mero potvarkis.</w:t>
                  </w:r>
                  <w:r>
                    <w:rPr>
                      <w:szCs w:val="24"/>
                    </w:rPr>
                    <w:t>..&gt;;</w:t>
                  </w:r>
                </w:p>
                <w:p w14:paraId="02B687F5" w14:textId="050C40FF">
                  <w:pPr>
                    <w:shd w:val="clear" w:color="auto" w:fill="FFFFFF"/>
                    <w:tabs>
                      <w:tab w:val="left" w:pos="552"/>
                      <w:tab w:val="left" w:pos="851"/>
                    </w:tabs>
                    <w:ind w:firstLine="567"/>
                    <w:jc w:val="both"/>
                    <w:rPr>
                      <w:szCs w:val="24"/>
                    </w:rPr>
                  </w:pPr>
                  <w:r>
                    <w:rPr>
                      <w:szCs w:val="24"/>
                    </w:rPr>
                    <w:t>-</w:t>
                    <w:tab/>
                    <w:t>Nuostatų 37 punktas &lt;...</w:t>
                  </w:r>
                  <w:r>
                    <w:rPr>
                      <w:szCs w:val="24"/>
                      <w:lang w:eastAsia="ar-SA"/>
                    </w:rPr>
                    <w:t xml:space="preserve"> Pranešimai, kuriuos pagal Lietuvos Respublikos teisės aktus ar Nuostatus reikia paskelbti viešai, skelbiami Įstaigos interneto svetainėje www.kpnalka.lt, prireikus – teisės aktų nustatyta tvarka Įstaigos savininko interneto svetainėje. </w:t>
                  </w:r>
                  <w:r>
                    <w:rPr>
                      <w:b/>
                      <w:bCs/>
                      <w:szCs w:val="24"/>
                      <w:lang w:val="en-GB" w:eastAsia="ar-SA"/>
                    </w:rPr>
                    <w:t>Už pranešimų ir informacijos paskelbimą laiku atsako direktorius</w:t>
                  </w:r>
                  <w:r>
                    <w:rPr>
                      <w:szCs w:val="24"/>
                      <w:lang w:val="en-GB" w:eastAsia="ar-SA"/>
                    </w:rPr>
                    <w:t>.&gt;;</w:t>
                  </w:r>
                </w:p>
                <w:p w14:paraId="489D32C7" w14:textId="77777777">
                  <w:pPr>
                    <w:shd w:val="clear" w:color="auto" w:fill="FFFFFF"/>
                    <w:tabs>
                      <w:tab w:val="left" w:pos="851"/>
                      <w:tab w:val="left" w:pos="993"/>
                    </w:tabs>
                    <w:jc w:val="both"/>
                    <w:rPr>
                      <w:szCs w:val="24"/>
                    </w:rPr>
                  </w:pPr>
                </w:p>
                <w:p w14:paraId="6F9CC1EC" w14:textId="0B8A02E1">
                  <w:pPr>
                    <w:shd w:val="clear" w:color="auto" w:fill="FFFFFF"/>
                    <w:tabs>
                      <w:tab w:val="left" w:pos="851"/>
                      <w:tab w:val="left" w:pos="993"/>
                    </w:tabs>
                    <w:ind w:firstLine="567"/>
                    <w:jc w:val="both"/>
                    <w:rPr>
                      <w:szCs w:val="24"/>
                    </w:rPr>
                  </w:pPr>
                  <w:r>
                    <w:rPr>
                      <w:szCs w:val="24"/>
                    </w:rPr>
                    <w:t>Nuostatai papildomi 43 punktu &lt; ...</w:t>
                  </w:r>
                  <w:r>
                    <w:rPr>
                      <w:b/>
                      <w:bCs/>
                      <w:szCs w:val="24"/>
                    </w:rPr>
                    <w:t>Už Nuostatų reikalavimų vykdymo užtikrinimą atsako Įstaigos direktorius</w:t>
                  </w:r>
                  <w:r>
                    <w:rPr>
                      <w:szCs w:val="24"/>
                    </w:rPr>
                    <w:t>.&gt;.</w:t>
                  </w:r>
                </w:p>
                <w:p w14:paraId="370D95F2" w14:textId="77777777">
                  <w:pPr>
                    <w:shd w:val="clear" w:color="auto" w:fill="FFFFFF"/>
                    <w:tabs>
                      <w:tab w:val="left" w:pos="851"/>
                      <w:tab w:val="left" w:pos="993"/>
                    </w:tabs>
                    <w:ind w:firstLine="567"/>
                    <w:jc w:val="both"/>
                    <w:rPr>
                      <w:szCs w:val="24"/>
                    </w:rPr>
                  </w:pPr>
                </w:p>
                <w:p w14:paraId="52CAEC1D" w14:textId="4B98915E">
                  <w:pPr>
                    <w:shd w:val="clear" w:color="auto" w:fill="FFFFFF"/>
                    <w:tabs>
                      <w:tab w:val="left" w:pos="851"/>
                      <w:tab w:val="left" w:pos="993"/>
                    </w:tabs>
                    <w:ind w:firstLine="567"/>
                    <w:jc w:val="both"/>
                    <w:rPr>
                      <w:szCs w:val="24"/>
                    </w:rPr>
                  </w:pPr>
                  <w:r>
                    <w:rPr>
                      <w:szCs w:val="24"/>
                    </w:rPr>
                    <w:t xml:space="preserve">Tarybos sprendimo projekte suvienodintos sąvokos. </w:t>
                  </w:r>
                </w:p>
                <w:p w14:paraId="65D7F4A8" w14:textId="77777777">
                  <w:pPr>
                    <w:shd w:val="clear" w:color="auto" w:fill="FFFFFF"/>
                    <w:tabs>
                      <w:tab w:val="left" w:pos="851"/>
                      <w:tab w:val="left" w:pos="993"/>
                    </w:tabs>
                    <w:ind w:firstLine="567"/>
                    <w:jc w:val="both"/>
                    <w:rPr>
                      <w:szCs w:val="24"/>
                    </w:rPr>
                  </w:pPr>
                </w:p>
              </w:sdtContent>
            </w:sdt>
            <w:sdt>
              <w:sdtPr>
                <w:alias w:val="poskyris"/>
                <w:tag w:val="part_51774f610f354ecda650c459a2c946f5"/>
                <w:lock w:val="sdtLocked"/>
                <w:richText/>
              </w:sdtPr>
              <w:sdtContent>
                <w:p w14:paraId="76D37392" w14:textId="0128EC50">
                  <w:pPr>
                    <w:shd w:val="clear" w:color="auto" w:fill="FFFFFF"/>
                    <w:tabs>
                      <w:tab w:val="left" w:pos="855"/>
                    </w:tabs>
                    <w:ind w:firstLine="567"/>
                    <w:jc w:val="both"/>
                    <w:rPr>
                      <w:szCs w:val="24"/>
                      <w:shd w:val="clear" w:color="auto" w:fill="FFFFFF"/>
                    </w:rPr>
                  </w:pPr>
                  <w:sdt>
                    <w:sdtPr>
                      <w:alias w:val="Pavadinimas"/>
                      <w:tag w:val="title_51774f610f354ecda650c459a2c946f5"/>
                      <w:lock w:val="sdtLocked"/>
                      <w:richText/>
                    </w:sdtPr>
                    <w:sdtContent>
                      <w:r>
                        <w:rPr>
                          <w:b/>
                          <w:szCs w:val="24"/>
                          <w:shd w:val="clear" w:color="auto" w:fill="FFFFFF"/>
                        </w:rPr>
                        <w:t xml:space="preserve">Priėmus sprendimą, galimos pasekmės </w:t>
                      </w:r>
                    </w:sdtContent>
                  </w:sdt>
                </w:p>
                <w:p w14:paraId="5953B674" w14:textId="1289107C">
                  <w:pPr>
                    <w:shd w:val="clear" w:color="auto" w:fill="FFFFFF"/>
                    <w:tabs>
                      <w:tab w:val="left" w:pos="855"/>
                    </w:tabs>
                    <w:ind w:firstLine="567"/>
                    <w:jc w:val="both"/>
                    <w:rPr>
                      <w:szCs w:val="24"/>
                    </w:rPr>
                  </w:pPr>
                  <w:r>
                    <w:rPr>
                      <w:rFonts w:eastAsia="Lucida Sans Unicode"/>
                      <w:bCs/>
                      <w:iCs/>
                      <w:szCs w:val="24"/>
                      <w:lang w:eastAsia="lt-LT"/>
                    </w:rPr>
                    <w:t xml:space="preserve">Patvirtinti Įstaigos nuostatai atitiks reikalavimus, numatytus </w:t>
                  </w:r>
                  <w:r>
                    <w:rPr>
                      <w:rFonts w:eastAsia="Lucida Sans Unicode"/>
                      <w:bCs/>
                      <w:iCs/>
                      <w:szCs w:val="24"/>
                      <w:lang w:eastAsia="lt-LT" w:bidi="lo-LA"/>
                    </w:rPr>
                    <w:t>Lietuvos</w:t>
                  </w:r>
                  <w:r>
                    <w:rPr>
                      <w:rFonts w:eastAsia="Lucida Sans Unicode"/>
                      <w:bCs/>
                      <w:iCs/>
                      <w:szCs w:val="24"/>
                      <w:lang w:eastAsia="lt-LT"/>
                    </w:rPr>
                    <w:t xml:space="preserve"> Respublikos biudžetinių įstaigų įstatyme, </w:t>
                  </w:r>
                  <w:r>
                    <w:rPr>
                      <w:szCs w:val="24"/>
                    </w:rPr>
                    <w:t xml:space="preserve">Lietuvos Respublikos socialinių paslaugų įstatyme ir  atitiks </w:t>
                  </w:r>
                  <w:r>
                    <w:rPr>
                      <w:szCs w:val="24"/>
                      <w:shd w:val="clear" w:color="auto" w:fill="FFFFFF"/>
                    </w:rPr>
                    <w:t>ekonominės veiklos rūšių klasifikatorių (EVRK 2.1 red.).</w:t>
                  </w:r>
                </w:p>
                <w:p w14:paraId="290590DE" w14:textId="7AB7F7EE">
                  <w:pPr>
                    <w:shd w:val="clear" w:color="auto" w:fill="FFFFFF"/>
                    <w:tabs>
                      <w:tab w:val="left" w:pos="855"/>
                    </w:tabs>
                    <w:ind w:firstLine="567"/>
                    <w:jc w:val="both"/>
                    <w:rPr>
                      <w:szCs w:val="24"/>
                      <w:shd w:val="clear" w:color="auto" w:fill="FFFFFF"/>
                    </w:rPr>
                  </w:pPr>
                  <w:r>
                    <w:rPr>
                      <w:bCs/>
                      <w:szCs w:val="24"/>
                    </w:rPr>
                    <w:t>Neigiamų pasekmių nenumatoma.</w:t>
                  </w:r>
                </w:p>
              </w:sdtContent>
            </w:sdt>
            <w:sdt>
              <w:sdtPr>
                <w:alias w:val="poskyris"/>
                <w:tag w:val="part_4584cf815f984027b254fc6d2fb31b31"/>
                <w:lock w:val="sdtLocked"/>
                <w:richText/>
              </w:sdtPr>
              <w:sdtContent>
                <w:p w14:paraId="55934C9E" w14:textId="31B9CAF4">
                  <w:pPr>
                    <w:shd w:val="clear" w:color="auto" w:fill="FFFFFF"/>
                    <w:tabs>
                      <w:tab w:val="left" w:pos="855"/>
                    </w:tabs>
                    <w:ind w:firstLine="567"/>
                    <w:jc w:val="both"/>
                    <w:rPr>
                      <w:b/>
                      <w:szCs w:val="24"/>
                    </w:rPr>
                  </w:pPr>
                  <w:sdt>
                    <w:sdtPr>
                      <w:alias w:val="Pavadinimas"/>
                      <w:tag w:val="title_4584cf815f984027b254fc6d2fb31b31"/>
                      <w:lock w:val="sdtLocked"/>
                      <w:richText/>
                    </w:sdtPr>
                    <w:sdtContent>
                      <w:r>
                        <w:rPr>
                          <w:b/>
                          <w:szCs w:val="24"/>
                          <w:shd w:val="clear" w:color="auto" w:fill="FFFFFF"/>
                        </w:rPr>
                        <w:t>Priėmus sprendimą, keičiami ar pripažįstami negaliojančiais teisės aktai</w:t>
                      </w:r>
                      <w:r>
                        <w:rPr>
                          <w:b/>
                          <w:szCs w:val="24"/>
                        </w:rPr>
                        <w:t>.</w:t>
                      </w:r>
                    </w:sdtContent>
                  </w:sdt>
                </w:p>
                <w:p w14:paraId="394A23FF" w14:textId="1B03EC44">
                  <w:pPr>
                    <w:shd w:val="clear" w:color="auto" w:fill="FFFFFF"/>
                    <w:tabs>
                      <w:tab w:val="left" w:pos="855"/>
                    </w:tabs>
                    <w:ind w:firstLine="567"/>
                    <w:jc w:val="both"/>
                    <w:rPr>
                      <w:szCs w:val="24"/>
                      <w:shd w:val="clear" w:color="auto" w:fill="FFFFFF"/>
                    </w:rPr>
                  </w:pPr>
                  <w:r>
                    <w:rPr>
                      <w:szCs w:val="24"/>
                    </w:rPr>
                    <w:t>Pripažinti netekusiais galios Šiaulių miesto savivaldybės tarybos 2024 m. gegužės 2 d. sprendimą Nr. T-177 „Dėl Kompleksinių paslaugų namų „Alka“ nuostatų patvirtinimo“</w:t>
                  </w:r>
                  <w:r>
                    <w:rPr>
                      <w:szCs w:val="24"/>
                      <w:shd w:val="clear" w:color="auto" w:fill="FFFFFF"/>
                    </w:rPr>
                    <w:t xml:space="preserve">. </w:t>
                  </w:r>
                </w:p>
              </w:sdtContent>
            </w:sdt>
            <w:sdt>
              <w:sdtPr>
                <w:alias w:val="poskyris"/>
                <w:tag w:val="part_5e880b0acb8f42769036dcf00914ebcd"/>
                <w:lock w:val="sdtLocked"/>
                <w:richText/>
              </w:sdtPr>
              <w:sdtContent>
                <w:p w14:paraId="3B7F5456" w14:textId="77777777">
                  <w:pPr>
                    <w:shd w:val="clear" w:color="auto" w:fill="FFFFFF"/>
                    <w:tabs>
                      <w:tab w:val="left" w:pos="855"/>
                    </w:tabs>
                    <w:ind w:firstLine="567"/>
                    <w:jc w:val="both"/>
                    <w:rPr>
                      <w:szCs w:val="24"/>
                      <w:shd w:val="clear" w:color="auto" w:fill="FFFFFF"/>
                    </w:rPr>
                  </w:pPr>
                  <w:sdt>
                    <w:sdtPr>
                      <w:alias w:val="Pavadinimas"/>
                      <w:tag w:val="title_5e880b0acb8f42769036dcf00914ebcd"/>
                      <w:lock w:val="sdtLocked"/>
                      <w:richText/>
                    </w:sdtPr>
                    <w:sdtContent>
                      <w:r>
                        <w:rPr>
                          <w:b/>
                          <w:szCs w:val="24"/>
                          <w:shd w:val="clear" w:color="auto" w:fill="FFFFFF"/>
                        </w:rPr>
                        <w:t>Sprendimui įgyvendinti reikalingi priimti papildomi teisės aktai.</w:t>
                      </w:r>
                    </w:sdtContent>
                  </w:sdt>
                </w:p>
                <w:p w14:paraId="629824FE" w14:textId="77777777">
                  <w:pPr>
                    <w:shd w:val="clear" w:color="auto" w:fill="FFFFFF"/>
                    <w:tabs>
                      <w:tab w:val="left" w:pos="855"/>
                    </w:tabs>
                    <w:ind w:firstLine="567"/>
                    <w:jc w:val="both"/>
                    <w:rPr>
                      <w:szCs w:val="24"/>
                      <w:shd w:val="clear" w:color="auto" w:fill="FFFFFF"/>
                    </w:rPr>
                  </w:pPr>
                  <w:r>
                    <w:rPr>
                      <w:szCs w:val="24"/>
                      <w:shd w:val="clear" w:color="auto" w:fill="FFFFFF"/>
                    </w:rPr>
                    <w:t>S</w:t>
                  </w:r>
                  <w:r>
                    <w:rPr>
                      <w:szCs w:val="24"/>
                    </w:rPr>
                    <w:t xml:space="preserve">prendimui įgyvendinti nereikės priimti papildomų teisės aktų. </w:t>
                  </w:r>
                </w:p>
                <w:p w14:paraId="284C8523" w14:textId="6A5F3C45">
                  <w:pPr>
                    <w:shd w:val="clear" w:color="auto" w:fill="FFFFFF"/>
                    <w:tabs>
                      <w:tab w:val="left" w:pos="855"/>
                    </w:tabs>
                    <w:ind w:firstLine="567"/>
                    <w:jc w:val="both"/>
                    <w:rPr>
                      <w:szCs w:val="24"/>
                      <w:shd w:val="clear" w:color="auto" w:fill="FFFFFF"/>
                    </w:rPr>
                  </w:pPr>
                  <w:r>
                    <w:rPr>
                      <w:b/>
                      <w:szCs w:val="24"/>
                      <w:shd w:val="clear" w:color="auto" w:fill="FFFFFF"/>
                    </w:rPr>
                    <w:t>Sprendimui įgyvendinti reikalingos lėšos</w:t>
                  </w:r>
                  <w:r>
                    <w:rPr>
                      <w:szCs w:val="24"/>
                      <w:shd w:val="clear" w:color="auto" w:fill="FFFFFF"/>
                    </w:rPr>
                    <w:t>.</w:t>
                    <w:tab/>
                  </w:r>
                </w:p>
                <w:p w14:paraId="13B8C79F" w14:textId="77777777">
                  <w:pPr>
                    <w:shd w:val="clear" w:color="auto" w:fill="FFFFFF"/>
                    <w:tabs>
                      <w:tab w:val="left" w:pos="855"/>
                      <w:tab w:val="left" w:pos="8604"/>
                    </w:tabs>
                    <w:ind w:firstLine="567"/>
                    <w:jc w:val="both"/>
                    <w:rPr>
                      <w:rFonts w:eastAsia="Lucida Sans Unicode"/>
                      <w:szCs w:val="24"/>
                      <w:lang w:eastAsia="lt-LT"/>
                    </w:rPr>
                  </w:pPr>
                  <w:r>
                    <w:rPr>
                      <w:rFonts w:eastAsia="Lucida Sans Unicode"/>
                      <w:szCs w:val="24"/>
                      <w:lang w:eastAsia="lt-LT"/>
                    </w:rPr>
                    <w:t>Sprendimui įgyvendinti lėšos nereikalingos.</w:t>
                  </w:r>
                </w:p>
              </w:sdtContent>
            </w:sdt>
            <w:sdt>
              <w:sdtPr>
                <w:alias w:val="poskyris"/>
                <w:tag w:val="part_e9aeefe21f9c47cca073e48e58ae5306"/>
                <w:lock w:val="sdtLocked"/>
                <w:richText/>
              </w:sdtPr>
              <w:sdtContent>
                <w:p w14:paraId="7D6819BE" w14:textId="77777777">
                  <w:pPr>
                    <w:shd w:val="clear" w:color="auto" w:fill="FFFFFF"/>
                    <w:tabs>
                      <w:tab w:val="left" w:pos="855"/>
                      <w:tab w:val="left" w:pos="8604"/>
                    </w:tabs>
                    <w:ind w:firstLine="567"/>
                    <w:jc w:val="both"/>
                    <w:rPr>
                      <w:rFonts w:eastAsia="Lucida Sans Unicode"/>
                      <w:szCs w:val="24"/>
                      <w:lang w:eastAsia="lt-LT"/>
                    </w:rPr>
                  </w:pPr>
                  <w:sdt>
                    <w:sdtPr>
                      <w:alias w:val="Pavadinimas"/>
                      <w:tag w:val="title_e9aeefe21f9c47cca073e48e58ae5306"/>
                      <w:lock w:val="sdtLocked"/>
                      <w:richText/>
                    </w:sdtPr>
                    <w:sdtContent>
                      <w:r>
                        <w:rPr>
                          <w:rFonts w:eastAsia="Lucida Sans Unicode"/>
                          <w:b/>
                          <w:szCs w:val="24"/>
                          <w:lang w:eastAsia="lt-LT"/>
                        </w:rPr>
                        <w:t>Sprendimo projekto antikorupcinis vertinimas.</w:t>
                      </w:r>
                    </w:sdtContent>
                  </w:sdt>
                </w:p>
                <w:p w14:paraId="14732BE8" w14:textId="77777777">
                  <w:pPr>
                    <w:ind w:firstLine="680"/>
                    <w:jc w:val="both"/>
                    <w:rPr>
                      <w:b/>
                      <w:bCs/>
                      <w:szCs w:val="24"/>
                    </w:rPr>
                  </w:pPr>
                  <w:r>
                    <w:rPr>
                      <w:szCs w:val="24"/>
                    </w:rPr>
                    <w:t>Pridedama antikorupcinio vertinimo pažyma.</w:t>
                  </w:r>
                </w:p>
                <w:p w14:paraId="02932985" w14:textId="55B85278">
                  <w:pPr>
                    <w:spacing w:line="100" w:lineRule="atLeast"/>
                    <w:ind w:left="-5" w:right="8" w:firstLine="431"/>
                    <w:jc w:val="both"/>
                    <w:rPr>
                      <w:szCs w:val="24"/>
                    </w:rPr>
                  </w:pPr>
                  <w:r>
                    <w:rPr>
                      <w:b/>
                      <w:bCs/>
                      <w:szCs w:val="24"/>
                      <w:lang w:eastAsia="lt-LT"/>
                    </w:rPr>
                    <w:t>Sprendimo projektą parengė</w:t>
                  </w:r>
                  <w:r>
                    <w:rPr>
                      <w:szCs w:val="24"/>
                      <w:lang w:eastAsia="lt-LT"/>
                    </w:rPr>
                    <w:t xml:space="preserve"> Socialinių paslaugų skyrius. Tiesioginis rengėjas – </w:t>
                  </w:r>
                  <w:r>
                    <w:rPr>
                      <w:szCs w:val="24"/>
                      <w:shd w:val="clear" w:color="auto" w:fill="FFFFFF"/>
                    </w:rPr>
                    <w:t>Socialinių paslaugų skyriaus vedėjo pavaduotoja Lina Lašinė tel. 0 386 490, iniciatorius – Socialinių paslaugų skyriaus vedėja Ramutė Pilypienė,</w:t>
                  </w:r>
                  <w:r>
                    <w:rPr>
                      <w:szCs w:val="24"/>
                    </w:rPr>
                    <w:t xml:space="preserve"> kompleksinių paslaugų namų „Alka“ direktorius Rimantas Žąsinas.</w:t>
                  </w:r>
                </w:p>
                <w:p w14:paraId="213F1A8D" w14:textId="77777777">
                  <w:pPr>
                    <w:tabs>
                      <w:tab w:val="left" w:pos="0"/>
                    </w:tabs>
                    <w:rPr>
                      <w:rFonts w:eastAsia="Calibri"/>
                      <w:color w:val="000000"/>
                      <w:szCs w:val="24"/>
                    </w:rPr>
                  </w:pPr>
                </w:p>
                <w:p w14:paraId="14114268" w14:textId="77777777">
                  <w:pPr>
                    <w:tabs>
                      <w:tab w:val="left" w:pos="0"/>
                    </w:tabs>
                    <w:rPr>
                      <w:rFonts w:eastAsia="Calibri"/>
                      <w:color w:val="000000"/>
                      <w:szCs w:val="24"/>
                    </w:rPr>
                  </w:pPr>
                </w:p>
              </w:sdtContent>
            </w:sdt>
          </w:sdtContent>
        </w:sdt>
        <w:sdt>
          <w:sdtPr>
            <w:alias w:val="signatura"/>
            <w:tag w:val="part_db40963f32904962b28c95541cfebb56"/>
            <w:lock w:val="sdtLocked"/>
            <w:richText/>
          </w:sdtPr>
          <w:sdtContent>
            <w:p w14:paraId="29FD94A1" w14:textId="0CEA5025">
              <w:pPr>
                <w:tabs>
                  <w:tab w:val="left" w:pos="0"/>
                </w:tabs>
                <w:rPr>
                  <w:rFonts w:eastAsia="Calibri"/>
                  <w:color w:val="000000"/>
                  <w:szCs w:val="24"/>
                </w:rPr>
              </w:pPr>
              <w:r>
                <w:rPr>
                  <w:rFonts w:eastAsia="Calibri"/>
                  <w:color w:val="000000"/>
                  <w:szCs w:val="24"/>
                </w:rPr>
                <w:t xml:space="preserve">Skyriaus vedėja </w:t>
                <w:tab/>
                <w:tab/>
                <w:tab/>
                <w:tab/>
                <w:tab/>
                <w:t>Ramutė Pilypienė</w:t>
              </w:r>
              <w:r>
                <w:rPr>
                  <w:rFonts w:eastAsia="Calibri"/>
                  <w:szCs w:val="24"/>
                </w:rPr>
                <w:tab/>
                <w:t xml:space="preserve">                     </w:t>
                <w:tab/>
                <w:t xml:space="preserve">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64" w:right="567" w:bottom="96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749397" w14:textId="77777777">
      <w:pPr>
        <w:rPr>
          <w:szCs w:val="24"/>
          <w:lang w:val="en-GB"/>
        </w:rPr>
      </w:pPr>
      <w:r>
        <w:rPr>
          <w:szCs w:val="24"/>
          <w:lang w:val="en-GB"/>
        </w:rPr>
        <w:separator/>
      </w:r>
    </w:p>
  </w:endnote>
  <w:endnote w:type="continuationSeparator" w:id="0">
    <w:p w14:paraId="3709F1C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A1D57"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4D5F43"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FC87A7"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88136" w14:textId="77777777">
      <w:pPr>
        <w:rPr>
          <w:szCs w:val="24"/>
          <w:lang w:val="en-GB"/>
        </w:rPr>
      </w:pPr>
      <w:r>
        <w:rPr>
          <w:szCs w:val="24"/>
          <w:lang w:val="en-GB"/>
        </w:rPr>
        <w:separator/>
      </w:r>
    </w:p>
  </w:footnote>
  <w:footnote w:type="continuationSeparator" w:id="0">
    <w:p w14:paraId="2E776B43"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371C" w14:textId="77777777">
    <w:pPr>
      <w:framePr w:wrap="auto" w:vAnchor="text" w:hAnchor="margin" w:xAlign="center" w:y="1"/>
      <w:tabs>
        <w:tab w:val="center" w:pos="4320"/>
        <w:tab w:val="right" w:pos="8640"/>
      </w:tabs>
    </w:pPr>
    <w:r>
      <w:fldChar w:fldCharType="begin"/>
    </w:r>
    <w:r>
      <w:instrText xml:space="preserve">PAGE  </w:instrText>
    </w:r>
    <w:r>
      <w:fldChar w:fldCharType="end"/>
    </w:r>
  </w:p>
  <w:p w14:paraId="1D920870" w14:textId="77777777">
    <w:pPr>
      <w:tabs>
        <w:tab w:val="center" w:pos="4320"/>
        <w:tab w:val="right" w:pos="864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02127" w14:textId="77777777">
    <w:pPr>
      <w:tabs>
        <w:tab w:val="center" w:pos="4320"/>
        <w:tab w:val="right" w:pos="8640"/>
      </w:tabs>
      <w:jc w:val="center"/>
    </w:pPr>
    <w:r>
      <w:fldChar w:fldCharType="begin"/>
    </w:r>
    <w:r>
      <w:instrText>PAGE   \* MERGEFORMAT</w:instrText>
    </w:r>
    <w:r>
      <w:fldChar w:fldCharType="separate"/>
    </w:r>
    <w:r>
      <w:t>2</w:t>
    </w:r>
    <w:r>
      <w:fldChar w:fldCharType="end"/>
    </w:r>
  </w:p>
  <w:p w14:paraId="29A4AA83" w14:textId="77777777">
    <w:pPr>
      <w:tabs>
        <w:tab w:val="center" w:pos="4320"/>
        <w:tab w:val="right" w:pos="864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7811DC" w14:textId="77777777">
    <w:pPr>
      <w:tabs>
        <w:tab w:val="center" w:pos="4320"/>
        <w:tab w:val="right" w:pos="864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E8330"/>
  <w15:chartTrackingRefBased/>
  <w15:docId w15:val="{2DB9B6C3-283F-458A-891C-9FB5A5F611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017397">
      <w:bodyDiv w:val="1"/>
      <w:marLeft w:val="0"/>
      <w:marRight w:val="0"/>
      <w:marTop w:val="0"/>
      <w:marBottom w:val="0"/>
      <w:divBdr>
        <w:top w:val="none" w:sz="0" w:space="0" w:color="auto"/>
        <w:left w:val="none" w:sz="0" w:space="0" w:color="auto"/>
        <w:bottom w:val="none" w:sz="0" w:space="0" w:color="auto"/>
        <w:right w:val="none" w:sz="0" w:space="0" w:color="auto"/>
      </w:divBdr>
    </w:div>
    <w:div w:id="356928475">
      <w:bodyDiv w:val="1"/>
      <w:marLeft w:val="0"/>
      <w:marRight w:val="0"/>
      <w:marTop w:val="0"/>
      <w:marBottom w:val="0"/>
      <w:divBdr>
        <w:top w:val="none" w:sz="0" w:space="0" w:color="auto"/>
        <w:left w:val="none" w:sz="0" w:space="0" w:color="auto"/>
        <w:bottom w:val="none" w:sz="0" w:space="0" w:color="auto"/>
        <w:right w:val="none" w:sz="0" w:space="0" w:color="auto"/>
      </w:divBdr>
    </w:div>
    <w:div w:id="586617994">
      <w:bodyDiv w:val="1"/>
      <w:marLeft w:val="0"/>
      <w:marRight w:val="0"/>
      <w:marTop w:val="0"/>
      <w:marBottom w:val="0"/>
      <w:divBdr>
        <w:top w:val="none" w:sz="0" w:space="0" w:color="auto"/>
        <w:left w:val="none" w:sz="0" w:space="0" w:color="auto"/>
        <w:bottom w:val="none" w:sz="0" w:space="0" w:color="auto"/>
        <w:right w:val="none" w:sz="0" w:space="0" w:color="auto"/>
      </w:divBdr>
    </w:div>
    <w:div w:id="623080574">
      <w:bodyDiv w:val="1"/>
      <w:marLeft w:val="0"/>
      <w:marRight w:val="0"/>
      <w:marTop w:val="0"/>
      <w:marBottom w:val="0"/>
      <w:divBdr>
        <w:top w:val="none" w:sz="0" w:space="0" w:color="auto"/>
        <w:left w:val="none" w:sz="0" w:space="0" w:color="auto"/>
        <w:bottom w:val="none" w:sz="0" w:space="0" w:color="auto"/>
        <w:right w:val="none" w:sz="0" w:space="0" w:color="auto"/>
      </w:divBdr>
    </w:div>
    <w:div w:id="727342818">
      <w:bodyDiv w:val="1"/>
      <w:marLeft w:val="0"/>
      <w:marRight w:val="0"/>
      <w:marTop w:val="0"/>
      <w:marBottom w:val="0"/>
      <w:divBdr>
        <w:top w:val="none" w:sz="0" w:space="0" w:color="auto"/>
        <w:left w:val="none" w:sz="0" w:space="0" w:color="auto"/>
        <w:bottom w:val="none" w:sz="0" w:space="0" w:color="auto"/>
        <w:right w:val="none" w:sz="0" w:space="0" w:color="auto"/>
      </w:divBdr>
    </w:div>
    <w:div w:id="737940190">
      <w:bodyDiv w:val="1"/>
      <w:marLeft w:val="0"/>
      <w:marRight w:val="0"/>
      <w:marTop w:val="0"/>
      <w:marBottom w:val="0"/>
      <w:divBdr>
        <w:top w:val="none" w:sz="0" w:space="0" w:color="auto"/>
        <w:left w:val="none" w:sz="0" w:space="0" w:color="auto"/>
        <w:bottom w:val="none" w:sz="0" w:space="0" w:color="auto"/>
        <w:right w:val="none" w:sz="0" w:space="0" w:color="auto"/>
      </w:divBdr>
    </w:div>
    <w:div w:id="819619301">
      <w:bodyDiv w:val="1"/>
      <w:marLeft w:val="0"/>
      <w:marRight w:val="0"/>
      <w:marTop w:val="0"/>
      <w:marBottom w:val="0"/>
      <w:divBdr>
        <w:top w:val="none" w:sz="0" w:space="0" w:color="auto"/>
        <w:left w:val="none" w:sz="0" w:space="0" w:color="auto"/>
        <w:bottom w:val="none" w:sz="0" w:space="0" w:color="auto"/>
        <w:right w:val="none" w:sz="0" w:space="0" w:color="auto"/>
      </w:divBdr>
    </w:div>
    <w:div w:id="962737072">
      <w:bodyDiv w:val="1"/>
      <w:marLeft w:val="0"/>
      <w:marRight w:val="0"/>
      <w:marTop w:val="0"/>
      <w:marBottom w:val="0"/>
      <w:divBdr>
        <w:top w:val="none" w:sz="0" w:space="0" w:color="auto"/>
        <w:left w:val="none" w:sz="0" w:space="0" w:color="auto"/>
        <w:bottom w:val="none" w:sz="0" w:space="0" w:color="auto"/>
        <w:right w:val="none" w:sz="0" w:space="0" w:color="auto"/>
      </w:divBdr>
    </w:div>
    <w:div w:id="1028607079">
      <w:bodyDiv w:val="1"/>
      <w:marLeft w:val="0"/>
      <w:marRight w:val="0"/>
      <w:marTop w:val="0"/>
      <w:marBottom w:val="0"/>
      <w:divBdr>
        <w:top w:val="none" w:sz="0" w:space="0" w:color="auto"/>
        <w:left w:val="none" w:sz="0" w:space="0" w:color="auto"/>
        <w:bottom w:val="none" w:sz="0" w:space="0" w:color="auto"/>
        <w:right w:val="none" w:sz="0" w:space="0" w:color="auto"/>
      </w:divBdr>
    </w:div>
    <w:div w:id="1230307708">
      <w:bodyDiv w:val="1"/>
      <w:marLeft w:val="0"/>
      <w:marRight w:val="0"/>
      <w:marTop w:val="0"/>
      <w:marBottom w:val="0"/>
      <w:divBdr>
        <w:top w:val="none" w:sz="0" w:space="0" w:color="auto"/>
        <w:left w:val="none" w:sz="0" w:space="0" w:color="auto"/>
        <w:bottom w:val="none" w:sz="0" w:space="0" w:color="auto"/>
        <w:right w:val="none" w:sz="0" w:space="0" w:color="auto"/>
      </w:divBdr>
    </w:div>
    <w:div w:id="1254365431">
      <w:bodyDiv w:val="1"/>
      <w:marLeft w:val="0"/>
      <w:marRight w:val="0"/>
      <w:marTop w:val="0"/>
      <w:marBottom w:val="0"/>
      <w:divBdr>
        <w:top w:val="none" w:sz="0" w:space="0" w:color="auto"/>
        <w:left w:val="none" w:sz="0" w:space="0" w:color="auto"/>
        <w:bottom w:val="none" w:sz="0" w:space="0" w:color="auto"/>
        <w:right w:val="none" w:sz="0" w:space="0" w:color="auto"/>
      </w:divBdr>
    </w:div>
    <w:div w:id="1254970413">
      <w:bodyDiv w:val="1"/>
      <w:marLeft w:val="0"/>
      <w:marRight w:val="0"/>
      <w:marTop w:val="0"/>
      <w:marBottom w:val="0"/>
      <w:divBdr>
        <w:top w:val="none" w:sz="0" w:space="0" w:color="auto"/>
        <w:left w:val="none" w:sz="0" w:space="0" w:color="auto"/>
        <w:bottom w:val="none" w:sz="0" w:space="0" w:color="auto"/>
        <w:right w:val="none" w:sz="0" w:space="0" w:color="auto"/>
      </w:divBdr>
    </w:div>
    <w:div w:id="1277055835">
      <w:bodyDiv w:val="1"/>
      <w:marLeft w:val="0"/>
      <w:marRight w:val="0"/>
      <w:marTop w:val="0"/>
      <w:marBottom w:val="0"/>
      <w:divBdr>
        <w:top w:val="none" w:sz="0" w:space="0" w:color="auto"/>
        <w:left w:val="none" w:sz="0" w:space="0" w:color="auto"/>
        <w:bottom w:val="none" w:sz="0" w:space="0" w:color="auto"/>
        <w:right w:val="none" w:sz="0" w:space="0" w:color="auto"/>
      </w:divBdr>
    </w:div>
    <w:div w:id="1495486784">
      <w:bodyDiv w:val="1"/>
      <w:marLeft w:val="0"/>
      <w:marRight w:val="0"/>
      <w:marTop w:val="0"/>
      <w:marBottom w:val="0"/>
      <w:divBdr>
        <w:top w:val="none" w:sz="0" w:space="0" w:color="auto"/>
        <w:left w:val="none" w:sz="0" w:space="0" w:color="auto"/>
        <w:bottom w:val="none" w:sz="0" w:space="0" w:color="auto"/>
        <w:right w:val="none" w:sz="0" w:space="0" w:color="auto"/>
      </w:divBdr>
    </w:div>
    <w:div w:id="1821577918">
      <w:bodyDiv w:val="1"/>
      <w:marLeft w:val="0"/>
      <w:marRight w:val="0"/>
      <w:marTop w:val="0"/>
      <w:marBottom w:val="0"/>
      <w:divBdr>
        <w:top w:val="none" w:sz="0" w:space="0" w:color="auto"/>
        <w:left w:val="none" w:sz="0" w:space="0" w:color="auto"/>
        <w:bottom w:val="none" w:sz="0" w:space="0" w:color="auto"/>
        <w:right w:val="none" w:sz="0" w:space="0" w:color="auto"/>
      </w:divBdr>
    </w:div>
    <w:div w:id="1967587503">
      <w:bodyDiv w:val="1"/>
      <w:marLeft w:val="0"/>
      <w:marRight w:val="0"/>
      <w:marTop w:val="0"/>
      <w:marBottom w:val="0"/>
      <w:divBdr>
        <w:top w:val="none" w:sz="0" w:space="0" w:color="auto"/>
        <w:left w:val="none" w:sz="0" w:space="0" w:color="auto"/>
        <w:bottom w:val="none" w:sz="0" w:space="0" w:color="auto"/>
        <w:right w:val="none" w:sz="0" w:space="0" w:color="auto"/>
      </w:divBdr>
    </w:div>
    <w:div w:id="2050490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dedb269c7a54d52887178a4b3d1d975" PartId="5bfe53ce74a04c54a68beadc178eb5d1">
    <Part Type="skyrius" Nr="999" DocPartId="e58fca0984b342b9884e55b03915d083" PartId="b09ee40c8eef4a7f8b4e98b62011d53b">
      <Part Type="poskyris" Title="SPRENDIMO „DĖL KOMPLEKSINIŲ PASLAUGŲ NAMŲ „ALKA“ NUOSTATŲ PATVIRTINIMO“ PROJEKTO AIŠKINAMASIS RAŠTAS" DocPartId="a839c423d2604b3b99180cb33bbb41bb" PartId="389d9f2f842741bd924a14dd055a40d4"/>
      <Part Type="poskyris" Title="Parengto sprendimo projekto tikslai ir uždaviniai." DocPartId="513095db09d14ac9bc2330b688b14ad4" PartId="a7aeb93ce2714d06bbb3ff6e3c808215"/>
      <Part Type="poskyris" Title="Dabartinis sprendimo projekte aptariamų klausimų reguliavimas." DocPartId="47a42923a9d1430bb8e1e3a286ae3e77" PartId="daf97e80063942e482397cae5c56a6af"/>
      <Part Type="poskyris" Title="Sprendimo projekte numatytos naujos teisinio reglamentavimo nuostatos." DocPartId="9a9fd35697f44a2bb73d1fa579255f0d" PartId="916d21a01a78418a825a53bd72ab27b5"/>
      <Part Type="poskyris" Title="Priėmus sprendimą, galimos pasekmės" DocPartId="ecaf32d505cb4f09a9f5ebc02f417d62" PartId="51774f610f354ecda650c459a2c946f5"/>
      <Part Type="poskyris" Title="Priėmus sprendimą, keičiami ar pripažįstami negaliojančiais teisės aktai." DocPartId="803ab099a69f4a05b96bfd3ebe77eebf" PartId="4584cf815f984027b254fc6d2fb31b31"/>
      <Part Type="poskyris" Title="Sprendimui įgyvendinti reikalingi priimti papildomi teisės aktai." DocPartId="9fb51059b6444c24b3355f32ae374380" PartId="5e880b0acb8f42769036dcf00914ebcd"/>
      <Part Type="poskyris" Title="Sprendimo projekto antikorupcinis vertinimas." DocPartId="4aee8cbaf219437880c17475718bdeef" PartId="e9aeefe21f9c47cca073e48e58ae5306"/>
    </Part>
    <Part Type="signatura" DocPartId="9dec6ce3e42948d0990bdb445ef84c92" PartId="db40963f32904962b28c95541cfebb56"/>
  </Part>
</Parts>
</file>

<file path=customXml/itemProps1.xml><?xml version="1.0" encoding="utf-8"?>
<ds:datastoreItem xmlns:ds="http://schemas.openxmlformats.org/officeDocument/2006/customXml" ds:itemID="{8A598E8F-8CD4-4F2D-B2B8-1307A9E205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676</Words>
  <Characters>4903</Characters>
  <Application>Microsoft Office Word</Application>
  <DocSecurity>4</DocSecurity>
  <Lines>90</Lines>
  <Paragraphs>43</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5536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2025-06-18T12:29:00Z</dcterms:created>
  <dc:creator>Dovilė Žukauskienė</dc:creator>
  <lastModifiedBy>adlibuser</lastModifiedBy>
  <lastPrinted>2015-08-11T12:35:00Z</lastPrinted>
  <dcterms:modified xsi:type="dcterms:W3CDTF">2025-06-18T12:29:00Z</dcterms:modified>
  <revision>2</revision>
  <dc:title>ŠIAULIŲ MIESTO SAVIVALDYBĖS ADMINISTRACIJOS</dc:title>
</coreProperties>
</file>