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9c367e1ce904957b38d9aeb2c8b7961"/>
        <w:lock w:val="sdtLocked"/>
        <w:richText/>
      </w:sdtPr>
      <w:sdtContent>
        <w:p w14:paraId="064EF6B4" w14:textId="77777777">
          <w:pPr>
            <w:widowControl w:val="0"/>
            <w:tabs>
              <w:tab w:val="center" w:pos="4819"/>
              <w:tab w:val="right" w:pos="9638"/>
            </w:tabs>
            <w:suppressAutoHyphens/>
            <w:ind w:left="142"/>
            <w:rPr>
              <w:rFonts w:eastAsia="Andale Sans UI"/>
              <w:color w:val="FF0000"/>
              <w:kern w:val="2"/>
              <w:szCs w:val="24"/>
              <w:lang w:eastAsia="ar-SA"/>
            </w:rPr>
          </w:pPr>
        </w:p>
        <w:p w14:paraId="334BCCC4" w14:textId="7D76446D">
          <w:pPr>
            <w:widowControl w:val="0"/>
            <w:suppressAutoHyphens/>
            <w:jc w:val="right"/>
            <w:rPr>
              <w:rFonts w:eastAsia="Andale Sans UI"/>
              <w:b/>
              <w:kern w:val="2"/>
              <w:szCs w:val="24"/>
              <w:lang w:eastAsia="ar-SA"/>
            </w:rPr>
          </w:pPr>
          <w:r>
            <w:rPr>
              <w:rFonts w:eastAsia="Andale Sans UI"/>
              <w:b/>
              <w:kern w:val="2"/>
              <w:szCs w:val="24"/>
              <w:lang w:eastAsia="ar-SA"/>
            </w:rPr>
            <w:t>Projekto lyginamasis variantas</w:t>
          </w:r>
        </w:p>
        <w:p w14:paraId="66D31197" w14:textId="77777777">
          <w:pPr>
            <w:widowControl w:val="0"/>
            <w:suppressAutoHyphens/>
            <w:jc w:val="center"/>
            <w:rPr>
              <w:rFonts w:eastAsia="Andale Sans UI"/>
              <w:b/>
              <w:kern w:val="2"/>
              <w:szCs w:val="24"/>
              <w:lang w:eastAsia="ar-SA"/>
            </w:rPr>
          </w:pPr>
        </w:p>
        <w:p w14:paraId="7BE3C7AD" w14:textId="1FF3CB83">
          <w:pPr>
            <w:widowControl w:val="0"/>
            <w:suppressAutoHyphens/>
            <w:jc w:val="center"/>
            <w:rPr>
              <w:rFonts w:eastAsia="Andale Sans UI"/>
              <w:b/>
              <w:kern w:val="2"/>
              <w:szCs w:val="24"/>
              <w:lang w:eastAsia="ar-SA"/>
            </w:rPr>
          </w:pPr>
          <w:r>
            <w:rPr>
              <w:rFonts w:eastAsia="Andale Sans UI"/>
              <w:b/>
              <w:kern w:val="2"/>
              <w:szCs w:val="24"/>
              <w:lang w:eastAsia="ar-SA"/>
            </w:rPr>
            <w:t>ŠIAULIŲ MIESTO SAVIVALDYBĖS TARYBA</w:t>
          </w:r>
        </w:p>
        <w:p w14:paraId="6C703892" w14:textId="77777777">
          <w:pPr>
            <w:widowControl w:val="0"/>
            <w:suppressAutoHyphens/>
            <w:jc w:val="center"/>
            <w:rPr>
              <w:rFonts w:eastAsia="Andale Sans UI"/>
              <w:b/>
              <w:kern w:val="2"/>
              <w:szCs w:val="24"/>
              <w:lang w:eastAsia="ar-SA"/>
            </w:rPr>
          </w:pPr>
        </w:p>
        <w:p w14:paraId="28373BA4" w14:textId="77777777">
          <w:pPr>
            <w:widowControl w:val="0"/>
            <w:suppressAutoHyphens/>
            <w:jc w:val="center"/>
            <w:rPr>
              <w:rFonts w:eastAsia="Andale Sans UI"/>
              <w:b/>
              <w:kern w:val="2"/>
              <w:szCs w:val="24"/>
              <w:lang w:eastAsia="ar-SA"/>
            </w:rPr>
          </w:pPr>
          <w:r>
            <w:rPr>
              <w:rFonts w:eastAsia="Andale Sans UI"/>
              <w:b/>
              <w:kern w:val="2"/>
              <w:szCs w:val="24"/>
              <w:lang w:eastAsia="ar-SA"/>
            </w:rPr>
            <w:t>SPRENDIMAS</w:t>
          </w:r>
        </w:p>
        <w:p w14:paraId="69F7CD21" w14:textId="491B6ABB">
          <w:pPr>
            <w:widowControl w:val="0"/>
            <w:suppressAutoHyphens/>
            <w:jc w:val="center"/>
            <w:rPr>
              <w:rFonts w:eastAsia="Andale Sans UI"/>
              <w:b/>
              <w:kern w:val="2"/>
              <w:szCs w:val="24"/>
              <w:lang w:eastAsia="ar-SA"/>
            </w:rPr>
          </w:pPr>
          <w:r>
            <w:rPr>
              <w:rFonts w:eastAsia="Andale Sans UI"/>
              <w:b/>
              <w:kern w:val="2"/>
              <w:szCs w:val="24"/>
              <w:lang w:eastAsia="ar-SA"/>
            </w:rPr>
            <w:t>DĖL ŠIAULIŲ MIESTO SAVIVALDYBĖS TARYBOS 2023 M. VASARIO 2 D. SPRENDIMO NR. T-30 „DĖL ŠIAULIŲ MIESTO SAVIVALDYBĖS TARYBOS VEIKLOS REGLAMENTO PATVIRTINIMO“ PAKEITIMO</w:t>
          </w:r>
        </w:p>
        <w:p w14:paraId="628560EC" w14:textId="77777777">
          <w:pPr>
            <w:jc w:val="center"/>
            <w:rPr>
              <w:rFonts w:eastAsia="Arial Unicode MS"/>
              <w:bCs/>
              <w:szCs w:val="24"/>
            </w:rPr>
          </w:pPr>
        </w:p>
        <w:p w14:paraId="31E43A31" w14:textId="7CC059EF">
          <w:pPr>
            <w:widowControl w:val="0"/>
            <w:suppressAutoHyphens/>
            <w:jc w:val="center"/>
            <w:rPr>
              <w:rFonts w:eastAsia="Andale Sans UI"/>
              <w:bCs/>
              <w:kern w:val="2"/>
              <w:szCs w:val="24"/>
              <w:lang w:eastAsia="ar-SA"/>
            </w:rPr>
          </w:pPr>
          <w:r>
            <w:rPr>
              <w:rFonts w:eastAsia="Andale Sans UI"/>
              <w:bCs/>
              <w:kern w:val="2"/>
              <w:szCs w:val="24"/>
              <w:lang w:eastAsia="ar-SA"/>
            </w:rPr>
            <w:t xml:space="preserve">2023 m.      d. Nr. T-</w:t>
          </w:r>
        </w:p>
        <w:p w14:paraId="1B993854" w14:textId="77777777">
          <w:pPr>
            <w:widowControl w:val="0"/>
            <w:suppressAutoHyphens/>
            <w:jc w:val="center"/>
            <w:rPr>
              <w:rFonts w:eastAsia="Andale Sans UI"/>
              <w:bCs/>
              <w:kern w:val="2"/>
              <w:szCs w:val="24"/>
              <w:lang w:eastAsia="ar-SA"/>
            </w:rPr>
          </w:pPr>
          <w:r>
            <w:rPr>
              <w:rFonts w:eastAsia="Andale Sans UI"/>
              <w:bCs/>
              <w:kern w:val="2"/>
              <w:szCs w:val="24"/>
              <w:lang w:eastAsia="ar-SA"/>
            </w:rPr>
            <w:t>Šiauliai</w:t>
          </w:r>
        </w:p>
        <w:p w14:paraId="47EE4726" w14:textId="77777777">
          <w:pPr>
            <w:widowControl w:val="0"/>
            <w:suppressAutoHyphens/>
            <w:ind w:firstLine="709"/>
            <w:jc w:val="both"/>
            <w:rPr>
              <w:rFonts w:eastAsia="Andale Sans UI"/>
              <w:bCs/>
              <w:kern w:val="2"/>
              <w:szCs w:val="24"/>
              <w:lang w:eastAsia="ar-SA"/>
            </w:rPr>
          </w:pPr>
        </w:p>
        <w:sdt>
          <w:sdtPr>
            <w:alias w:val="preambule"/>
            <w:tag w:val="part_b9471990a9044a97813f697780071063"/>
            <w:lock w:val="sdtLocked"/>
            <w:richText/>
          </w:sdtPr>
          <w:sdtContent>
            <w:p w14:paraId="1B2C5F30" w14:textId="30191026">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lang w:eastAsia="ar-SA"/>
                </w:rPr>
                <w:t xml:space="preserve">Vadovaudamasi Lietuvos Respublikos vietos savivaldos įstatymo 15 straipsnio 2 dalies 1 punktu, Šiaulių miesto savivaldybės taryba  </w:t>
              </w:r>
              <w:r>
                <w:rPr>
                  <w:rFonts w:eastAsia="Andale Sans UI"/>
                  <w:bCs/>
                  <w:spacing w:val="80"/>
                  <w:kern w:val="2"/>
                  <w:szCs w:val="24"/>
                  <w:shd w:val="clear" w:color="auto" w:fill="FFFFFF"/>
                  <w:lang w:eastAsia="ar-SA"/>
                </w:rPr>
                <w:t>nusprendži</w:t>
              </w:r>
              <w:r>
                <w:rPr>
                  <w:rFonts w:eastAsia="Andale Sans UI"/>
                  <w:bCs/>
                  <w:kern w:val="2"/>
                  <w:szCs w:val="24"/>
                  <w:shd w:val="clear" w:color="auto" w:fill="FFFFFF"/>
                  <w:lang w:eastAsia="ar-SA"/>
                </w:rPr>
                <w:t>a:</w:t>
              </w:r>
            </w:p>
          </w:sdtContent>
        </w:sdt>
        <w:sdt>
          <w:sdtPr>
            <w:alias w:val="pastraipa"/>
            <w:tag w:val="part_76a6fadcdccc42e2bb53314e45a07d73"/>
            <w:lock w:val="sdtLocked"/>
            <w:richText/>
          </w:sdtPr>
          <w:sdtContent>
            <w:p w14:paraId="3DF3C385" w14:textId="14AB40EE">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Pakeisti Šiaulių miesto savivaldybės tarybos veiklos reglamentą, patvirtintą Šiaulių miesto savivaldybės tarybos 2023 m. vasario 2 d. sprendimu Nr. T-30 „Dėl Šiaulių miesto savivaldybės tarybos veiklos reglamento patvirtinimo“:</w:t>
              </w:r>
            </w:p>
          </w:sdtContent>
        </w:sdt>
        <w:sdt>
          <w:sdtPr>
            <w:alias w:val="1 p."/>
            <w:tag w:val="part_fdf2527b8a81409da1b4d1cd78e0ff4e"/>
            <w:lock w:val="sdtLocked"/>
            <w:richText/>
          </w:sdtPr>
          <w:sdtContent>
            <w:p w14:paraId="5414E701" w14:textId="235D2058">
              <w:pPr>
                <w:widowControl w:val="0"/>
                <w:suppressAutoHyphens/>
                <w:ind w:firstLine="709"/>
                <w:jc w:val="both"/>
                <w:rPr>
                  <w:rFonts w:eastAsia="Andale Sans UI"/>
                  <w:bCs/>
                  <w:kern w:val="2"/>
                  <w:szCs w:val="24"/>
                  <w:vertAlign w:val="superscript"/>
                  <w:lang w:eastAsia="ar-SA"/>
                </w:rPr>
              </w:pPr>
              <w:sdt>
                <w:sdtPr>
                  <w:alias w:val="Numeris"/>
                  <w:tag w:val="nr_fdf2527b8a81409da1b4d1cd78e0ff4e"/>
                  <w:lock w:val="sdtLocked"/>
                  <w:richText/>
                </w:sdtPr>
                <w:sdtContent>
                  <w:r>
                    <w:rPr>
                      <w:rFonts w:eastAsia="Andale Sans UI"/>
                      <w:bCs/>
                      <w:kern w:val="2"/>
                      <w:szCs w:val="24"/>
                      <w:shd w:val="clear" w:color="auto" w:fill="FFFFFF"/>
                      <w:lang w:eastAsia="ar-SA"/>
                    </w:rPr>
                    <w:t>1</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152 punktą ir jį išdėstyti taip:</w:t>
              </w:r>
            </w:p>
            <w:sdt>
              <w:sdtPr>
                <w:alias w:val="citata"/>
                <w:tag w:val="part_b61ee861d4db4f2b866bc6e5334297b4"/>
                <w:lock w:val="sdtLocked"/>
                <w:richText/>
              </w:sdtPr>
              <w:sdtContent>
                <w:sdt>
                  <w:sdtPr>
                    <w:alias w:val="152 p."/>
                    <w:tag w:val="part_4e52dddd97b74a57902a8c3f1ff49906"/>
                    <w:lock w:val="sdtLocked"/>
                    <w:richText/>
                  </w:sdtPr>
                  <w:sdtContent>
                    <w:p w14:paraId="1715D18D" w14:textId="06EBD1AF">
                      <w:pPr>
                        <w:widowControl w:val="0"/>
                        <w:suppressAutoHyphens/>
                        <w:ind w:firstLine="600"/>
                        <w:jc w:val="both"/>
                        <w:rPr>
                          <w:rFonts w:eastAsia="Andale Sans UI"/>
                          <w:bCs/>
                          <w:strike/>
                          <w:color w:val="000000"/>
                          <w:kern w:val="2"/>
                          <w:szCs w:val="24"/>
                          <w:lang w:eastAsia="ar-SA"/>
                        </w:rPr>
                      </w:pPr>
                      <w:r>
                        <w:rPr>
                          <w:kern w:val="2"/>
                          <w:szCs w:val="24"/>
                          <w:lang w:eastAsia="lt-LT"/>
                        </w:rPr>
                        <w:t>„</w:t>
                      </w:r>
                      <w:sdt>
                        <w:sdtPr>
                          <w:alias w:val="Numeris"/>
                          <w:tag w:val="nr_4e52dddd97b74a57902a8c3f1ff49906"/>
                          <w:lock w:val="sdtLocked"/>
                          <w:richText/>
                        </w:sdtPr>
                        <w:sdtContent>
                          <w:r>
                            <w:rPr>
                              <w:kern w:val="2"/>
                              <w:szCs w:val="24"/>
                              <w:lang w:eastAsia="lt-LT"/>
                            </w:rPr>
                            <w:t>152</w:t>
                          </w:r>
                        </w:sdtContent>
                      </w:sdt>
                      <w:r>
                        <w:rPr>
                          <w:kern w:val="2"/>
                          <w:szCs w:val="24"/>
                          <w:lang w:eastAsia="lt-LT"/>
                        </w:rPr>
                        <w:t xml:space="preserve">. </w:t>
                      </w:r>
                      <w:r>
                        <w:rPr>
                          <w:rFonts w:eastAsia="Andale Sans UI"/>
                          <w:bCs/>
                          <w:color w:val="000000"/>
                          <w:kern w:val="2"/>
                          <w:szCs w:val="24"/>
                          <w:lang w:eastAsia="ar-SA"/>
                        </w:rPr>
                        <w:t xml:space="preserve">Savivaldybės tarybos nario atlyginimas mažinamas proporcingai savivaldybės tarybos nario praleistų to mėnesio savivaldybės tarybos, komitetų, nuolatinių komisijų ir savivaldybės kolegijos, kurių narys savivaldybės tarybos narys yra, posėdžių skaičiui. </w:t>
                      </w:r>
                      <w:r>
                        <w:rPr>
                          <w:rFonts w:eastAsia="Andale Sans UI"/>
                          <w:bCs/>
                          <w:strike/>
                          <w:color w:val="000000"/>
                          <w:kern w:val="2"/>
                          <w:szCs w:val="24"/>
                          <w:lang w:eastAsia="ar-SA"/>
                        </w:rPr>
                        <w:t>Atlyginimas mažinamas atsižvelgiant į praleisto posėdžio svarbą, Tarybos nario dalyvavimo jame trukmę.</w:t>
                      </w:r>
                    </w:p>
                  </w:sdtContent>
                </w:sdt>
              </w:sdtContent>
            </w:sdt>
          </w:sdtContent>
        </w:sdt>
        <w:sdt>
          <w:sdtPr>
            <w:alias w:val="2 p."/>
            <w:tag w:val="part_f4c88cf0aaa74f9d8ca4b2d5becd96c5"/>
            <w:lock w:val="sdtLocked"/>
            <w:richText/>
          </w:sdtPr>
          <w:sdtContent>
            <w:p w14:paraId="13557F56" w14:textId="5202BBAA">
              <w:pPr>
                <w:widowControl w:val="0"/>
                <w:suppressAutoHyphens/>
                <w:ind w:firstLine="600"/>
                <w:jc w:val="both"/>
                <w:rPr>
                  <w:kern w:val="2"/>
                  <w:szCs w:val="24"/>
                  <w:lang w:eastAsia="lt-LT"/>
                </w:rPr>
              </w:pPr>
              <w:sdt>
                <w:sdtPr>
                  <w:alias w:val="Numeris"/>
                  <w:tag w:val="nr_f4c88cf0aaa74f9d8ca4b2d5becd96c5"/>
                  <w:lock w:val="sdtLocked"/>
                  <w:richText/>
                </w:sdtPr>
                <w:sdtContent>
                  <w:r>
                    <w:rPr>
                      <w:kern w:val="2"/>
                      <w:szCs w:val="24"/>
                      <w:lang w:eastAsia="lt-LT"/>
                    </w:rPr>
                    <w:t>2</w:t>
                  </w:r>
                </w:sdtContent>
              </w:sdt>
              <w:r>
                <w:rPr>
                  <w:kern w:val="2"/>
                  <w:szCs w:val="24"/>
                  <w:lang w:eastAsia="lt-LT"/>
                </w:rPr>
                <w:t xml:space="preserve">. Pripažinti netekusiais galios 153 punktą su papunkčiais ir 154 –157 punktus. </w:t>
              </w:r>
            </w:p>
          </w:sdtContent>
        </w:sdt>
        <w:sdt>
          <w:sdtPr>
            <w:alias w:val="153 p."/>
            <w:tag w:val="part_b9185798803d406b9c2de3ffae0c4cec"/>
            <w:lock w:val="sdtLocked"/>
            <w:richText/>
          </w:sdtPr>
          <w:sdtContent>
            <w:p w14:paraId="3B14D5DB" w14:textId="7390A965">
              <w:pPr>
                <w:widowControl w:val="0"/>
                <w:suppressAutoHyphens/>
                <w:ind w:firstLine="600"/>
                <w:jc w:val="both"/>
                <w:rPr>
                  <w:strike/>
                  <w:szCs w:val="24"/>
                  <w:lang w:eastAsia="lt-LT"/>
                </w:rPr>
              </w:pPr>
              <w:sdt>
                <w:sdtPr>
                  <w:alias w:val="Numeris"/>
                  <w:tag w:val="nr_b9185798803d406b9c2de3ffae0c4cec"/>
                  <w:lock w:val="sdtLocked"/>
                  <w:richText/>
                </w:sdtPr>
                <w:sdtContent>
                  <w:r>
                    <w:rPr>
                      <w:strike/>
                      <w:kern w:val="2"/>
                      <w:szCs w:val="24"/>
                      <w:lang w:eastAsia="lt-LT"/>
                    </w:rPr>
                    <w:t>153</w:t>
                  </w:r>
                </w:sdtContent>
              </w:sdt>
              <w:r>
                <w:rPr>
                  <w:strike/>
                  <w:kern w:val="2"/>
                  <w:szCs w:val="24"/>
                  <w:lang w:eastAsia="lt-LT"/>
                </w:rPr>
                <w:t xml:space="preserve">. </w:t>
              </w:r>
              <w:r>
                <w:rPr>
                  <w:rFonts w:eastAsia="Andale Sans UI"/>
                  <w:bCs/>
                  <w:strike/>
                  <w:kern w:val="2"/>
                  <w:szCs w:val="24"/>
                  <w:lang w:eastAsia="ar-SA"/>
                </w:rPr>
                <w:t>Atlyginimas mažinamas pagal posėdžio svarbą</w:t>
              </w:r>
              <w:r>
                <w:rPr>
                  <w:strike/>
                  <w:szCs w:val="24"/>
                  <w:lang w:eastAsia="lt-LT"/>
                </w:rPr>
                <w:t>:</w:t>
              </w:r>
            </w:p>
            <w:sdt>
              <w:sdtPr>
                <w:alias w:val="153.1 pp."/>
                <w:tag w:val="part_030d9adfe4aa496b9df13d08d2698ed5"/>
                <w:lock w:val="sdtLocked"/>
                <w:richText/>
              </w:sdtPr>
              <w:sdtContent>
                <w:p w14:paraId="295CFEEA" w14:textId="77777777">
                  <w:pPr>
                    <w:widowControl w:val="0"/>
                    <w:suppressAutoHyphens/>
                    <w:ind w:firstLine="600"/>
                    <w:jc w:val="both"/>
                    <w:rPr>
                      <w:bCs/>
                      <w:strike/>
                      <w:szCs w:val="24"/>
                      <w:lang w:eastAsia="lt-LT"/>
                    </w:rPr>
                  </w:pPr>
                  <w:sdt>
                    <w:sdtPr>
                      <w:alias w:val="Numeris"/>
                      <w:tag w:val="nr_030d9adfe4aa496b9df13d08d2698ed5"/>
                      <w:lock w:val="sdtLocked"/>
                      <w:richText/>
                    </w:sdtPr>
                    <w:sdtContent>
                      <w:r>
                        <w:rPr>
                          <w:bCs/>
                          <w:strike/>
                          <w:szCs w:val="24"/>
                          <w:lang w:eastAsia="lt-LT"/>
                        </w:rPr>
                        <w:t>153.1</w:t>
                      </w:r>
                    </w:sdtContent>
                  </w:sdt>
                  <w:r>
                    <w:rPr>
                      <w:bCs/>
                      <w:strike/>
                      <w:szCs w:val="24"/>
                      <w:lang w:eastAsia="lt-LT"/>
                    </w:rPr>
                    <w:t xml:space="preserve">. Už praleistą vieną Tarybos posėdį </w:t>
                  </w:r>
                  <w:r>
                    <w:rPr>
                      <w:rFonts w:eastAsia="Andale Sans UI"/>
                      <w:bCs/>
                      <w:strike/>
                      <w:kern w:val="2"/>
                      <w:szCs w:val="24"/>
                      <w:lang w:eastAsia="ar-SA"/>
                    </w:rPr>
                    <w:t>tarybos nario mėnesio atlyginimas mažinamas 20 procentų;</w:t>
                  </w:r>
                </w:p>
              </w:sdtContent>
            </w:sdt>
            <w:sdt>
              <w:sdtPr>
                <w:alias w:val="153.2 pp."/>
                <w:tag w:val="part_84c83d4e9c8d4267a54d1d6b8d67bf95"/>
                <w:lock w:val="sdtLocked"/>
                <w:richText/>
              </w:sdtPr>
              <w:sdtContent>
                <w:p w14:paraId="6FAC0E01" w14:textId="4026A0E0">
                  <w:pPr>
                    <w:widowControl w:val="0"/>
                    <w:suppressAutoHyphens/>
                    <w:ind w:firstLine="600"/>
                    <w:jc w:val="both"/>
                    <w:rPr>
                      <w:rFonts w:eastAsia="Andale Sans UI"/>
                      <w:bCs/>
                      <w:strike/>
                      <w:kern w:val="2"/>
                      <w:szCs w:val="24"/>
                      <w:lang w:eastAsia="ar-SA"/>
                    </w:rPr>
                  </w:pPr>
                  <w:sdt>
                    <w:sdtPr>
                      <w:alias w:val="Numeris"/>
                      <w:tag w:val="nr_84c83d4e9c8d4267a54d1d6b8d67bf95"/>
                      <w:lock w:val="sdtLocked"/>
                      <w:richText/>
                    </w:sdtPr>
                    <w:sdtContent>
                      <w:r>
                        <w:rPr>
                          <w:bCs/>
                          <w:strike/>
                          <w:szCs w:val="24"/>
                          <w:lang w:eastAsia="lt-LT"/>
                        </w:rPr>
                        <w:t>153.2</w:t>
                      </w:r>
                    </w:sdtContent>
                  </w:sdt>
                  <w:r>
                    <w:rPr>
                      <w:bCs/>
                      <w:strike/>
                      <w:szCs w:val="24"/>
                      <w:lang w:eastAsia="lt-LT"/>
                    </w:rPr>
                    <w:t xml:space="preserve">. Už praleistą vieną Komiteto, Komisijos ar Kolegijos posėdį, </w:t>
                  </w:r>
                  <w:r>
                    <w:rPr>
                      <w:rFonts w:eastAsia="Andale Sans UI"/>
                      <w:bCs/>
                      <w:strike/>
                      <w:kern w:val="2"/>
                      <w:szCs w:val="24"/>
                      <w:lang w:eastAsia="ar-SA"/>
                    </w:rPr>
                    <w:t>tarybos nario mėnesio atlyginimas mažinamas 10 procentų.</w:t>
                  </w:r>
                </w:p>
              </w:sdtContent>
            </w:sdt>
          </w:sdtContent>
        </w:sdt>
        <w:sdt>
          <w:sdtPr>
            <w:alias w:val="154 p."/>
            <w:tag w:val="part_d3fe6a11109b4579bc5b7d7174d487f1"/>
            <w:lock w:val="sdtLocked"/>
            <w:richText/>
          </w:sdtPr>
          <w:sdtContent>
            <w:p w14:paraId="36A222A4" w14:textId="2002BD45">
              <w:pPr>
                <w:widowControl w:val="0"/>
                <w:suppressAutoHyphens/>
                <w:ind w:firstLine="600"/>
                <w:jc w:val="both"/>
                <w:rPr>
                  <w:bCs/>
                  <w:strike/>
                  <w:color w:val="000000"/>
                  <w:szCs w:val="24"/>
                  <w:lang w:eastAsia="lt-LT"/>
                </w:rPr>
              </w:pPr>
              <w:sdt>
                <w:sdtPr>
                  <w:alias w:val="Numeris"/>
                  <w:tag w:val="nr_d3fe6a11109b4579bc5b7d7174d487f1"/>
                  <w:lock w:val="sdtLocked"/>
                  <w:richText/>
                </w:sdtPr>
                <w:sdtContent>
                  <w:r>
                    <w:rPr>
                      <w:strike/>
                      <w:kern w:val="2"/>
                      <w:szCs w:val="24"/>
                      <w:lang w:eastAsia="lt-LT"/>
                    </w:rPr>
                    <w:t>154</w:t>
                  </w:r>
                </w:sdtContent>
              </w:sdt>
              <w:r>
                <w:rPr>
                  <w:strike/>
                  <w:kern w:val="2"/>
                  <w:szCs w:val="24"/>
                  <w:lang w:eastAsia="lt-LT"/>
                </w:rPr>
                <w:t>. </w:t>
              </w:r>
              <w:r>
                <w:rPr>
                  <w:bCs/>
                  <w:strike/>
                  <w:szCs w:val="24"/>
                  <w:lang w:eastAsia="lt-LT"/>
                </w:rPr>
                <w:t xml:space="preserve">Tarybos narys laikomas dalyvavusiu posėdyje jei jo dalyvavimas truko daugiau kaip pusę viso posėdžio laiko. Tarybos nariui dalyvavus posėdyje mažiau kaip pusę posėdžio laiko, </w:t>
              </w:r>
              <w:r>
                <w:rPr>
                  <w:bCs/>
                  <w:strike/>
                  <w:color w:val="000000"/>
                  <w:szCs w:val="24"/>
                  <w:lang w:eastAsia="lt-LT"/>
                </w:rPr>
                <w:t xml:space="preserve">Tarybos nario atlyginimui taikoma pusė mažinimo dydžio už konkretų posėdį. </w:t>
              </w:r>
            </w:p>
          </w:sdtContent>
        </w:sdt>
        <w:sdt>
          <w:sdtPr>
            <w:alias w:val="155 p."/>
            <w:tag w:val="part_9c7048ab48a346c18162755bcc6508bf"/>
            <w:lock w:val="sdtLocked"/>
            <w:richText/>
          </w:sdtPr>
          <w:sdtContent>
            <w:p w14:paraId="0517C52C" w14:textId="6C6D7F29">
              <w:pPr>
                <w:widowControl w:val="0"/>
                <w:suppressAutoHyphens/>
                <w:ind w:firstLine="600"/>
                <w:jc w:val="both"/>
                <w:rPr>
                  <w:bCs/>
                  <w:strike/>
                  <w:szCs w:val="24"/>
                  <w:lang w:eastAsia="lt-LT"/>
                </w:rPr>
              </w:pPr>
              <w:sdt>
                <w:sdtPr>
                  <w:alias w:val="Numeris"/>
                  <w:tag w:val="nr_9c7048ab48a346c18162755bcc6508bf"/>
                  <w:lock w:val="sdtLocked"/>
                  <w:richText/>
                </w:sdtPr>
                <w:sdtContent>
                  <w:r>
                    <w:rPr>
                      <w:strike/>
                      <w:color w:val="000000"/>
                      <w:kern w:val="2"/>
                      <w:szCs w:val="24"/>
                      <w:lang w:eastAsia="lt-LT"/>
                    </w:rPr>
                    <w:t>155</w:t>
                  </w:r>
                </w:sdtContent>
              </w:sdt>
              <w:r>
                <w:rPr>
                  <w:strike/>
                  <w:color w:val="000000"/>
                  <w:kern w:val="2"/>
                  <w:szCs w:val="24"/>
                  <w:lang w:eastAsia="lt-LT"/>
                </w:rPr>
                <w:t xml:space="preserve">. </w:t>
              </w:r>
              <w:r>
                <w:rPr>
                  <w:bCs/>
                  <w:strike/>
                  <w:szCs w:val="24"/>
                  <w:lang w:eastAsia="lt-LT"/>
                </w:rPr>
                <w:t xml:space="preserve">Tarybos nario atlygis apskaičiuojamas iš nustatyto atlyginimo dydžio atėmus jo visas sumažintas dalis už nedalyvautus  ar iš dalies dalyvautus posėdžius. </w:t>
              </w:r>
            </w:p>
          </w:sdtContent>
        </w:sdt>
        <w:sdt>
          <w:sdtPr>
            <w:alias w:val="156 p."/>
            <w:tag w:val="part_666770ab0c404415b8cff35d60c4a02c"/>
            <w:lock w:val="sdtLocked"/>
            <w:richText/>
          </w:sdtPr>
          <w:sdtContent>
            <w:p w14:paraId="7BF3E96B" w14:textId="3FB43D9B">
              <w:pPr>
                <w:widowControl w:val="0"/>
                <w:suppressAutoHyphens/>
                <w:ind w:firstLine="600"/>
                <w:jc w:val="both"/>
                <w:rPr>
                  <w:bCs/>
                  <w:strike/>
                  <w:szCs w:val="24"/>
                  <w:lang w:eastAsia="lt-LT"/>
                </w:rPr>
              </w:pPr>
              <w:sdt>
                <w:sdtPr>
                  <w:alias w:val="Numeris"/>
                  <w:tag w:val="nr_666770ab0c404415b8cff35d60c4a02c"/>
                  <w:lock w:val="sdtLocked"/>
                  <w:richText/>
                </w:sdtPr>
                <w:sdtContent>
                  <w:r>
                    <w:rPr>
                      <w:strike/>
                      <w:kern w:val="2"/>
                      <w:szCs w:val="24"/>
                      <w:lang w:eastAsia="lt-LT"/>
                    </w:rPr>
                    <w:t>156</w:t>
                  </w:r>
                </w:sdtContent>
              </w:sdt>
              <w:r>
                <w:rPr>
                  <w:strike/>
                  <w:kern w:val="2"/>
                  <w:szCs w:val="24"/>
                  <w:lang w:eastAsia="lt-LT"/>
                </w:rPr>
                <w:t>.</w:t>
              </w:r>
              <w:r>
                <w:rPr>
                  <w:bCs/>
                  <w:strike/>
                  <w:kern w:val="2"/>
                  <w:szCs w:val="24"/>
                  <w:lang w:eastAsia="lt-LT"/>
                </w:rPr>
                <w:t xml:space="preserve"> </w:t>
              </w:r>
              <w:r>
                <w:rPr>
                  <w:bCs/>
                  <w:strike/>
                  <w:szCs w:val="24"/>
                  <w:lang w:eastAsia="lt-LT"/>
                </w:rPr>
                <w:t xml:space="preserve">Visais atvejais, taikant Tarybos nario atlyginimo mažinimą, Tarybos nario mėnesio atlyginimas negali būti mažesnis nei 50 procentų nustatyto Tarybos nario mėnesio atlyginimo dydžio.  </w:t>
              </w:r>
            </w:p>
          </w:sdtContent>
        </w:sdt>
        <w:sdt>
          <w:sdtPr>
            <w:alias w:val="157 p."/>
            <w:tag w:val="part_912ccded770142f29c81f49d2486fcc1"/>
            <w:lock w:val="sdtLocked"/>
            <w:richText/>
          </w:sdtPr>
          <w:sdtContent>
            <w:p w14:paraId="0D8D7742" w14:textId="79A6E6CB">
              <w:pPr>
                <w:widowControl w:val="0"/>
                <w:suppressAutoHyphens/>
                <w:ind w:firstLine="600"/>
                <w:jc w:val="both"/>
                <w:rPr>
                  <w:bCs/>
                  <w:strike/>
                  <w:szCs w:val="24"/>
                  <w:lang w:eastAsia="lt-LT"/>
                </w:rPr>
              </w:pPr>
              <w:sdt>
                <w:sdtPr>
                  <w:alias w:val="Numeris"/>
                  <w:tag w:val="nr_912ccded770142f29c81f49d2486fcc1"/>
                  <w:lock w:val="sdtLocked"/>
                  <w:richText/>
                </w:sdtPr>
                <w:sdtContent>
                  <w:r>
                    <w:rPr>
                      <w:strike/>
                      <w:color w:val="000000"/>
                      <w:kern w:val="2"/>
                      <w:szCs w:val="24"/>
                      <w:shd w:val="clear" w:color="auto" w:fill="FFFFFF"/>
                      <w:lang w:eastAsia="lt-LT"/>
                    </w:rPr>
                    <w:t>157</w:t>
                  </w:r>
                </w:sdtContent>
              </w:sdt>
              <w:r>
                <w:rPr>
                  <w:strike/>
                  <w:color w:val="000000"/>
                  <w:kern w:val="2"/>
                  <w:szCs w:val="24"/>
                  <w:shd w:val="clear" w:color="auto" w:fill="FFFFFF"/>
                  <w:lang w:eastAsia="lt-LT"/>
                </w:rPr>
                <w:t xml:space="preserve">. </w:t>
              </w:r>
              <w:r>
                <w:rPr>
                  <w:bCs/>
                  <w:strike/>
                  <w:szCs w:val="24"/>
                  <w:lang w:eastAsia="lt-LT"/>
                </w:rPr>
                <w:t>Atlyginimo mažinimas netaikomas posėdyje nedalyvavusiam Tarybos nariui, tuo metu kitur atstovavusiam Savivaldybei pagal mero potvarkį ar Tarybos sprendimą, arba nusišalinusiam nuo klausimo svarstymo, kai posėdžio narių toks nusišalinimas yra priimtas. Atlyginimo mažinimas už nedalyvavimą posėdyje netaikomas ir tais atvejais, kai posėdžių laikas dubliuojasi ir viename iš vykstančių posėdžių nėra dalyvaujama.</w:t>
              </w:r>
            </w:p>
            <w:p w14:paraId="57D2DBFA" w14:textId="77777777">
              <w:pPr>
                <w:widowControl w:val="0"/>
                <w:suppressAutoHyphens/>
                <w:jc w:val="both"/>
                <w:rPr>
                  <w:rFonts w:eastAsia="Andale Sans UI"/>
                  <w:bCs/>
                  <w:kern w:val="2"/>
                  <w:szCs w:val="24"/>
                  <w:lang w:eastAsia="ar-SA"/>
                </w:rPr>
              </w:pPr>
            </w:p>
          </w:sdtContent>
        </w:sdt>
        <w:sdt>
          <w:sdtPr>
            <w:alias w:val="signatura"/>
            <w:tag w:val="part_0cd3bcb17d584bc48abf5acb3e7c43da"/>
            <w:lock w:val="sdtLocked"/>
            <w:richText/>
          </w:sdtPr>
          <w:sdtContent>
            <w:p w14:paraId="1A42534D" w14:textId="4F4DE43B">
              <w:pPr>
                <w:widowControl w:val="0"/>
                <w:suppressAutoHyphens/>
                <w:jc w:val="both"/>
                <w:rPr>
                  <w:rFonts w:eastAsia="Andale Sans UI"/>
                  <w:bCs/>
                  <w:kern w:val="2"/>
                  <w:szCs w:val="24"/>
                  <w:lang w:eastAsia="ar-SA"/>
                </w:rPr>
              </w:pPr>
              <w:r>
                <w:rPr>
                  <w:rFonts w:eastAsia="Andale Sans UI"/>
                  <w:bCs/>
                  <w:kern w:val="2"/>
                  <w:szCs w:val="24"/>
                  <w:lang w:eastAsia="ar-SA"/>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284"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6A127C" w14:textId="77777777">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14:paraId="2652C9C2" w14:textId="77777777">
      <w:pPr>
        <w:widowControl w:val="0"/>
        <w:suppressAutoHyphens/>
        <w:rPr>
          <w:rFonts w:eastAsia="Andale Sans UI"/>
          <w:kern w:val="2"/>
          <w:szCs w:val="24"/>
          <w:lang w:eastAsia="ar-SA"/>
        </w:rPr>
      </w:pPr>
      <w:r>
        <w:rPr>
          <w:rFonts w:eastAsia="Andale Sans UI"/>
          <w:kern w:val="2"/>
          <w:szCs w:val="24"/>
          <w:lang w:eastAsia="ar-SA"/>
        </w:rPr>
        <w:continuationSeparator/>
      </w:r>
    </w:p>
  </w:endnote>
  <w:endnote w:type="continuationNotice" w:id="1">
    <w:p w14:paraId="5BEF028F"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mbria"/>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EECF7" w14:textId="77777777">
    <w:pPr>
      <w:widowControl w:val="0"/>
      <w:tabs>
        <w:tab w:val="center" w:pos="4819"/>
        <w:tab w:val="right" w:pos="9638"/>
      </w:tabs>
      <w:suppressAutoHyphens/>
      <w:rPr>
        <w:rFonts w:eastAsia="Andale Sans UI"/>
        <w:kern w:val="2"/>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141D2E" w14:textId="77777777">
    <w:pPr>
      <w:widowControl w:val="0"/>
      <w:tabs>
        <w:tab w:val="center" w:pos="4819"/>
        <w:tab w:val="right" w:pos="9638"/>
      </w:tabs>
      <w:suppressAutoHyphens/>
      <w:rPr>
        <w:rFonts w:eastAsia="Andale Sans UI"/>
        <w:kern w:val="2"/>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D49CC" w14:textId="77777777">
    <w:pPr>
      <w:widowControl w:val="0"/>
      <w:tabs>
        <w:tab w:val="center" w:pos="4819"/>
        <w:tab w:val="right" w:pos="9638"/>
      </w:tabs>
      <w:suppressAutoHyphens/>
      <w:rPr>
        <w:rFonts w:eastAsia="Andale Sans UI"/>
        <w:kern w:val="2"/>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71F31E" w14:textId="77777777">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14:paraId="74E61600" w14:textId="77777777">
      <w:pPr>
        <w:widowControl w:val="0"/>
        <w:suppressAutoHyphens/>
        <w:rPr>
          <w:rFonts w:eastAsia="Andale Sans UI"/>
          <w:kern w:val="2"/>
          <w:szCs w:val="24"/>
          <w:lang w:eastAsia="ar-SA"/>
        </w:rPr>
      </w:pPr>
      <w:r>
        <w:rPr>
          <w:rFonts w:eastAsia="Andale Sans UI"/>
          <w:kern w:val="2"/>
          <w:szCs w:val="24"/>
          <w:lang w:eastAsia="ar-SA"/>
        </w:rPr>
        <w:continuationSeparator/>
      </w:r>
    </w:p>
  </w:footnote>
  <w:footnote w:type="continuationNotice" w:id="1">
    <w:p w14:paraId="6B5CFD89"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2B8ACB" w14:textId="77777777">
    <w:pPr>
      <w:widowControl w:val="0"/>
      <w:tabs>
        <w:tab w:val="center" w:pos="4819"/>
        <w:tab w:val="right" w:pos="9638"/>
      </w:tabs>
      <w:suppressAutoHyphens/>
      <w:rPr>
        <w:rFonts w:eastAsia="Andale Sans UI"/>
        <w:kern w:val="2"/>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D40AC" w14:textId="77777777">
    <w:pPr>
      <w:widowControl w:val="0"/>
      <w:tabs>
        <w:tab w:val="center" w:pos="4819"/>
        <w:tab w:val="right" w:pos="9638"/>
      </w:tabs>
      <w:suppressAutoHyphens/>
      <w:jc w:val="center"/>
      <w:rPr>
        <w:rFonts w:eastAsia="Andale Sans UI"/>
        <w:kern w:val="2"/>
        <w:szCs w:val="24"/>
        <w:lang w:eastAsia="ar-SA"/>
      </w:rPr>
    </w:pPr>
    <w:r>
      <w:rPr>
        <w:rFonts w:eastAsia="Andale Sans UI"/>
        <w:kern w:val="2"/>
        <w:szCs w:val="24"/>
        <w:lang w:eastAsia="ar-SA"/>
      </w:rPr>
      <w:fldChar w:fldCharType="begin"/>
    </w:r>
    <w:r>
      <w:rPr>
        <w:rFonts w:eastAsia="Andale Sans UI"/>
        <w:kern w:val="2"/>
        <w:szCs w:val="24"/>
        <w:lang w:eastAsia="ar-SA"/>
      </w:rPr>
      <w:instrText>PAGE   \* MERGEFORMAT</w:instrText>
    </w:r>
    <w:r>
      <w:rPr>
        <w:rFonts w:eastAsia="Andale Sans UI"/>
        <w:kern w:val="2"/>
        <w:szCs w:val="24"/>
        <w:lang w:eastAsia="ar-SA"/>
      </w:rPr>
      <w:fldChar w:fldCharType="separate"/>
    </w:r>
    <w:r>
      <w:rPr>
        <w:rFonts w:eastAsia="Andale Sans UI"/>
        <w:kern w:val="2"/>
        <w:szCs w:val="24"/>
        <w:lang w:eastAsia="ar-SA"/>
      </w:rPr>
      <w:t>2</w:t>
    </w:r>
    <w:r>
      <w:rPr>
        <w:rFonts w:eastAsia="Andale Sans UI"/>
        <w:kern w:val="2"/>
        <w:szCs w:val="24"/>
        <w:lang w:eastAsia="ar-SA"/>
      </w:rPr>
      <w:fldChar w:fldCharType="end"/>
    </w:r>
  </w:p>
  <w:p w14:paraId="5816F48E" w14:textId="77777777">
    <w:pPr>
      <w:widowControl w:val="0"/>
      <w:tabs>
        <w:tab w:val="center" w:pos="4819"/>
        <w:tab w:val="right" w:pos="9638"/>
      </w:tabs>
      <w:suppressAutoHyphens/>
      <w:rPr>
        <w:rFonts w:eastAsia="Andale Sans UI"/>
        <w:kern w:val="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5E6F8" w14:textId="6ADDC095">
    <w:pPr>
      <w:widowControl w:val="0"/>
      <w:tabs>
        <w:tab w:val="center" w:pos="4819"/>
        <w:tab w:val="right" w:pos="9638"/>
      </w:tabs>
      <w:suppressAutoHyphens/>
      <w:rPr>
        <w:rFonts w:eastAsia="Andale Sans UI"/>
        <w:kern w:val="2"/>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0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3BA4CF7"/>
  <w15:chartTrackingRefBased/>
  <w15:docId w15:val="{6F8FF3F2-88F9-4473-9B03-9019417126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5349444">
      <w:bodyDiv w:val="1"/>
      <w:marLeft w:val="0"/>
      <w:marRight w:val="0"/>
      <w:marTop w:val="0"/>
      <w:marBottom w:val="0"/>
      <w:divBdr>
        <w:top w:val="none" w:sz="0" w:space="0" w:color="auto"/>
        <w:left w:val="none" w:sz="0" w:space="0" w:color="auto"/>
        <w:bottom w:val="none" w:sz="0" w:space="0" w:color="auto"/>
        <w:right w:val="none" w:sz="0" w:space="0" w:color="auto"/>
      </w:divBdr>
      <w:divsChild>
        <w:div w:id="454829166">
          <w:marLeft w:val="0"/>
          <w:marRight w:val="0"/>
          <w:marTop w:val="0"/>
          <w:marBottom w:val="0"/>
          <w:divBdr>
            <w:top w:val="none" w:sz="0" w:space="0" w:color="auto"/>
            <w:left w:val="none" w:sz="0" w:space="0" w:color="auto"/>
            <w:bottom w:val="none" w:sz="0" w:space="0" w:color="auto"/>
            <w:right w:val="none" w:sz="0" w:space="0" w:color="auto"/>
          </w:divBdr>
        </w:div>
        <w:div w:id="668362919">
          <w:marLeft w:val="0"/>
          <w:marRight w:val="0"/>
          <w:marTop w:val="0"/>
          <w:marBottom w:val="0"/>
          <w:divBdr>
            <w:top w:val="none" w:sz="0" w:space="0" w:color="auto"/>
            <w:left w:val="none" w:sz="0" w:space="0" w:color="auto"/>
            <w:bottom w:val="none" w:sz="0" w:space="0" w:color="auto"/>
            <w:right w:val="none" w:sz="0" w:space="0" w:color="auto"/>
          </w:divBdr>
        </w:div>
        <w:div w:id="932516182">
          <w:marLeft w:val="0"/>
          <w:marRight w:val="0"/>
          <w:marTop w:val="0"/>
          <w:marBottom w:val="0"/>
          <w:divBdr>
            <w:top w:val="none" w:sz="0" w:space="0" w:color="auto"/>
            <w:left w:val="none" w:sz="0" w:space="0" w:color="auto"/>
            <w:bottom w:val="none" w:sz="0" w:space="0" w:color="auto"/>
            <w:right w:val="none" w:sz="0" w:space="0" w:color="auto"/>
          </w:divBdr>
        </w:div>
        <w:div w:id="1063483216">
          <w:marLeft w:val="0"/>
          <w:marRight w:val="0"/>
          <w:marTop w:val="0"/>
          <w:marBottom w:val="0"/>
          <w:divBdr>
            <w:top w:val="none" w:sz="0" w:space="0" w:color="auto"/>
            <w:left w:val="none" w:sz="0" w:space="0" w:color="auto"/>
            <w:bottom w:val="none" w:sz="0" w:space="0" w:color="auto"/>
            <w:right w:val="none" w:sz="0" w:space="0" w:color="auto"/>
          </w:divBdr>
        </w:div>
        <w:div w:id="1464230343">
          <w:marLeft w:val="0"/>
          <w:marRight w:val="0"/>
          <w:marTop w:val="0"/>
          <w:marBottom w:val="0"/>
          <w:divBdr>
            <w:top w:val="none" w:sz="0" w:space="0" w:color="auto"/>
            <w:left w:val="none" w:sz="0" w:space="0" w:color="auto"/>
            <w:bottom w:val="none" w:sz="0" w:space="0" w:color="auto"/>
            <w:right w:val="none" w:sz="0" w:space="0" w:color="auto"/>
          </w:divBdr>
        </w:div>
      </w:divsChild>
    </w:div>
    <w:div w:id="395400871">
      <w:bodyDiv w:val="1"/>
      <w:marLeft w:val="0"/>
      <w:marRight w:val="0"/>
      <w:marTop w:val="0"/>
      <w:marBottom w:val="0"/>
      <w:divBdr>
        <w:top w:val="none" w:sz="0" w:space="0" w:color="auto"/>
        <w:left w:val="none" w:sz="0" w:space="0" w:color="auto"/>
        <w:bottom w:val="none" w:sz="0" w:space="0" w:color="auto"/>
        <w:right w:val="none" w:sz="0" w:space="0" w:color="auto"/>
      </w:divBdr>
    </w:div>
    <w:div w:id="683478045">
      <w:bodyDiv w:val="1"/>
      <w:marLeft w:val="0"/>
      <w:marRight w:val="0"/>
      <w:marTop w:val="0"/>
      <w:marBottom w:val="0"/>
      <w:divBdr>
        <w:top w:val="none" w:sz="0" w:space="0" w:color="auto"/>
        <w:left w:val="none" w:sz="0" w:space="0" w:color="auto"/>
        <w:bottom w:val="none" w:sz="0" w:space="0" w:color="auto"/>
        <w:right w:val="none" w:sz="0" w:space="0" w:color="auto"/>
      </w:divBdr>
      <w:divsChild>
        <w:div w:id="685448175">
          <w:marLeft w:val="0"/>
          <w:marRight w:val="0"/>
          <w:marTop w:val="0"/>
          <w:marBottom w:val="0"/>
          <w:divBdr>
            <w:top w:val="none" w:sz="0" w:space="0" w:color="auto"/>
            <w:left w:val="none" w:sz="0" w:space="0" w:color="auto"/>
            <w:bottom w:val="none" w:sz="0" w:space="0" w:color="auto"/>
            <w:right w:val="none" w:sz="0" w:space="0" w:color="auto"/>
          </w:divBdr>
          <w:divsChild>
            <w:div w:id="825703569">
              <w:marLeft w:val="0"/>
              <w:marRight w:val="0"/>
              <w:marTop w:val="0"/>
              <w:marBottom w:val="0"/>
              <w:divBdr>
                <w:top w:val="none" w:sz="0" w:space="0" w:color="auto"/>
                <w:left w:val="none" w:sz="0" w:space="0" w:color="auto"/>
                <w:bottom w:val="none" w:sz="0" w:space="0" w:color="auto"/>
                <w:right w:val="none" w:sz="0" w:space="0" w:color="auto"/>
              </w:divBdr>
              <w:divsChild>
                <w:div w:id="1484618625">
                  <w:marLeft w:val="0"/>
                  <w:marRight w:val="0"/>
                  <w:marTop w:val="0"/>
                  <w:marBottom w:val="0"/>
                  <w:divBdr>
                    <w:top w:val="none" w:sz="0" w:space="0" w:color="auto"/>
                    <w:left w:val="none" w:sz="0" w:space="0" w:color="auto"/>
                    <w:bottom w:val="none" w:sz="0" w:space="0" w:color="auto"/>
                    <w:right w:val="none" w:sz="0" w:space="0" w:color="auto"/>
                  </w:divBdr>
                  <w:divsChild>
                    <w:div w:id="1093166857">
                      <w:marLeft w:val="0"/>
                      <w:marRight w:val="0"/>
                      <w:marTop w:val="0"/>
                      <w:marBottom w:val="0"/>
                      <w:divBdr>
                        <w:top w:val="none" w:sz="0" w:space="0" w:color="auto"/>
                        <w:left w:val="none" w:sz="0" w:space="0" w:color="auto"/>
                        <w:bottom w:val="none" w:sz="0" w:space="0" w:color="auto"/>
                        <w:right w:val="none" w:sz="0" w:space="0" w:color="auto"/>
                      </w:divBdr>
                      <w:divsChild>
                        <w:div w:id="169188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5752621">
      <w:bodyDiv w:val="1"/>
      <w:marLeft w:val="0"/>
      <w:marRight w:val="0"/>
      <w:marTop w:val="0"/>
      <w:marBottom w:val="0"/>
      <w:divBdr>
        <w:top w:val="none" w:sz="0" w:space="0" w:color="auto"/>
        <w:left w:val="none" w:sz="0" w:space="0" w:color="auto"/>
        <w:bottom w:val="none" w:sz="0" w:space="0" w:color="auto"/>
        <w:right w:val="none" w:sz="0" w:space="0" w:color="auto"/>
      </w:divBdr>
    </w:div>
    <w:div w:id="962689240">
      <w:bodyDiv w:val="1"/>
      <w:marLeft w:val="0"/>
      <w:marRight w:val="0"/>
      <w:marTop w:val="0"/>
      <w:marBottom w:val="0"/>
      <w:divBdr>
        <w:top w:val="none" w:sz="0" w:space="0" w:color="auto"/>
        <w:left w:val="none" w:sz="0" w:space="0" w:color="auto"/>
        <w:bottom w:val="none" w:sz="0" w:space="0" w:color="auto"/>
        <w:right w:val="none" w:sz="0" w:space="0" w:color="auto"/>
      </w:divBdr>
    </w:div>
    <w:div w:id="1103301796">
      <w:bodyDiv w:val="1"/>
      <w:marLeft w:val="0"/>
      <w:marRight w:val="0"/>
      <w:marTop w:val="0"/>
      <w:marBottom w:val="0"/>
      <w:divBdr>
        <w:top w:val="none" w:sz="0" w:space="0" w:color="auto"/>
        <w:left w:val="none" w:sz="0" w:space="0" w:color="auto"/>
        <w:bottom w:val="none" w:sz="0" w:space="0" w:color="auto"/>
        <w:right w:val="none" w:sz="0" w:space="0" w:color="auto"/>
      </w:divBdr>
    </w:div>
    <w:div w:id="1456219524">
      <w:bodyDiv w:val="1"/>
      <w:marLeft w:val="0"/>
      <w:marRight w:val="0"/>
      <w:marTop w:val="0"/>
      <w:marBottom w:val="0"/>
      <w:divBdr>
        <w:top w:val="none" w:sz="0" w:space="0" w:color="auto"/>
        <w:left w:val="none" w:sz="0" w:space="0" w:color="auto"/>
        <w:bottom w:val="none" w:sz="0" w:space="0" w:color="auto"/>
        <w:right w:val="none" w:sz="0" w:space="0" w:color="auto"/>
      </w:divBdr>
      <w:divsChild>
        <w:div w:id="515969147">
          <w:marLeft w:val="0"/>
          <w:marRight w:val="0"/>
          <w:marTop w:val="0"/>
          <w:marBottom w:val="0"/>
          <w:divBdr>
            <w:top w:val="none" w:sz="0" w:space="0" w:color="auto"/>
            <w:left w:val="none" w:sz="0" w:space="0" w:color="auto"/>
            <w:bottom w:val="none" w:sz="0" w:space="0" w:color="auto"/>
            <w:right w:val="none" w:sz="0" w:space="0" w:color="auto"/>
          </w:divBdr>
          <w:divsChild>
            <w:div w:id="1117025142">
              <w:marLeft w:val="0"/>
              <w:marRight w:val="0"/>
              <w:marTop w:val="0"/>
              <w:marBottom w:val="0"/>
              <w:divBdr>
                <w:top w:val="none" w:sz="0" w:space="0" w:color="auto"/>
                <w:left w:val="none" w:sz="0" w:space="0" w:color="auto"/>
                <w:bottom w:val="none" w:sz="0" w:space="0" w:color="auto"/>
                <w:right w:val="none" w:sz="0" w:space="0" w:color="auto"/>
              </w:divBdr>
              <w:divsChild>
                <w:div w:id="1273898729">
                  <w:marLeft w:val="0"/>
                  <w:marRight w:val="0"/>
                  <w:marTop w:val="0"/>
                  <w:marBottom w:val="0"/>
                  <w:divBdr>
                    <w:top w:val="none" w:sz="0" w:space="0" w:color="auto"/>
                    <w:left w:val="none" w:sz="0" w:space="0" w:color="auto"/>
                    <w:bottom w:val="none" w:sz="0" w:space="0" w:color="auto"/>
                    <w:right w:val="none" w:sz="0" w:space="0" w:color="auto"/>
                  </w:divBdr>
                  <w:divsChild>
                    <w:div w:id="257520917">
                      <w:marLeft w:val="0"/>
                      <w:marRight w:val="0"/>
                      <w:marTop w:val="0"/>
                      <w:marBottom w:val="0"/>
                      <w:divBdr>
                        <w:top w:val="none" w:sz="0" w:space="0" w:color="auto"/>
                        <w:left w:val="none" w:sz="0" w:space="0" w:color="auto"/>
                        <w:bottom w:val="none" w:sz="0" w:space="0" w:color="auto"/>
                        <w:right w:val="none" w:sz="0" w:space="0" w:color="auto"/>
                      </w:divBdr>
                      <w:divsChild>
                        <w:div w:id="95722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200584">
      <w:bodyDiv w:val="1"/>
      <w:marLeft w:val="0"/>
      <w:marRight w:val="0"/>
      <w:marTop w:val="0"/>
      <w:marBottom w:val="0"/>
      <w:divBdr>
        <w:top w:val="none" w:sz="0" w:space="0" w:color="auto"/>
        <w:left w:val="none" w:sz="0" w:space="0" w:color="auto"/>
        <w:bottom w:val="none" w:sz="0" w:space="0" w:color="auto"/>
        <w:right w:val="none" w:sz="0" w:space="0" w:color="auto"/>
      </w:divBdr>
      <w:divsChild>
        <w:div w:id="445346833">
          <w:marLeft w:val="0"/>
          <w:marRight w:val="0"/>
          <w:marTop w:val="0"/>
          <w:marBottom w:val="0"/>
          <w:divBdr>
            <w:top w:val="none" w:sz="0" w:space="0" w:color="auto"/>
            <w:left w:val="none" w:sz="0" w:space="0" w:color="auto"/>
            <w:bottom w:val="none" w:sz="0" w:space="0" w:color="auto"/>
            <w:right w:val="none" w:sz="0" w:space="0" w:color="auto"/>
          </w:divBdr>
        </w:div>
        <w:div w:id="1305963193">
          <w:marLeft w:val="0"/>
          <w:marRight w:val="0"/>
          <w:marTop w:val="0"/>
          <w:marBottom w:val="0"/>
          <w:divBdr>
            <w:top w:val="none" w:sz="0" w:space="0" w:color="auto"/>
            <w:left w:val="none" w:sz="0" w:space="0" w:color="auto"/>
            <w:bottom w:val="none" w:sz="0" w:space="0" w:color="auto"/>
            <w:right w:val="none" w:sz="0" w:space="0" w:color="auto"/>
          </w:divBdr>
        </w:div>
        <w:div w:id="1647129132">
          <w:marLeft w:val="0"/>
          <w:marRight w:val="0"/>
          <w:marTop w:val="0"/>
          <w:marBottom w:val="0"/>
          <w:divBdr>
            <w:top w:val="none" w:sz="0" w:space="0" w:color="auto"/>
            <w:left w:val="none" w:sz="0" w:space="0" w:color="auto"/>
            <w:bottom w:val="none" w:sz="0" w:space="0" w:color="auto"/>
            <w:right w:val="none" w:sz="0" w:space="0" w:color="auto"/>
          </w:divBdr>
        </w:div>
        <w:div w:id="16842375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e4365ee556e42cda8a1306add88579e" PartId="a9c367e1ce904957b38d9aeb2c8b7961">
    <Part Type="preambule" DocPartId="10d9bf3b29c44762b397b8f192974356" PartId="b9471990a9044a97813f697780071063"/>
    <Part Type="pastraipa" DocPartId="e5469b36a7f14c57bd6604b1ffb7ab7c" PartId="76a6fadcdccc42e2bb53314e45a07d73"/>
    <Part Type="punktas" Nr="1" Abbr="1 p." DocPartId="f02c10a9de08479e9e16f54fff1506e8" PartId="fdf2527b8a81409da1b4d1cd78e0ff4e">
      <Part Type="citata" DocPartId="1b13f749c9814bddbe2fcc6039775931" PartId="b61ee861d4db4f2b866bc6e5334297b4">
        <Part Type="punktas" Nr="152" Abbr="152 p." DocPartId="495805f7049c4a61b3e6f6e9060b2b25" PartId="4e52dddd97b74a57902a8c3f1ff49906"/>
      </Part>
    </Part>
    <Part Type="punktas" Nr="2" Abbr="2 p." DocPartId="9129b9ab7b5241c3b280343869368d6b" PartId="f4c88cf0aaa74f9d8ca4b2d5becd96c5"/>
    <Part Type="punktas" Nr="153" Abbr="153 p." Notes="Numeris ne iš eilės. Trūksta dalių? [DocDalys]" DocPartId="70bce0ebcddf4fc585d50e64841ee86d" PartId="b9185798803d406b9c2de3ffae0c4cec">
      <Part Type="papunktis" Nr="153.1" Abbr="153.1 pp." DocPartId="3f3bc424c23c4bca87e43342f2a08e57" PartId="030d9adfe4aa496b9df13d08d2698ed5"/>
      <Part Type="papunktis" Nr="153.2" Abbr="153.2 pp." DocPartId="3b9556a543b841b48153be5e9a1c8f80" PartId="84c83d4e9c8d4267a54d1d6b8d67bf95"/>
    </Part>
    <Part Type="punktas" Nr="154" Abbr="154 p." DocPartId="4d7db192bef14192ba408f7d09bcca5a" PartId="d3fe6a11109b4579bc5b7d7174d487f1"/>
    <Part Type="punktas" Nr="155" Abbr="155 p." DocPartId="12379ef26e4a44b4baf3a4cb435b1746" PartId="9c7048ab48a346c18162755bcc6508bf"/>
    <Part Type="punktas" Nr="156" Abbr="156 p." DocPartId="c17e5c0799244c0daeb6305877d74247" PartId="666770ab0c404415b8cff35d60c4a02c"/>
    <Part Type="punktas" Nr="157" Abbr="157 p." DocPartId="a68b7ae0b1ad43f987d26f7e1267d020" PartId="912ccded770142f29c81f49d2486fcc1"/>
    <Part Type="signatura" DocPartId="cb4d9c62369f43b4946d6e753901b9d5" PartId="0cd3bcb17d584bc48abf5acb3e7c43da"/>
  </Part>
</Parts>
</file>

<file path=customXml/itemProps1.xml><?xml version="1.0" encoding="utf-8"?>
<ds:datastoreItem xmlns:ds="http://schemas.openxmlformats.org/officeDocument/2006/customXml" ds:itemID="{3DA3EFBF-9E3C-4EF9-95C6-7BE7BCB770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312</Words>
  <Characters>2138</Characters>
  <Application>Microsoft Office Word</Application>
  <DocSecurity>4</DocSecurity>
  <Lines>42</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2023-08-17T06:32:00Z</dcterms:created>
  <dc:creator>ARNAS ILGAUSKAS</dc:creator>
  <lastModifiedBy>adlibuser</lastModifiedBy>
  <lastPrinted>2022-05-19T05:53:00Z</lastPrinted>
  <dcterms:modified xsi:type="dcterms:W3CDTF">2023-08-17T06:32:00Z</dcterms:modified>
  <revision>2</revision>
</coreProperties>
</file>