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3848AC2A" wp14:editId="57019110">
            <wp:extent cx="534035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6"/>
        </w:rPr>
      </w:pPr>
      <w:r>
        <w:rPr>
          <w:b/>
          <w:caps/>
          <w:sz w:val="26"/>
        </w:rPr>
        <w:t>statybos ir ekonominės plėtros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Biudžetinė įstaiga, Laisvės a. 12, LT-</w:t>
      </w:r>
      <w:r>
        <w:rPr>
          <w:sz w:val="18"/>
        </w:rPr>
        <w:t>59126</w:t>
      </w:r>
      <w:r>
        <w:rPr>
          <w:sz w:val="20"/>
        </w:rPr>
        <w:t xml:space="preserve"> Prienai,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 xml:space="preserve">tel. (8 319) 61 120, el. p. </w:t>
      </w:r>
      <w:r>
        <w:rPr>
          <w:color w:val="0000FF"/>
          <w:sz w:val="20"/>
          <w:u w:val="single"/>
        </w:rPr>
        <w:t>statyba</w:t>
      </w:r>
      <w:r>
        <w:rPr>
          <w:color w:val="0000FF"/>
          <w:sz w:val="16"/>
          <w:u w:val="single"/>
        </w:rPr>
        <w:t>@</w:t>
      </w:r>
      <w:r>
        <w:rPr>
          <w:color w:val="0000FF"/>
          <w:sz w:val="20"/>
          <w:u w:val="single"/>
        </w:rPr>
        <w:t>prienai.lt</w:t>
      </w:r>
      <w:r>
        <w:rPr>
          <w:sz w:val="20"/>
        </w:rPr>
        <w:t xml:space="preserve">. </w:t>
      </w: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D7CDB1" wp14:editId="33FAD0C0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ksWUEgIAACkEAAAOAAAAZHJzL2Uyb0RvYy54bWysU8GO2jAQvVfqP1i+QxJIWTYirKoEeqEt 0m4/wNgOserYlm0IqOq/d2wIYtvLatUcnLFn5vnNvPHi6dRJdOTWCa1KnI1TjLiimgm1L/GPl/Vo jpHzRDEiteIlPnOHn5YfPyx6U/CJbrVk3CIAUa7oTYlb702RJI62vCNurA1X4Gy07YiHrd0nzJIe 0DuZTNJ0lvTaMmM15c7BaX1x4mXEbxpO/femcdwjWWLg5uNq47oLa7JckGJviWkFvdIg72DREaHg 0htUTTxBByv+geoEtdrpxo+p7hLdNILyWANUk6V/VfPcEsNjLdAcZ25tcv8Pln47bi0SrMRTjBTp QKKNUBxNQ2d64woIqNTWhtroST2bjaY/HVK6aona88jw5WwgLQsZyauUsHEG8Hf9V80ghhy8jm06 NbYLkNAAdIpqnG9q8JNHFA5n2WSWz0E0OvgSUgyJxjr/hesOBaPEEjhHYHLcOB+IkGIICfcovRZS RrGlQj2wnTykacxwWgoWvCHO2f2ukhYdSZiX+MWywHMfZvVBsYjWcsJWV9sTIS823C5VwINagM/V ugzEr8f0cTVfzfNRPpmtRnla16PP6yofzdbZw6d6WldVnf0O1LK8aAVjXAV2w3Bm+dvEvz6Ty1jd xvPWh+Q1emwYkB3+kXQUM+h3mYSdZuetHUSGeYzB17cTBv5+D/b9C1/+AQAA//8DAFBLAwQUAAYA CAAAACEA/CfTlNwAAAAGAQAADwAAAGRycy9kb3ducmV2LnhtbEyOTU/DMBBE70j8B2uRuFGHQkka 4lQIVFVUXPoh9bqNTRyI12nstuHfs3CB49OMZl4xG1wrTqYPjScFt6MEhKHK64ZqBdvN/CYDESKS xtaTUfBlAszKy4sCc+3PtDKndawFj1DIUYGNsculDJU1DsPId4Y4e/e9w8jY11L3eOZx18pxkjxI hw3xg8XOPFtTfa6PTgG+LFZxl42XafNq3z4288PCZgelrq+Gp0cQ0Qzxrww/+qwOJTvt/ZF0EC3z /YSbCiYpCI6n6fQOxP6XZVnI//rlNwAAAP//AwBQSwECLQAUAAYACAAAACEAtoM4kv4AAADhAQAA EwAAAAAAAAAAAAAAAAAAAAAAW0NvbnRlbnRfVHlwZXNdLnhtbFBLAQItABQABgAIAAAAIQA4/SH/ 1gAAAJQBAAALAAAAAAAAAAAAAAAAAC8BAABfcmVscy8ucmVsc1BLAQItABQABgAIAAAAIQA6ksWU EgIAACkEAAAOAAAAAAAAAAAAAAAAAC4CAABkcnMvZTJvRG9jLnhtbFBLAQItABQABgAIAAAAIQD8 J9OU3AAAAAYBAAAPAAAAAAAAAAAAAAAAAGwEAABkcnMvZG93bnJldi54bWxQSwUGAAAAAAQABADz AAAAdQUAAAAA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ind w:firstLine="567"/>
        <w:jc w:val="both"/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SPRENDIMO „</w:t>
      </w:r>
      <w:r>
        <w:rPr>
          <w:b/>
          <w:szCs w:val="24"/>
        </w:rPr>
        <w:t xml:space="preserve">DĖL SUTIKIMO PERIMTI VALSTYBĖS TURTĄ PRIENŲ RAJONO SAVIVALDYBĖS NUOSAVYBĖN“ </w:t>
      </w:r>
      <w:r>
        <w:rPr>
          <w:b/>
          <w:bCs/>
          <w:szCs w:val="24"/>
        </w:rPr>
        <w:t xml:space="preserve">PROJEKTO </w:t>
      </w:r>
    </w:p>
    <w:p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aiškinamasis Raštas</w:t>
      </w:r>
    </w:p>
    <w:p>
      <w:pPr>
        <w:spacing w:line="276" w:lineRule="auto"/>
        <w:jc w:val="center"/>
        <w:rPr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>2021-03-23</w:t>
      </w:r>
    </w:p>
    <w:p>
      <w:pPr>
        <w:tabs>
          <w:tab w:val="left" w:pos="6096"/>
          <w:tab w:val="center" w:pos="7655"/>
        </w:tabs>
        <w:spacing w:line="276" w:lineRule="auto"/>
        <w:ind w:firstLine="142"/>
        <w:jc w:val="both"/>
        <w:rPr>
          <w:szCs w:val="24"/>
        </w:rPr>
      </w:pPr>
    </w:p>
    <w:p>
      <w:pPr>
        <w:spacing w:line="276" w:lineRule="auto"/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Sprendimo projekto tikslai ir uždaviniai: </w:t>
      </w:r>
    </w:p>
    <w:p>
      <w:pPr>
        <w:widowControl w:val="0"/>
        <w:suppressAutoHyphens/>
        <w:spacing w:line="276" w:lineRule="auto"/>
        <w:ind w:firstLine="691"/>
        <w:jc w:val="both"/>
        <w:rPr>
          <w:szCs w:val="24"/>
        </w:rPr>
      </w:pPr>
      <w:r>
        <w:rPr>
          <w:szCs w:val="24"/>
        </w:rPr>
        <w:t>Perimti Prienų rajono savivaldybės (toliau – Savivaldybė) nuosavybėn kelią Prienai–Birštonas Nr. 3306.</w:t>
      </w:r>
    </w:p>
    <w:p>
      <w:pPr>
        <w:spacing w:line="276" w:lineRule="auto"/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strike/>
          <w:szCs w:val="24"/>
        </w:rPr>
      </w:pPr>
      <w:r>
        <w:rPr>
          <w:szCs w:val="24"/>
        </w:rPr>
        <w:t xml:space="preserve">Sprendimo projektas parengtas vadovaujantis Lietuvos Respublikos vietos savivaldos įstatymo 6 straipsnio 32 punktu, kuris nustato, kad savarankiškoji savivaldybių funkcija yra </w:t>
      </w:r>
      <w:r>
        <w:rPr>
          <w:color w:val="000000"/>
          <w:szCs w:val="24"/>
          <w:shd w:val="clear" w:color="auto" w:fill="FFFFFF"/>
        </w:rPr>
        <w:t>savivaldybių vietinės reikšmės kelių ir gatvių priežiūra, taisymas, tiesimas ir saugaus eismo organizavimas;</w:t>
      </w:r>
      <w:r>
        <w:rPr>
          <w:szCs w:val="24"/>
        </w:rPr>
        <w:t xml:space="preserve"> Lietuvos Respublikos valstybės ir savivaldybių turto valdymo, naudojimo ir disponavimo juo įstatymo 6 straipsnio 2 punktu, kuris nustato, kad savivaldybė turtą įgyja savivaldybės tarybos sutikimu perimdama valstybės turtą savivaldybės savarankiškosioms funkcijoms įgyvendinti, kai šis turtas perduodamas savivaldybės nuosavybėn pagal Vyriausybės nutarimus šio įstatymo 20 straipsnio 1 dalies 4, 5 ir 6 punktuose nustatytais atvejais; 20 straipsnio                 1 dalies 5 punktu, kuris nustato, kad valstybei nuosavybės teise priklausantis turtas savivaldybių nuosavybėn (savivaldybių savarankiškosioms funkcijoms įgyvendinti) perduodamas Vyriausybės nustatyta tvarka.  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Laukiami rezultatai: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Perėmus kelią Nr. 3306 Prienų rajono savivaldybės nuosavybėn, Savivaldybė galės priimti sprendimus dėl kelio ženklų pastatymo, vietų perėjoms parinkimo.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paaiškinimai:</w:t>
      </w:r>
    </w:p>
    <w:p>
      <w:pPr>
        <w:tabs>
          <w:tab w:val="left" w:pos="1296"/>
          <w:tab w:val="center" w:pos="1418"/>
          <w:tab w:val="right" w:pos="8306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2021-01-27 nuotoliniu būdu vyko posėdis, kuriame dalyvavo VĮ Lietuvos automobilių kelių direkcijos (toliau – Kelių direkcija) ir Prienų rajono savivaldybės  atstovai. Posėdžio metu buvo svarstomas valstybinės reikšmės rajoninio kelio Prienai–Birštonas Nr. 3306 perdavimo Savivaldybės nuosavybėn klausimas ir nutarta, kad Kelių direkcija kreipsis į Savivaldybę su siūlymu perimti kelią Nr. 3306 Savivaldybės nuosavybėn. Vadovaujantis Kelių įstatymo 3 str. 3 d. 1 p., vietinės reikšmės viešieji keliai – tai keliai, jungiantys rajoninius kelius, gyvenamąsias vietoves, sąvartynus, rekreacijos objektus, lankomus gamtos, kultūros paminklus, taip pat gatvės gyvenamosiose vietovėse, jungiamieji ir kiti keliai, nepriskirti valstybinės reikšmės keliams. Atsižvelgdama į tai, kad didžioji kelio Nr. 3306 dalis (unik. Nr. – 4400-2008-0146) yra Prienų miesto gatvė, t. y. pagal reikšmę jis priskirtinas vietinės reikšmės keliams (toliau – Kelias), Kelių direkcija siūlo minėtą kelią perimti Savivaldybės nuosavybėn. Prienų rajono savivaldybės teritorijoje Kelias sutampa su J. Basanavičiaus, Kęstučio ir Paupio gatvių dalimis. Perėmus sprendimo 1 punkte nurodytą turtą gatvių pavadinimai išliks tie patys, jiems bus suteikti šie numeriai: J. Basanavičiaus g. – Nr. PR-208; Paupio g. – Nr. PR-209; Kęstučio g. – Nr. PR-63. Savivaldybei priėmus sprendimą perimti kelią Nr. 3306, Kelių direkcija įsipareigoja: 1) teikti prašymą Susisiekimo ministerijai inicijuoti Lietuvos Respublikos Vyriausybės nutarimo projekto dėl Kelio perdavimo Savivaldybės nuosavybėn rengimą; 2) iki Kelio perdavimo Savivaldybės nuosavybėn, sutvarkyti Kelio ruožo nuo 0,9 km iki 1,034 km kelkraštį. 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1296"/>
          <w:tab w:val="center" w:pos="1418"/>
          <w:tab w:val="right" w:pos="8306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PRIDEDAMA. Kelio Prienai-Biršonas Nr. 3306 schema, 1 lapas.</w:t>
      </w:r>
    </w:p>
    <w:p>
      <w:pPr>
        <w:tabs>
          <w:tab w:val="left" w:pos="993"/>
          <w:tab w:val="center" w:pos="7655"/>
        </w:tabs>
        <w:spacing w:line="276" w:lineRule="auto"/>
        <w:ind w:firstLine="567"/>
        <w:jc w:val="both"/>
        <w:rPr>
          <w:szCs w:val="24"/>
        </w:rPr>
      </w:pPr>
    </w:p>
    <w:p>
      <w:pPr>
        <w:tabs>
          <w:tab w:val="left" w:pos="993"/>
          <w:tab w:val="center" w:pos="7655"/>
        </w:tabs>
        <w:spacing w:line="276" w:lineRule="auto"/>
        <w:ind w:firstLine="567"/>
        <w:jc w:val="both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  <w:r>
        <w:rPr>
          <w:szCs w:val="24"/>
        </w:rPr>
        <w:t>Skyriaus vedėjas</w:t>
        <w:tab/>
        <w:tab/>
        <w:t>Tomas Žvirblys</w:t>
      </w: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left" w:pos="6096"/>
          <w:tab w:val="center" w:pos="7655"/>
          <w:tab w:val="right" w:pos="830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Džiuljeta Čepeliauskienė, tel. (8 319) 61 173, el. p. </w:t>
      </w:r>
      <w:r>
        <w:rPr>
          <w:color w:val="0000FF"/>
          <w:szCs w:val="24"/>
          <w:u w:val="single"/>
        </w:rPr>
        <w:t>dziuljeta.cepeliauskiene@prienai.lt</w:t>
      </w:r>
      <w:r>
        <w:rPr>
          <w:szCs w:val="24"/>
        </w:rPr>
        <w:t xml:space="preserve"> 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1134" w:right="567" w:bottom="1135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3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3422</Characters>
  <Application>Microsoft Office Word</Application>
  <DocSecurity>4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3876</CharactersWithSpaces>
  <SharedDoc>false</SharedDoc>
  <HyperlinkBase/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2021-03-23T13:38:00Z</dcterms:created>
  <dc:creator>*</dc:creator>
  <lastModifiedBy>adlibuser</lastModifiedBy>
  <lastPrinted>2015-05-19T07:45:00Z</lastPrinted>
  <dcterms:modified xsi:type="dcterms:W3CDTF">2021-03-23T13:38:00Z</dcterms:modified>
  <revision>2</revision>
  <dc:title>Adresatas</dc:title>
</coreProperties>
</file>