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9734d46bd934561811d4f4364cc0bec"/>
        <w:lock w:val="sdtLocked"/>
        <w:richText/>
      </w:sdtPr>
      <w:sdtContent>
        <w:p>
          <w:pPr>
            <w:tabs>
              <w:tab w:val="center" w:pos="4986"/>
              <w:tab w:val="right" w:pos="9972"/>
            </w:tabs>
          </w:pPr>
        </w:p>
        <w:p>
          <w:pPr>
            <w:tabs>
              <w:tab w:val="center" w:pos="4986"/>
              <w:tab w:val="right" w:pos="9972"/>
            </w:tabs>
            <w:ind w:firstLine="5766"/>
            <w:jc w:val="center"/>
            <w:rPr>
              <w:b/>
              <w:bCs/>
              <w:lang w:eastAsia="lt-LT"/>
            </w:rPr>
          </w:pPr>
          <w:r>
            <w:rPr>
              <w:b/>
              <w:bCs/>
              <w:lang w:eastAsia="lt-LT"/>
            </w:rPr>
            <w:t>Projekto</w:t>
          </w:r>
        </w:p>
        <w:p>
          <w:pPr>
            <w:tabs>
              <w:tab w:val="center" w:pos="4986"/>
              <w:tab w:val="right" w:pos="9972"/>
            </w:tabs>
            <w:ind w:firstLine="62"/>
            <w:jc w:val="right"/>
            <w:rPr>
              <w:b/>
              <w:bCs/>
              <w:lang w:eastAsia="lt-LT"/>
            </w:rPr>
          </w:pPr>
          <w:r>
            <w:rPr>
              <w:b/>
              <w:bCs/>
              <w:lang w:eastAsia="lt-LT"/>
            </w:rPr>
            <w:t>lyginamasis variantas</w:t>
          </w:r>
        </w:p>
        <w:p>
          <w:pPr>
            <w:jc w:val="center"/>
            <w:rPr>
              <w:lang w:eastAsia="lt-LT"/>
            </w:rPr>
          </w:pPr>
        </w:p>
        <w:p>
          <w:pPr>
            <w:rPr>
              <w:sz w:val="10"/>
              <w:szCs w:val="10"/>
            </w:rPr>
          </w:pPr>
        </w:p>
        <w:p>
          <w:pPr>
            <w:rPr>
              <w:sz w:val="10"/>
              <w:szCs w:val="10"/>
            </w:rPr>
          </w:pPr>
        </w:p>
        <w:p>
          <w:pPr>
            <w:rPr>
              <w:sz w:val="10"/>
              <w:szCs w:val="10"/>
            </w:rPr>
          </w:pPr>
        </w:p>
        <w:p>
          <w:pPr>
            <w:rPr>
              <w:sz w:val="10"/>
              <w:szCs w:val="10"/>
            </w:rPr>
          </w:pPr>
        </w:p>
        <w:p>
          <w:pPr>
            <w:rPr>
              <w:sz w:val="10"/>
              <w:szCs w:val="10"/>
            </w:rPr>
          </w:pPr>
        </w:p>
        <w:p>
          <w:pPr>
            <w:keepNext/>
            <w:jc w:val="center"/>
            <w:rPr>
              <w:b/>
              <w:bCs/>
              <w:caps/>
              <w:szCs w:val="24"/>
              <w:lang w:eastAsia="lt-LT"/>
            </w:rPr>
          </w:pPr>
        </w:p>
        <w:p>
          <w:pPr>
            <w:keepNext/>
            <w:jc w:val="center"/>
            <w:rPr>
              <w:b/>
              <w:bCs/>
              <w:caps/>
              <w:szCs w:val="24"/>
              <w:lang w:eastAsia="lt-LT"/>
            </w:rPr>
          </w:pPr>
        </w:p>
        <w:p>
          <w:pPr>
            <w:keepNext/>
            <w:jc w:val="center"/>
            <w:rPr>
              <w:b/>
              <w:bCs/>
              <w:caps/>
              <w:szCs w:val="24"/>
              <w:lang w:eastAsia="lt-LT"/>
            </w:rPr>
          </w:pPr>
          <w:r>
            <w:rPr>
              <w:b/>
              <w:bCs/>
              <w:caps/>
              <w:szCs w:val="24"/>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Lietuvos Respublikos Vyriausybės 2021 m. balandžio 28 d. nutarimo nr. 313 „Dėl </w:t>
          </w:r>
          <w:r>
            <w:rPr>
              <w:b/>
              <w:lang w:eastAsia="lt-LT"/>
            </w:rPr>
            <w:t>LIETUVOS RESPUBLIKOS INVESTICIJŲ ĮSTATYMO 15</w:t>
          </w:r>
          <w:r>
            <w:rPr>
              <w:b/>
              <w:vertAlign w:val="superscript"/>
              <w:lang w:eastAsia="lt-LT"/>
            </w:rPr>
            <w:t>4</w:t>
          </w:r>
          <w:r>
            <w:rPr>
              <w:b/>
              <w:lang w:eastAsia="lt-LT"/>
            </w:rPr>
            <w:t>, 15</w:t>
          </w:r>
          <w:r>
            <w:rPr>
              <w:b/>
              <w:vertAlign w:val="superscript"/>
              <w:lang w:eastAsia="lt-LT"/>
            </w:rPr>
            <w:t>5</w:t>
          </w:r>
          <w:r>
            <w:rPr>
              <w:b/>
              <w:lang w:eastAsia="lt-LT"/>
            </w:rPr>
            <w:t>, 15</w:t>
          </w:r>
          <w:r>
            <w:rPr>
              <w:b/>
              <w:vertAlign w:val="superscript"/>
              <w:lang w:eastAsia="lt-LT"/>
            </w:rPr>
            <w:t>6 </w:t>
          </w:r>
          <w:r>
            <w:rPr>
              <w:b/>
              <w:lang w:eastAsia="lt-LT"/>
            </w:rPr>
            <w:t>STRAIPSNIŲ IR LIETUVOS RESPUBLIKOS PELNO MOKESČIO ĮSTATYMO 58 STRAIPSNIO 16</w:t>
          </w:r>
          <w:r>
            <w:rPr>
              <w:b/>
              <w:vertAlign w:val="superscript"/>
              <w:lang w:eastAsia="lt-LT"/>
            </w:rPr>
            <w:t>2</w:t>
          </w:r>
          <w:r>
            <w:rPr>
              <w:b/>
              <w:lang w:eastAsia="lt-LT"/>
            </w:rPr>
            <w:t xml:space="preserve"> IR 16</w:t>
          </w:r>
          <w:r>
            <w:rPr>
              <w:b/>
              <w:vertAlign w:val="superscript"/>
              <w:lang w:eastAsia="lt-LT"/>
            </w:rPr>
            <w:t>3</w:t>
          </w:r>
          <w:r>
            <w:rPr>
              <w:b/>
              <w:lang w:eastAsia="lt-LT"/>
            </w:rPr>
            <w:t> DALIŲ NUOSTATŲ ĮGYVENDINIMO“ PAKEITIMO</w:t>
          </w:r>
        </w:p>
        <w:p>
          <w:pPr>
            <w:tabs>
              <w:tab w:val="center" w:pos="4153"/>
              <w:tab w:val="right" w:pos="8306"/>
            </w:tabs>
            <w:rPr>
              <w:lang w:eastAsia="lt-LT"/>
            </w:rPr>
          </w:pPr>
        </w:p>
        <w:p>
          <w:pPr>
            <w:ind w:firstLine="62"/>
            <w:jc w:val="center"/>
            <w:rPr>
              <w:lang w:eastAsia="lt-LT"/>
            </w:rPr>
          </w:pPr>
          <w:r>
            <w:rPr>
              <w:lang w:eastAsia="lt-LT"/>
            </w:rPr>
            <w:t xml:space="preserve">2024 m.            d. Nr. </w:t>
          </w:r>
        </w:p>
        <w:p>
          <w:pPr>
            <w:jc w:val="center"/>
            <w:rPr>
              <w:lang w:eastAsia="lt-LT"/>
            </w:rPr>
          </w:pPr>
          <w:r>
            <w:rPr>
              <w:lang w:eastAsia="lt-LT"/>
            </w:rPr>
            <w:t>Vilnius</w:t>
          </w:r>
        </w:p>
        <w:p>
          <w:pPr>
            <w:jc w:val="center"/>
            <w:rPr>
              <w:lang w:eastAsia="lt-LT"/>
            </w:rPr>
          </w:pPr>
        </w:p>
        <w:sdt>
          <w:sdtPr>
            <w:alias w:val="preambule"/>
            <w:tag w:val="part_e90a9c56bb0648519d54d1ed884c4224"/>
            <w:lock w:val="sdtLocked"/>
            <w:richText/>
          </w:sdtPr>
          <w:sdtContent>
            <w:p>
              <w:pPr>
                <w:ind w:firstLine="720"/>
                <w:jc w:val="both"/>
                <w:rPr>
                  <w:lang w:eastAsia="lt-LT"/>
                </w:rPr>
              </w:pPr>
              <w:r>
                <w:rPr>
                  <w:lang w:eastAsia="lt-LT"/>
                </w:rPr>
                <w:t>Lietuvos Respublikos Vyriausybė</w:t>
              </w:r>
              <w:r>
                <w:rPr>
                  <w:spacing w:val="100"/>
                  <w:lang w:eastAsia="lt-LT"/>
                </w:rPr>
                <w:t xml:space="preserve"> nutari</w:t>
              </w:r>
              <w:r>
                <w:rPr>
                  <w:lang w:eastAsia="lt-LT"/>
                </w:rPr>
                <w:t>a:</w:t>
              </w:r>
            </w:p>
          </w:sdtContent>
        </w:sdt>
        <w:sdt>
          <w:sdtPr>
            <w:alias w:val="1 p."/>
            <w:tag w:val="part_231cd71c2a704f9c8dd83d56376f6cf4"/>
            <w:lock w:val="sdtLocked"/>
            <w:richText/>
          </w:sdtPr>
          <w:sdtContent>
            <w:p>
              <w:pPr>
                <w:tabs>
                  <w:tab w:val="left" w:pos="993"/>
                </w:tabs>
                <w:ind w:firstLine="720"/>
                <w:jc w:val="both"/>
                <w:rPr>
                  <w:szCs w:val="24"/>
                  <w:lang w:eastAsia="lt-LT"/>
                </w:rPr>
              </w:pPr>
              <w:sdt>
                <w:sdtPr>
                  <w:alias w:val="Numeris"/>
                  <w:tag w:val="nr_231cd71c2a704f9c8dd83d56376f6cf4"/>
                  <w:lock w:val="sdtLocked"/>
                  <w:richText/>
                </w:sdtPr>
                <w:sdtContent>
                  <w:r>
                    <w:rPr>
                      <w:szCs w:val="24"/>
                      <w:lang w:eastAsia="lt-LT"/>
                    </w:rPr>
                    <w:t>1</w:t>
                  </w:r>
                </w:sdtContent>
              </w:sdt>
              <w:r>
                <w:rPr>
                  <w:szCs w:val="24"/>
                  <w:lang w:eastAsia="lt-LT"/>
                </w:rPr>
                <w:t>. Pakeisti Paraiškų dėl Stambių projektų investicijų sutarčių sudarymo teikimo ir planuojamų investicijų projektų vertinimo tvarkos aprašą, patvirtintą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w:t>
              </w:r>
            </w:p>
            <w:sdt>
              <w:sdtPr>
                <w:alias w:val="1.1 pp."/>
                <w:tag w:val="part_16378021621745ae9f24770f626765f9"/>
                <w:lock w:val="sdtLocked"/>
                <w:richText/>
              </w:sdtPr>
              <w:sdtContent>
                <w:p>
                  <w:pPr>
                    <w:tabs>
                      <w:tab w:val="left" w:pos="993"/>
                    </w:tabs>
                    <w:ind w:left="1140" w:hanging="360"/>
                    <w:jc w:val="both"/>
                    <w:rPr>
                      <w:szCs w:val="24"/>
                      <w:lang w:eastAsia="lt-LT"/>
                    </w:rPr>
                  </w:pPr>
                  <w:sdt>
                    <w:sdtPr>
                      <w:alias w:val="Numeris"/>
                      <w:tag w:val="nr_16378021621745ae9f24770f626765f9"/>
                      <w:lock w:val="sdtLocked"/>
                      <w:richText/>
                    </w:sdtPr>
                    <w:sdtContent>
                      <w:r>
                        <w:rPr>
                          <w:szCs w:val="24"/>
                          <w:lang w:eastAsia="lt-LT"/>
                        </w:rPr>
                        <w:t>1.1</w:t>
                      </w:r>
                    </w:sdtContent>
                  </w:sdt>
                  <w:r>
                    <w:rPr>
                      <w:szCs w:val="24"/>
                      <w:lang w:eastAsia="lt-LT"/>
                    </w:rPr>
                    <w:t>.</w:t>
                    <w:tab/>
                    <w:t xml:space="preserve"> Pakeisti 8 punkto pirmąją pastraipą ir ją išdėstyti taip:</w:t>
                  </w:r>
                </w:p>
                <w:sdt>
                  <w:sdtPr>
                    <w:alias w:val="citata"/>
                    <w:tag w:val="part_4aec096943d04bbf927d177f9bfba6d8"/>
                    <w:lock w:val="sdtLocked"/>
                    <w:richText/>
                  </w:sdtPr>
                  <w:sdtContent>
                    <w:sdt>
                      <w:sdtPr>
                        <w:alias w:val="8 p."/>
                        <w:tag w:val="part_a08d5f0ed7f64508b148f8cd55ac709c"/>
                        <w:lock w:val="sdtLocked"/>
                        <w:richText/>
                      </w:sdtPr>
                      <w:sdtContent>
                        <w:p>
                          <w:pPr>
                            <w:tabs>
                              <w:tab w:val="left" w:pos="993"/>
                            </w:tabs>
                            <w:ind w:firstLine="720"/>
                            <w:jc w:val="both"/>
                            <w:rPr>
                              <w:szCs w:val="24"/>
                              <w:lang w:eastAsia="lt-LT"/>
                            </w:rPr>
                          </w:pPr>
                          <w:r>
                            <w:rPr>
                              <w:szCs w:val="24"/>
                              <w:lang w:eastAsia="lt-LT"/>
                            </w:rPr>
                            <w:t>„</w:t>
                          </w:r>
                          <w:sdt>
                            <w:sdtPr>
                              <w:alias w:val="Numeris"/>
                              <w:tag w:val="nr_a08d5f0ed7f64508b148f8cd55ac709c"/>
                              <w:lock w:val="sdtLocked"/>
                              <w:richText/>
                            </w:sdtPr>
                            <w:sdtContent>
                              <w:r>
                                <w:rPr>
                                  <w:szCs w:val="24"/>
                                  <w:lang w:eastAsia="lt-LT"/>
                                </w:rPr>
                                <w:t>8</w:t>
                              </w:r>
                            </w:sdtContent>
                          </w:sdt>
                          <w:r>
                            <w:rPr>
                              <w:szCs w:val="24"/>
                              <w:lang w:eastAsia="lt-LT"/>
                            </w:rPr>
                            <w:t xml:space="preserve">. Norėdamas pateikti informaciją apie planuojamą įgyvendinti stambų projektą ir atitiktį Aprašo 5 punkte nustatytoms sąlygoms ir Investicijų įstatymo 2 straipsnio 25 </w:t>
                          </w:r>
                          <w:r>
                            <w:rPr>
                              <w:strike/>
                              <w:szCs w:val="24"/>
                              <w:lang w:eastAsia="lt-LT"/>
                            </w:rPr>
                            <w:t xml:space="preserve">dalyje </w:t>
                          </w:r>
                          <w:r>
                            <w:rPr>
                              <w:b/>
                              <w:bCs/>
                              <w:szCs w:val="24"/>
                              <w:lang w:eastAsia="lt-LT"/>
                            </w:rPr>
                            <w:t>dalies 1 arba 2 punkte</w:t>
                          </w:r>
                          <w:r>
                            <w:rPr>
                              <w:szCs w:val="24"/>
                              <w:lang w:eastAsia="lt-LT"/>
                            </w:rPr>
                            <w:t xml:space="preserve"> ir 15</w:t>
                          </w:r>
                          <w:r>
                            <w:rPr>
                              <w:szCs w:val="24"/>
                              <w:vertAlign w:val="superscript"/>
                              <w:lang w:eastAsia="lt-LT"/>
                            </w:rPr>
                            <w:t>4</w:t>
                          </w:r>
                          <w:r>
                            <w:rPr>
                              <w:szCs w:val="24"/>
                              <w:lang w:eastAsia="lt-LT"/>
                            </w:rPr>
                            <w:t xml:space="preserve"> straipsnio 3 dalies 4 punkte nustatytiems reikalavimams, pareiškėjas užpildo Lietuvos Respublikos ekonomikos ir inovacijų ministro įsakymu patvirtintą Paraiškos formą ir kartu su ja pateikia:“</w:t>
                          </w:r>
                        </w:p>
                      </w:sdtContent>
                    </w:sdt>
                  </w:sdtContent>
                </w:sdt>
              </w:sdtContent>
            </w:sdt>
            <w:sdt>
              <w:sdtPr>
                <w:alias w:val="1.2 pp."/>
                <w:tag w:val="part_b36f561525554837ae1a64f616732f65"/>
                <w:lock w:val="sdtLocked"/>
                <w:richText/>
              </w:sdtPr>
              <w:sdtContent>
                <w:p>
                  <w:pPr>
                    <w:tabs>
                      <w:tab w:val="left" w:pos="993"/>
                    </w:tabs>
                    <w:ind w:firstLine="720"/>
                    <w:jc w:val="both"/>
                    <w:rPr>
                      <w:szCs w:val="24"/>
                      <w:lang w:eastAsia="lt-LT"/>
                    </w:rPr>
                  </w:pPr>
                  <w:sdt>
                    <w:sdtPr>
                      <w:alias w:val="Numeris"/>
                      <w:tag w:val="nr_b36f561525554837ae1a64f616732f65"/>
                      <w:lock w:val="sdtLocked"/>
                      <w:richText/>
                    </w:sdtPr>
                    <w:sdtContent>
                      <w:r>
                        <w:rPr>
                          <w:szCs w:val="24"/>
                          <w:lang w:eastAsia="lt-LT"/>
                        </w:rPr>
                        <w:t>1.2</w:t>
                      </w:r>
                    </w:sdtContent>
                  </w:sdt>
                  <w:r>
                    <w:rPr>
                      <w:szCs w:val="24"/>
                      <w:lang w:eastAsia="lt-LT"/>
                    </w:rPr>
                    <w:t>. Pakeisti 8.3 papunktį ir jį išdėstyti taip:</w:t>
                  </w:r>
                </w:p>
                <w:sdt>
                  <w:sdtPr>
                    <w:alias w:val="citata"/>
                    <w:tag w:val="part_26364271800c4a5498349b7fe139353a"/>
                    <w:lock w:val="sdtLocked"/>
                    <w:richText/>
                  </w:sdtPr>
                  <w:sdtContent>
                    <w:sdt>
                      <w:sdtPr>
                        <w:alias w:val="8.3 pp."/>
                        <w:tag w:val="part_5671d763f51646549993573f96cbfb79"/>
                        <w:lock w:val="sdtLocked"/>
                        <w:richText/>
                      </w:sdtPr>
                      <w:sdtContent>
                        <w:p>
                          <w:pPr>
                            <w:tabs>
                              <w:tab w:val="left" w:pos="993"/>
                            </w:tabs>
                            <w:ind w:firstLine="720"/>
                            <w:jc w:val="both"/>
                            <w:rPr>
                              <w:szCs w:val="24"/>
                              <w:lang w:eastAsia="lt-LT"/>
                            </w:rPr>
                          </w:pPr>
                          <w:r>
                            <w:rPr>
                              <w:szCs w:val="24"/>
                              <w:lang w:eastAsia="lt-LT"/>
                            </w:rPr>
                            <w:t>„</w:t>
                          </w:r>
                          <w:sdt>
                            <w:sdtPr>
                              <w:alias w:val="Numeris"/>
                              <w:tag w:val="nr_5671d763f51646549993573f96cbfb79"/>
                              <w:lock w:val="sdtLocked"/>
                              <w:richText/>
                            </w:sdtPr>
                            <w:sdtContent>
                              <w:r>
                                <w:rPr>
                                  <w:szCs w:val="24"/>
                                  <w:lang w:eastAsia="lt-LT"/>
                                </w:rPr>
                                <w:t>8.3</w:t>
                              </w:r>
                            </w:sdtContent>
                          </w:sdt>
                          <w:r>
                            <w:rPr>
                              <w:szCs w:val="24"/>
                              <w:lang w:eastAsia="lt-LT"/>
                            </w:rPr>
                            <w:t xml:space="preserve">. dokumentus bei duomenis, kuriuose pateikiama informacija, reikalinga stambaus projekto atitikčiai Investicijų įstatymo 2 straipsnio 25 </w:t>
                          </w:r>
                          <w:r>
                            <w:rPr>
                              <w:strike/>
                              <w:szCs w:val="24"/>
                              <w:lang w:eastAsia="lt-LT"/>
                            </w:rPr>
                            <w:t xml:space="preserve">dalyje </w:t>
                          </w:r>
                          <w:r>
                            <w:rPr>
                              <w:b/>
                              <w:bCs/>
                              <w:szCs w:val="24"/>
                              <w:lang w:eastAsia="lt-LT"/>
                            </w:rPr>
                            <w:t>dalies 1 arba 2 punkte</w:t>
                          </w:r>
                          <w:r>
                            <w:rPr>
                              <w:szCs w:val="24"/>
                              <w:lang w:eastAsia="lt-LT"/>
                            </w:rPr>
                            <w:t xml:space="preserve"> ir 15</w:t>
                          </w:r>
                          <w:r>
                            <w:rPr>
                              <w:szCs w:val="24"/>
                              <w:vertAlign w:val="superscript"/>
                              <w:lang w:eastAsia="lt-LT"/>
                            </w:rPr>
                            <w:t>4</w:t>
                          </w:r>
                          <w:r>
                            <w:rPr>
                              <w:szCs w:val="24"/>
                              <w:lang w:eastAsia="lt-LT"/>
                            </w:rPr>
                            <w:t xml:space="preserve"> straipsnio 3 dalies 4 punkte nustatytiems reikalavimams įvertinti;“</w:t>
                          </w:r>
                        </w:p>
                      </w:sdtContent>
                    </w:sdt>
                  </w:sdtContent>
                </w:sdt>
              </w:sdtContent>
            </w:sdt>
            <w:sdt>
              <w:sdtPr>
                <w:alias w:val="1.3 pp."/>
                <w:tag w:val="part_cf27757167df4a3c9eaaa92350130871"/>
                <w:lock w:val="sdtLocked"/>
                <w:richText/>
              </w:sdtPr>
              <w:sdtContent>
                <w:p>
                  <w:pPr>
                    <w:tabs>
                      <w:tab w:val="left" w:pos="993"/>
                    </w:tabs>
                    <w:ind w:firstLine="720"/>
                    <w:jc w:val="both"/>
                    <w:rPr>
                      <w:szCs w:val="24"/>
                      <w:lang w:eastAsia="lt-LT"/>
                    </w:rPr>
                  </w:pPr>
                  <w:sdt>
                    <w:sdtPr>
                      <w:alias w:val="Numeris"/>
                      <w:tag w:val="nr_cf27757167df4a3c9eaaa92350130871"/>
                      <w:lock w:val="sdtLocked"/>
                      <w:richText/>
                    </w:sdtPr>
                    <w:sdtContent>
                      <w:r>
                        <w:rPr>
                          <w:szCs w:val="24"/>
                          <w:lang w:eastAsia="lt-LT"/>
                        </w:rPr>
                        <w:t>1.3</w:t>
                      </w:r>
                    </w:sdtContent>
                  </w:sdt>
                  <w:r>
                    <w:rPr>
                      <w:szCs w:val="24"/>
                      <w:lang w:eastAsia="lt-LT"/>
                    </w:rPr>
                    <w:t>. Pakeisti priedo lentelės 1 punktą ir jį išdėstyti taip:</w:t>
                  </w:r>
                </w:p>
                <w:tbl>
                  <w:tblPr>
                    <w:tblW w:w="90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704"/>
                    <w:gridCol w:w="1413"/>
                    <w:gridCol w:w="1418"/>
                    <w:gridCol w:w="2268"/>
                    <w:gridCol w:w="1419"/>
                    <w:gridCol w:w="1843"/>
                  </w:tblGrid>
                  <w:tr>
                    <w:trPr>
                      <w:trHeight w:val="668"/>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 xml:space="preserve">„1. </w:t>
                        </w:r>
                      </w:p>
                    </w:tc>
                    <w:tc>
                      <w:tcPr>
                        <w:tcW w:w="8361" w:type="dxa"/>
                        <w:gridSpan w:val="5"/>
                        <w:tcBorders>
                          <w:top w:val="single" w:sz="4" w:space="0" w:color="auto"/>
                          <w:left w:val="single" w:sz="4" w:space="0" w:color="auto"/>
                          <w:bottom w:val="single" w:sz="4" w:space="0" w:color="auto"/>
                          <w:right w:val="single" w:sz="4" w:space="0" w:color="auto"/>
                        </w:tcBorders>
                      </w:tcPr>
                      <w:p>
                        <w:pPr>
                          <w:tabs>
                            <w:tab w:val="left" w:pos="2880"/>
                          </w:tabs>
                          <w:rPr>
                            <w:rFonts w:eastAsia="Calibri"/>
                            <w:b/>
                            <w:lang w:eastAsia="lt-LT"/>
                          </w:rPr>
                        </w:pPr>
                      </w:p>
                      <w:p>
                        <w:pPr>
                          <w:tabs>
                            <w:tab w:val="left" w:pos="2880"/>
                          </w:tabs>
                          <w:rPr>
                            <w:rFonts w:eastAsia="Calibri"/>
                            <w:b/>
                            <w:lang w:eastAsia="lt-LT"/>
                          </w:rPr>
                        </w:pPr>
                        <w:r>
                          <w:rPr>
                            <w:rFonts w:eastAsia="Calibri"/>
                            <w:b/>
                            <w:lang w:eastAsia="lt-LT"/>
                          </w:rPr>
                          <w:t xml:space="preserve">Kiekybinis vertinimas </w:t>
                        </w:r>
                      </w:p>
                    </w:tc>
                  </w:tr>
                  <w:tr>
                    <w:trPr>
                      <w:trHeight w:val="858"/>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1.1.</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Investuotojo sukurtų naujų darbo vietų skaičius (ne mažiau kaip 150, o kai investuojama Vilniuje, – ne mažiau kaip 200 naujų darbo vietų)</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Už 150 naujų darbo vietų (išskyrus Vilniuje) – 0 balų (už kiekvieną papildomą darbo vietą (iki 300 darbo vietų) suteikiama 0,135 balo),</w:t>
                        </w:r>
                      </w:p>
                      <w:p>
                        <w:pPr>
                          <w:tabs>
                            <w:tab w:val="left" w:pos="2880"/>
                          </w:tabs>
                          <w:rPr>
                            <w:rFonts w:eastAsia="Calibri"/>
                            <w:bCs/>
                            <w:lang w:eastAsia="lt-LT"/>
                          </w:rPr>
                        </w:pPr>
                        <w:r>
                          <w:rPr>
                            <w:rFonts w:eastAsia="Calibri"/>
                            <w:bCs/>
                            <w:lang w:eastAsia="lt-LT"/>
                          </w:rPr>
                          <w:t>už 300 ir daugiau naujų darbo vietų – 20 balų</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200 naujų darbo vietų Vilniuje – 0 balų (už kiekvieną papildomą darbo vietą (iki 400 darbo vietų) suteikiama 0,1 balo),</w:t>
                        </w:r>
                      </w:p>
                      <w:p>
                        <w:pPr>
                          <w:tabs>
                            <w:tab w:val="left" w:pos="2880"/>
                          </w:tabs>
                          <w:rPr>
                            <w:rFonts w:eastAsia="Calibri"/>
                            <w:bCs/>
                            <w:lang w:eastAsia="lt-LT"/>
                          </w:rPr>
                        </w:pPr>
                        <w:r>
                          <w:rPr>
                            <w:rFonts w:eastAsia="Calibri"/>
                            <w:bCs/>
                            <w:lang w:eastAsia="lt-LT"/>
                          </w:rPr>
                          <w:t>už 400 ir daugiau naujų darbo vietų – 20 balų</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 xml:space="preserve">5 </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Už 150 naujų darbo vietų (išskyrus Vilniuje) – 0 balų (už kiekvieną papildomą darbo vietą (iki 250 darbo vietų) suteikiama 0,05 balo),</w:t>
                        </w:r>
                      </w:p>
                      <w:p>
                        <w:pPr>
                          <w:tabs>
                            <w:tab w:val="left" w:pos="2880"/>
                          </w:tabs>
                          <w:rPr>
                            <w:rFonts w:eastAsia="Calibri"/>
                            <w:bCs/>
                            <w:lang w:eastAsia="lt-LT"/>
                          </w:rPr>
                        </w:pPr>
                        <w:r>
                          <w:rPr>
                            <w:rFonts w:eastAsia="Calibri"/>
                            <w:bCs/>
                            <w:lang w:eastAsia="lt-LT"/>
                          </w:rPr>
                          <w:t>už 250 ir daugiau naujų darbo vietų – 5 balai</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Už 200 naujų darbo vietų Vilniuje – 0 balų (už kiekvieną papildomą darbo vietą (iki 300 darbo vietų) suteikiama 0,05 balo),</w:t>
                        </w:r>
                      </w:p>
                      <w:p>
                        <w:pPr>
                          <w:tabs>
                            <w:tab w:val="left" w:pos="2880"/>
                          </w:tabs>
                          <w:rPr>
                            <w:rFonts w:eastAsia="Calibri"/>
                            <w:bCs/>
                            <w:lang w:eastAsia="lt-LT"/>
                          </w:rPr>
                        </w:pPr>
                        <w:r>
                          <w:rPr>
                            <w:rFonts w:eastAsia="Calibri"/>
                            <w:bCs/>
                            <w:lang w:eastAsia="lt-LT"/>
                          </w:rPr>
                          <w:t>už 300 ir daugiau naujų darbo vietų – 5 balai</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
                            <w:lang w:eastAsia="lt-LT"/>
                          </w:rPr>
                        </w:pPr>
                        <w:r>
                          <w:rPr>
                            <w:rFonts w:eastAsia="Calibri"/>
                            <w:b/>
                            <w:lang w:eastAsia="lt-LT"/>
                          </w:rPr>
                          <w:t>1.2.</w:t>
                        </w:r>
                      </w:p>
                    </w:tc>
                    <w:tc>
                      <w:tcPr>
                        <w:tcW w:w="141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
                            <w:lang w:eastAsia="lt-LT"/>
                          </w:rPr>
                        </w:pPr>
                        <w:r>
                          <w:rPr>
                            <w:rFonts w:eastAsia="Calibri"/>
                            <w:b/>
                            <w:lang w:eastAsia="lt-LT"/>
                          </w:rPr>
                          <w:t>Investuotojo sukurtų naujų darbo vietų skaičius (20-149, o kai investuojama Vilniuje, – 20-199 naujų darbo vietų)</w:t>
                        </w:r>
                      </w:p>
                    </w:tc>
                    <w:tc>
                      <w:tcPr>
                        <w:tcW w:w="1418"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
                            <w:lang w:eastAsia="lt-LT"/>
                          </w:rPr>
                        </w:pPr>
                        <w:r>
                          <w:rPr>
                            <w:rFonts w:eastAsia="Calibri"/>
                            <w:b/>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
                            <w:lang w:eastAsia="lt-LT"/>
                          </w:rPr>
                        </w:pPr>
                        <w:r>
                          <w:rPr>
                            <w:rFonts w:eastAsia="Calibri"/>
                            <w:b/>
                            <w:lang w:eastAsia="lt-LT"/>
                          </w:rPr>
                          <w:t>Už 20 naujų darbo vietų (išskyrus Vilniuje) – 0 balų (už kiekvieną papildomą darbo vietą (iki 149 darbo vietų) suteikiama 0,155 balo),</w:t>
                        </w:r>
                      </w:p>
                      <w:p>
                        <w:pPr>
                          <w:tabs>
                            <w:tab w:val="left" w:pos="2880"/>
                          </w:tabs>
                          <w:rPr>
                            <w:rFonts w:eastAsia="Calibri"/>
                            <w:b/>
                            <w:lang w:eastAsia="lt-LT"/>
                          </w:rPr>
                        </w:pPr>
                      </w:p>
                      <w:p>
                        <w:pPr>
                          <w:tabs>
                            <w:tab w:val="left" w:pos="2880"/>
                          </w:tabs>
                          <w:rPr>
                            <w:rFonts w:eastAsia="Calibri"/>
                            <w:b/>
                            <w:lang w:eastAsia="lt-LT"/>
                          </w:rPr>
                        </w:pPr>
                        <w:r>
                          <w:rPr>
                            <w:rFonts w:eastAsia="Calibri"/>
                            <w:b/>
                            <w:lang w:eastAsia="lt-LT"/>
                          </w:rPr>
                          <w:t>Už 20 naujų darbo vietų Vilniuje – 0 balų (už kiekvieną papildomą darbo vietą (iki 199 darbo vietų) suteikiama 0,112 balo),</w:t>
                        </w:r>
                      </w:p>
                      <w:p>
                        <w:pPr>
                          <w:tabs>
                            <w:tab w:val="left" w:pos="2880"/>
                          </w:tabs>
                          <w:rPr>
                            <w:rFonts w:eastAsia="Calibri"/>
                            <w:b/>
                            <w:lang w:eastAsia="lt-LT"/>
                          </w:rPr>
                        </w:pPr>
                      </w:p>
                      <w:p>
                        <w:pPr>
                          <w:tabs>
                            <w:tab w:val="left" w:pos="2880"/>
                          </w:tabs>
                          <w:rPr>
                            <w:rFonts w:eastAsia="Calibri"/>
                            <w:lang w:eastAsia="lt-LT"/>
                          </w:rPr>
                        </w:pPr>
                        <w:r>
                          <w:rPr>
                            <w:rFonts w:eastAsia="Calibri"/>
                            <w:b/>
                            <w:lang w:eastAsia="lt-LT"/>
                          </w:rPr>
                          <w:t>Už šį kriterijų maksimalus surenkamas balas yra 20</w:t>
                        </w:r>
                      </w:p>
                    </w:tc>
                    <w:tc>
                      <w:tcPr>
                        <w:tcW w:w="1419"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Cs/>
                            <w:lang w:eastAsia="lt-LT"/>
                          </w:rPr>
                        </w:pPr>
                        <w:r>
                          <w:rPr>
                            <w:rFonts w:eastAsia="Calibri"/>
                            <w:bCs/>
                            <w:lang w:eastAsia="lt-LT"/>
                          </w:rPr>
                          <w:t>-</w:t>
                        </w:r>
                      </w:p>
                    </w:tc>
                    <w:tc>
                      <w:tcPr>
                        <w:tcW w:w="1843" w:type="dxa"/>
                        <w:tcBorders>
                          <w:top w:val="single" w:sz="4" w:space="0" w:color="auto"/>
                          <w:left w:val="single" w:sz="4" w:space="0" w:color="auto"/>
                          <w:bottom w:val="single" w:sz="4" w:space="0" w:color="auto"/>
                          <w:right w:val="single" w:sz="4" w:space="0" w:color="auto"/>
                        </w:tcBorders>
                      </w:tcPr>
                      <w:p>
                        <w:pPr>
                          <w:tabs>
                            <w:tab w:val="left" w:pos="2880"/>
                          </w:tabs>
                          <w:jc w:val="center"/>
                          <w:rPr>
                            <w:rFonts w:eastAsia="Calibri"/>
                            <w:bCs/>
                            <w:lang w:eastAsia="lt-LT"/>
                          </w:rPr>
                        </w:pPr>
                        <w:r>
                          <w:rPr>
                            <w:rFonts w:eastAsia="Calibri"/>
                            <w:bCs/>
                            <w:lang w:eastAsia="lt-LT"/>
                          </w:rPr>
                          <w:t>-</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1.</w:t>
                        </w:r>
                        <w:r>
                          <w:rPr>
                            <w:rFonts w:eastAsia="Calibri"/>
                            <w:bCs/>
                            <w:strike/>
                            <w:lang w:eastAsia="lt-LT"/>
                          </w:rPr>
                          <w:t>2</w:t>
                        </w:r>
                        <w:r>
                          <w:rPr>
                            <w:rFonts w:eastAsia="Calibri"/>
                            <w:b/>
                            <w:lang w:eastAsia="lt-LT"/>
                          </w:rPr>
                          <w:t>3</w:t>
                        </w:r>
                        <w:r>
                          <w:rPr>
                            <w:rFonts w:eastAsia="Calibri"/>
                            <w:bCs/>
                            <w:lang w:eastAsia="lt-LT"/>
                          </w:rPr>
                          <w:t>.</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Aukštos profesinės kvalifikacijos darbuotojų procentas nuo visų naujų darbo vietų skaičiaus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lang w:eastAsia="lt-LT"/>
                          </w:rPr>
                          <w:t>Už kiekvieną dalies procentą</w:t>
                        </w:r>
                        <w:r>
                          <w:rPr>
                            <w:rFonts w:eastAsia="Calibri"/>
                            <w:bCs/>
                            <w:lang w:eastAsia="lt-LT"/>
                          </w:rPr>
                          <w:t xml:space="preserve"> (iki 30 procentų) – 0,689 balo, </w:t>
                        </w:r>
                      </w:p>
                      <w:p>
                        <w:pPr>
                          <w:tabs>
                            <w:tab w:val="left" w:pos="2880"/>
                          </w:tabs>
                          <w:rPr>
                            <w:rFonts w:eastAsia="Calibri"/>
                            <w:bCs/>
                            <w:lang w:eastAsia="lt-LT"/>
                          </w:rPr>
                        </w:pPr>
                        <w:r>
                          <w:rPr>
                            <w:rFonts w:eastAsia="Calibri"/>
                            <w:bCs/>
                            <w:lang w:eastAsia="lt-LT"/>
                          </w:rPr>
                          <w:t xml:space="preserve">už 30 procentų ir daugiau – 20 balų </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15</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 xml:space="preserve">Už kiekvieną dalies procentą (nuo 10 procentų) – 0,517 balo, </w:t>
                        </w:r>
                      </w:p>
                      <w:p>
                        <w:pPr>
                          <w:tabs>
                            <w:tab w:val="left" w:pos="2880"/>
                          </w:tabs>
                          <w:rPr>
                            <w:rFonts w:eastAsia="Calibri"/>
                            <w:bCs/>
                            <w:lang w:eastAsia="lt-LT"/>
                          </w:rPr>
                        </w:pPr>
                        <w:r>
                          <w:rPr>
                            <w:rFonts w:eastAsia="Calibri"/>
                            <w:bCs/>
                            <w:lang w:eastAsia="lt-LT"/>
                          </w:rPr>
                          <w:t xml:space="preserve">už 40 procentų ir daugiau – 15 balų </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lang w:eastAsia="lt-LT"/>
                          </w:rPr>
                        </w:pPr>
                        <w:r>
                          <w:rPr>
                            <w:rFonts w:eastAsia="Calibri"/>
                            <w:lang w:eastAsia="lt-LT"/>
                          </w:rPr>
                          <w:t>1.</w:t>
                        </w:r>
                        <w:r>
                          <w:rPr>
                            <w:rFonts w:eastAsia="Calibri"/>
                            <w:strike/>
                            <w:lang w:eastAsia="lt-LT"/>
                          </w:rPr>
                          <w:t>3</w:t>
                        </w:r>
                        <w:r>
                          <w:rPr>
                            <w:rFonts w:eastAsia="Calibri"/>
                            <w:b/>
                            <w:bCs/>
                            <w:lang w:eastAsia="lt-LT"/>
                          </w:rPr>
                          <w:t>4</w:t>
                        </w:r>
                        <w:r>
                          <w:rPr>
                            <w:rFonts w:eastAsia="Calibri"/>
                            <w:lang w:eastAsia="lt-LT"/>
                          </w:rPr>
                          <w:t>.</w:t>
                        </w:r>
                      </w:p>
                      <w:p>
                        <w:pPr>
                          <w:tabs>
                            <w:tab w:val="left" w:pos="2880"/>
                          </w:tabs>
                          <w:rPr>
                            <w:rFonts w:eastAsia="Calibri"/>
                            <w:lang w:eastAsia="lt-LT"/>
                          </w:rPr>
                        </w:pP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 xml:space="preserve">Naujų darbo vietų darbo užmokesčio vidurkis (toliau – NDU vidurkis) viršija </w:t>
                        </w:r>
                        <w:r>
                          <w:rPr>
                            <w:rFonts w:eastAsia="Calibri"/>
                            <w:bCs/>
                            <w:strike/>
                            <w:lang w:eastAsia="lt-LT"/>
                          </w:rPr>
                          <w:t xml:space="preserve">Lietuvos statistikos departamento </w:t>
                        </w:r>
                        <w:r>
                          <w:rPr>
                            <w:rFonts w:eastAsia="Calibri"/>
                            <w:b/>
                            <w:lang w:eastAsia="lt-LT"/>
                          </w:rPr>
                          <w:t xml:space="preserve">Valstybės duomenų agentūros </w:t>
                        </w:r>
                        <w:r>
                          <w:rPr>
                            <w:rFonts w:eastAsia="Calibri"/>
                            <w:bCs/>
                            <w:lang w:eastAsia="lt-LT"/>
                          </w:rPr>
                          <w:t>paskutinį ketvirtį skelbto savivaldybės, kurioje įgyvendinamas investicijų projektas, darbo užmokesčio vidurkį (toliau – savivaldybės DU vidurkis)</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30</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r>
                          <w:rPr>
                            <w:rFonts w:eastAsia="Calibri"/>
                            <w:bCs/>
                            <w:lang w:eastAsia="lt-LT"/>
                          </w:rPr>
                          <w:t xml:space="preserve">Už kiekvieną dalies procentą (iki 50 procentų) – 0,612 balo, </w:t>
                        </w:r>
                      </w:p>
                      <w:p>
                        <w:pPr>
                          <w:tabs>
                            <w:tab w:val="left" w:pos="2880"/>
                          </w:tabs>
                          <w:rPr>
                            <w:rFonts w:eastAsia="Calibri"/>
                            <w:bCs/>
                            <w:lang w:eastAsia="lt-LT"/>
                          </w:rPr>
                        </w:pPr>
                        <w:r>
                          <w:rPr>
                            <w:rFonts w:eastAsia="Calibri"/>
                            <w:bCs/>
                            <w:lang w:eastAsia="lt-LT"/>
                          </w:rPr>
                          <w:t>už 50 procentų ir daugiau – 30 balų</w:t>
                        </w:r>
                      </w:p>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 xml:space="preserve">Jei NDU vidurkis yra mažesnis nei savivaldybės DU vidurkis, skiriama 0 balų (kai NDU vidurkis yra iki 10 procentų (imtinai) mažesnis nei savivaldybės DU vidurkis) arba skiriamas neigiamas balas – už kiekvieną procentą (viršijantį 10 procentų), kuriuo vidutinis NDU mažesnis už savivaldybės DU vidurkį (iki 50 procentų), skiriama     −0,75, bet ne daugiau kaip −30 balų</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p>
                        <w:pPr>
                          <w:tabs>
                            <w:tab w:val="left" w:pos="2880"/>
                          </w:tabs>
                          <w:rPr>
                            <w:rFonts w:eastAsia="Calibri"/>
                            <w:bCs/>
                            <w:lang w:eastAsia="lt-LT"/>
                          </w:rPr>
                        </w:pPr>
                        <w:r>
                          <w:rPr>
                            <w:rFonts w:eastAsia="Calibri"/>
                            <w:bCs/>
                            <w:lang w:eastAsia="lt-LT"/>
                          </w:rPr>
                          <w:t xml:space="preserve">Už kiekvieną dalies procentą (nuo 30 procentų) – 0,289 balo, </w:t>
                        </w:r>
                      </w:p>
                      <w:p>
                        <w:pPr>
                          <w:tabs>
                            <w:tab w:val="left" w:pos="2880"/>
                          </w:tabs>
                          <w:rPr>
                            <w:rFonts w:eastAsia="Calibri"/>
                            <w:bCs/>
                            <w:lang w:eastAsia="lt-LT"/>
                          </w:rPr>
                        </w:pPr>
                        <w:r>
                          <w:rPr>
                            <w:rFonts w:eastAsia="Calibri"/>
                            <w:bCs/>
                            <w:lang w:eastAsia="lt-LT"/>
                          </w:rPr>
                          <w:t xml:space="preserve">už 100 procentų ir daugiau – 20 balų </w:t>
                        </w:r>
                      </w:p>
                      <w:p>
                        <w:pPr>
                          <w:tabs>
                            <w:tab w:val="left" w:pos="2880"/>
                          </w:tabs>
                          <w:rPr>
                            <w:rFonts w:eastAsia="Calibri"/>
                            <w:bCs/>
                            <w:lang w:eastAsia="lt-LT"/>
                          </w:rPr>
                        </w:pP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strike/>
                            <w:lang w:eastAsia="lt-LT"/>
                          </w:rPr>
                        </w:pPr>
                        <w:r>
                          <w:rPr>
                            <w:rFonts w:eastAsia="Calibri"/>
                            <w:lang w:eastAsia="lt-LT"/>
                          </w:rPr>
                          <w:t>1.</w:t>
                        </w:r>
                        <w:r>
                          <w:rPr>
                            <w:rFonts w:eastAsia="Calibri"/>
                            <w:strike/>
                            <w:lang w:eastAsia="lt-LT"/>
                          </w:rPr>
                          <w:t>4.</w:t>
                        </w:r>
                        <w:r>
                          <w:rPr>
                            <w:rFonts w:eastAsia="Calibri"/>
                            <w:b/>
                            <w:bCs/>
                            <w:lang w:eastAsia="lt-LT"/>
                          </w:rPr>
                          <w:t>5.</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Bendra eksporto dalis (proc.)</w:t>
                        </w:r>
                      </w:p>
                    </w:tc>
                    <w:tc>
                      <w:tcPr>
                        <w:tcW w:w="1418"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5</w:t>
                        </w: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Už kiekvieną dalies procentą (nuo 50 procentų) – 0,1 balo,</w:t>
                        </w:r>
                      </w:p>
                      <w:p>
                        <w:pPr>
                          <w:tabs>
                            <w:tab w:val="left" w:pos="2880"/>
                          </w:tabs>
                          <w:rPr>
                            <w:rFonts w:eastAsia="Calibri"/>
                            <w:bCs/>
                            <w:lang w:eastAsia="lt-LT"/>
                          </w:rPr>
                        </w:pPr>
                        <w:r>
                          <w:rPr>
                            <w:rFonts w:eastAsia="Calibri"/>
                            <w:bCs/>
                            <w:lang w:eastAsia="lt-LT"/>
                          </w:rPr>
                          <w:t>už 100 procentų – 5 balai</w:t>
                        </w:r>
                      </w:p>
                    </w:tc>
                    <w:tc>
                      <w:tcPr>
                        <w:tcW w:w="1419" w:type="dxa"/>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10</w:t>
                        </w: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bCs/>
                            <w:lang w:eastAsia="lt-LT"/>
                          </w:rPr>
                        </w:pPr>
                        <w:r>
                          <w:rPr>
                            <w:rFonts w:eastAsia="Calibri"/>
                            <w:bCs/>
                            <w:lang w:eastAsia="lt-LT"/>
                          </w:rPr>
                          <w:t xml:space="preserve">Už kiekvieną dalies procentą (nuo 70 procentų) – 0,344 balo, </w:t>
                        </w:r>
                      </w:p>
                      <w:p>
                        <w:pPr>
                          <w:tabs>
                            <w:tab w:val="left" w:pos="2880"/>
                          </w:tabs>
                          <w:rPr>
                            <w:rFonts w:eastAsia="Calibri"/>
                            <w:bCs/>
                            <w:lang w:eastAsia="lt-LT"/>
                          </w:rPr>
                        </w:pPr>
                        <w:r>
                          <w:rPr>
                            <w:rFonts w:eastAsia="Calibri"/>
                            <w:bCs/>
                            <w:lang w:eastAsia="lt-LT"/>
                          </w:rPr>
                          <w:t xml:space="preserve">už 100 procentų – 10 balų </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w:t>
                        </w:r>
                        <w:r>
                          <w:rPr>
                            <w:rFonts w:eastAsia="Calibri"/>
                            <w:strike/>
                            <w:lang w:eastAsia="lt-LT"/>
                          </w:rPr>
                          <w:t>5</w:t>
                        </w:r>
                        <w:r>
                          <w:rPr>
                            <w:rFonts w:eastAsia="Calibri"/>
                            <w:b/>
                            <w:bCs/>
                            <w:lang w:eastAsia="lt-LT"/>
                          </w:rPr>
                          <w:t>6</w:t>
                        </w:r>
                        <w:r>
                          <w:rPr>
                            <w:rFonts w:eastAsia="Calibri"/>
                            <w:lang w:eastAsia="lt-LT"/>
                          </w:rPr>
                          <w:t>.</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bCs/>
                            <w:lang w:eastAsia="lt-LT"/>
                          </w:rPr>
                          <w:t>Stambaus projekto įgyvendinimo vieta:</w:t>
                        </w:r>
                      </w:p>
                    </w:tc>
                    <w:tc>
                      <w:tcPr>
                        <w:tcW w:w="1418" w:type="dxa"/>
                        <w:vMerge w:val="restart"/>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5</w:t>
                        </w:r>
                      </w:p>
                    </w:tc>
                    <w:tc>
                      <w:tcPr>
                        <w:tcW w:w="2268"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tc>
                    <w:tc>
                      <w:tcPr>
                        <w:tcW w:w="1419" w:type="dxa"/>
                        <w:vMerge w:val="restart"/>
                        <w:tcBorders>
                          <w:top w:val="single" w:sz="4" w:space="0" w:color="auto"/>
                          <w:left w:val="single" w:sz="4" w:space="0" w:color="auto"/>
                          <w:bottom w:val="single" w:sz="4" w:space="0" w:color="auto"/>
                          <w:right w:val="single" w:sz="4" w:space="0" w:color="auto"/>
                        </w:tcBorders>
                        <w:hideMark/>
                      </w:tcPr>
                      <w:p>
                        <w:pPr>
                          <w:tabs>
                            <w:tab w:val="left" w:pos="2880"/>
                          </w:tabs>
                          <w:jc w:val="center"/>
                          <w:rPr>
                            <w:rFonts w:eastAsia="Calibri"/>
                            <w:bCs/>
                            <w:lang w:eastAsia="lt-LT"/>
                          </w:rPr>
                        </w:pPr>
                        <w:r>
                          <w:rPr>
                            <w:rFonts w:eastAsia="Calibri"/>
                            <w:bCs/>
                            <w:lang w:eastAsia="lt-LT"/>
                          </w:rPr>
                          <w:t>20</w:t>
                        </w:r>
                      </w:p>
                    </w:tc>
                    <w:tc>
                      <w:tcPr>
                        <w:tcW w:w="1843" w:type="dxa"/>
                        <w:tcBorders>
                          <w:top w:val="single" w:sz="4" w:space="0" w:color="auto"/>
                          <w:left w:val="single" w:sz="4" w:space="0" w:color="auto"/>
                          <w:bottom w:val="single" w:sz="4" w:space="0" w:color="auto"/>
                          <w:right w:val="single" w:sz="4" w:space="0" w:color="auto"/>
                        </w:tcBorders>
                        <w:vAlign w:val="center"/>
                      </w:tcPr>
                      <w:p>
                        <w:pPr>
                          <w:tabs>
                            <w:tab w:val="left" w:pos="2880"/>
                          </w:tabs>
                          <w:rPr>
                            <w:rFonts w:eastAsia="Calibri"/>
                            <w:bCs/>
                            <w:lang w:eastAsia="lt-LT"/>
                          </w:rPr>
                        </w:pP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w:t>
                        </w:r>
                        <w:r>
                          <w:rPr>
                            <w:rFonts w:eastAsia="Calibri"/>
                            <w:strike/>
                            <w:lang w:eastAsia="lt-LT"/>
                          </w:rPr>
                          <w:t>5</w:t>
                        </w:r>
                        <w:r>
                          <w:rPr>
                            <w:rFonts w:eastAsia="Calibri"/>
                            <w:b/>
                            <w:bCs/>
                            <w:lang w:eastAsia="lt-LT"/>
                          </w:rPr>
                          <w:t>6</w:t>
                        </w:r>
                        <w:r>
                          <w:rPr>
                            <w:rFonts w:eastAsia="Calibri"/>
                            <w:lang w:eastAsia="lt-LT"/>
                          </w:rPr>
                          <w:t>.1.</w:t>
                        </w:r>
                      </w:p>
                    </w:tc>
                    <w:tc>
                      <w:tcPr>
                        <w:tcW w:w="1413"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Vilnius</w:t>
                        </w: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bCs/>
                            <w:lang w:eastAsia="lt-LT"/>
                          </w:rPr>
                        </w:pPr>
                        <w:r>
                          <w:rPr>
                            <w:rFonts w:eastAsia="Calibri"/>
                            <w:bCs/>
                            <w:lang w:eastAsia="lt-LT"/>
                          </w:rPr>
                          <w:t>0</w:t>
                        </w:r>
                      </w:p>
                    </w:tc>
                    <w:tc>
                      <w:tcPr>
                        <w:tcW w:w="14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bCs/>
                            <w:lang w:eastAsia="lt-LT"/>
                          </w:rPr>
                        </w:pPr>
                        <w:r>
                          <w:rPr>
                            <w:rFonts w:eastAsia="Calibri"/>
                            <w:bCs/>
                            <w:lang w:eastAsia="lt-LT"/>
                          </w:rPr>
                          <w:t>10</w:t>
                        </w:r>
                      </w:p>
                    </w:tc>
                  </w:tr>
                  <w:tr>
                    <w:trPr>
                      <w:jc w:val="center"/>
                    </w:trPr>
                    <w:tc>
                      <w:tcPr>
                        <w:tcW w:w="704" w:type="dxa"/>
                        <w:tcBorders>
                          <w:top w:val="single" w:sz="4" w:space="0" w:color="auto"/>
                          <w:left w:val="single" w:sz="4" w:space="0" w:color="auto"/>
                          <w:bottom w:val="single" w:sz="4" w:space="0" w:color="auto"/>
                          <w:right w:val="single" w:sz="4" w:space="0" w:color="auto"/>
                        </w:tcBorders>
                        <w:vAlign w:val="center"/>
                        <w:hideMark/>
                      </w:tcPr>
                      <w:p>
                        <w:pPr>
                          <w:tabs>
                            <w:tab w:val="left" w:pos="2880"/>
                          </w:tabs>
                          <w:rPr>
                            <w:rFonts w:eastAsia="Calibri"/>
                            <w:lang w:eastAsia="lt-LT"/>
                          </w:rPr>
                        </w:pPr>
                        <w:r>
                          <w:rPr>
                            <w:rFonts w:eastAsia="Calibri"/>
                            <w:lang w:eastAsia="lt-LT"/>
                          </w:rPr>
                          <w:t>1.</w:t>
                        </w:r>
                        <w:r>
                          <w:rPr>
                            <w:rFonts w:eastAsia="Calibri"/>
                            <w:strike/>
                            <w:lang w:eastAsia="lt-LT"/>
                          </w:rPr>
                          <w:t>5</w:t>
                        </w:r>
                        <w:r>
                          <w:rPr>
                            <w:rFonts w:eastAsia="Calibri"/>
                            <w:b/>
                            <w:bCs/>
                            <w:lang w:eastAsia="lt-LT"/>
                          </w:rPr>
                          <w:t>6</w:t>
                        </w:r>
                        <w:r>
                          <w:rPr>
                            <w:rFonts w:eastAsia="Calibri"/>
                            <w:lang w:eastAsia="lt-LT"/>
                          </w:rPr>
                          <w:t>.2.</w:t>
                        </w:r>
                      </w:p>
                    </w:tc>
                    <w:tc>
                      <w:tcPr>
                        <w:tcW w:w="1413" w:type="dxa"/>
                        <w:tcBorders>
                          <w:top w:val="single" w:sz="4" w:space="0" w:color="auto"/>
                          <w:left w:val="single" w:sz="4" w:space="0" w:color="auto"/>
                          <w:bottom w:val="single" w:sz="4" w:space="0" w:color="auto"/>
                          <w:right w:val="single" w:sz="4" w:space="0" w:color="auto"/>
                        </w:tcBorders>
                        <w:hideMark/>
                      </w:tcPr>
                      <w:p>
                        <w:pPr>
                          <w:tabs>
                            <w:tab w:val="left" w:pos="2880"/>
                          </w:tabs>
                          <w:rPr>
                            <w:rFonts w:eastAsia="Calibri"/>
                            <w:lang w:eastAsia="lt-LT"/>
                          </w:rPr>
                        </w:pPr>
                        <w:r>
                          <w:rPr>
                            <w:rFonts w:eastAsia="Calibri"/>
                            <w:lang w:eastAsia="lt-LT"/>
                          </w:rPr>
                          <w:t>Kiti miestai ir rajonai</w:t>
                        </w:r>
                      </w:p>
                    </w:tc>
                    <w:tc>
                      <w:tcPr>
                        <w:tcW w:w="1418"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2268"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lang w:eastAsia="lt-LT"/>
                          </w:rPr>
                        </w:pPr>
                        <w:r>
                          <w:rPr>
                            <w:rFonts w:eastAsia="Calibri"/>
                            <w:lang w:eastAsia="lt-LT"/>
                          </w:rPr>
                          <w:t>5</w:t>
                        </w:r>
                      </w:p>
                    </w:tc>
                    <w:tc>
                      <w:tcPr>
                        <w:tcW w:w="1419" w:type="dxa"/>
                        <w:vMerge/>
                        <w:tcBorders>
                          <w:top w:val="single" w:sz="4" w:space="0" w:color="auto"/>
                          <w:left w:val="single" w:sz="4" w:space="0" w:color="auto"/>
                          <w:bottom w:val="single" w:sz="4" w:space="0" w:color="auto"/>
                          <w:right w:val="single" w:sz="4" w:space="0" w:color="auto"/>
                        </w:tcBorders>
                        <w:vAlign w:val="center"/>
                        <w:hideMark/>
                      </w:tcPr>
                      <w:p>
                        <w:pPr>
                          <w:rPr>
                            <w:rFonts w:eastAsia="Calibri"/>
                            <w:bCs/>
                            <w:lang w:eastAsia="lt-LT"/>
                          </w:rPr>
                        </w:pPr>
                      </w:p>
                    </w:tc>
                    <w:tc>
                      <w:tcPr>
                        <w:tcW w:w="1843" w:type="dxa"/>
                        <w:tcBorders>
                          <w:top w:val="single" w:sz="4" w:space="0" w:color="auto"/>
                          <w:left w:val="single" w:sz="4" w:space="0" w:color="auto"/>
                          <w:bottom w:val="single" w:sz="4" w:space="0" w:color="auto"/>
                          <w:right w:val="single" w:sz="4" w:space="0" w:color="auto"/>
                        </w:tcBorders>
                        <w:vAlign w:val="center"/>
                        <w:hideMark/>
                      </w:tcPr>
                      <w:p>
                        <w:pPr>
                          <w:tabs>
                            <w:tab w:val="left" w:pos="2880"/>
                          </w:tabs>
                          <w:jc w:val="center"/>
                          <w:rPr>
                            <w:rFonts w:eastAsia="Calibri"/>
                            <w:lang w:eastAsia="lt-LT"/>
                          </w:rPr>
                        </w:pPr>
                        <w:r>
                          <w:rPr>
                            <w:rFonts w:eastAsia="Calibri"/>
                            <w:lang w:eastAsia="lt-LT"/>
                          </w:rPr>
                          <w:t>20“</w:t>
                        </w:r>
                      </w:p>
                    </w:tc>
                  </w:tr>
                </w:tbl>
                <w:p>
                  <w:pPr>
                    <w:tabs>
                      <w:tab w:val="center" w:pos="-7800"/>
                      <w:tab w:val="left" w:pos="6237"/>
                      <w:tab w:val="right" w:pos="8306"/>
                    </w:tabs>
                    <w:ind w:right="-1"/>
                  </w:pPr>
                </w:p>
              </w:sdtContent>
            </w:sdt>
          </w:sdtContent>
        </w:sdt>
        <w:sdt>
          <w:sdtPr>
            <w:alias w:val="2 p."/>
            <w:tag w:val="part_a5cac83f373f4aef8b795ac8890ff178"/>
            <w:lock w:val="sdtLocked"/>
            <w:richText/>
          </w:sdtPr>
          <w:sdtContent>
            <w:p>
              <w:pPr>
                <w:tabs>
                  <w:tab w:val="center" w:pos="-7800"/>
                  <w:tab w:val="left" w:pos="6237"/>
                  <w:tab w:val="right" w:pos="8306"/>
                </w:tabs>
                <w:ind w:firstLine="720"/>
                <w:jc w:val="both"/>
                <w:rPr>
                  <w:szCs w:val="24"/>
                  <w:lang w:eastAsia="lt-LT"/>
                </w:rPr>
              </w:pPr>
              <w:sdt>
                <w:sdtPr>
                  <w:alias w:val="Numeris"/>
                  <w:tag w:val="nr_a5cac83f373f4aef8b795ac8890ff178"/>
                  <w:lock w:val="sdtLocked"/>
                  <w:richText/>
                </w:sdtPr>
                <w:sdtContent>
                  <w:r>
                    <w:rPr>
                      <w:szCs w:val="24"/>
                      <w:lang w:eastAsia="lt-LT"/>
                    </w:rPr>
                    <w:t>2</w:t>
                  </w:r>
                </w:sdtContent>
              </w:sdt>
              <w:r>
                <w:rPr>
                  <w:szCs w:val="24"/>
                  <w:lang w:eastAsia="lt-LT"/>
                </w:rPr>
                <w:t>. Pakeisti Stambių projektų investicijų sutarčių rengimo, derinimo, sudarymo, vykdymo ir vykdymo priežiūros tvarkos aprašo, patvirtinto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 21 punktą ir jį išdėstyti taip:</w:t>
              </w:r>
            </w:p>
            <w:sdt>
              <w:sdtPr>
                <w:alias w:val="citata"/>
                <w:tag w:val="part_28459531bc1b43899de487a7c4a11e79"/>
                <w:lock w:val="sdtLocked"/>
                <w:richText/>
              </w:sdtPr>
              <w:sdtContent>
                <w:sdt>
                  <w:sdtPr>
                    <w:alias w:val="21 p."/>
                    <w:tag w:val="part_23c58d194c744dbb8952450fb83540d5"/>
                    <w:lock w:val="sdtLocked"/>
                    <w:richText/>
                  </w:sdtPr>
                  <w:sdtContent>
                    <w:p>
                      <w:pPr>
                        <w:tabs>
                          <w:tab w:val="center" w:pos="-7800"/>
                          <w:tab w:val="left" w:pos="6237"/>
                          <w:tab w:val="right" w:pos="8306"/>
                        </w:tabs>
                        <w:ind w:firstLine="720"/>
                        <w:jc w:val="both"/>
                        <w:rPr>
                          <w:szCs w:val="24"/>
                          <w:lang w:eastAsia="lt-LT"/>
                        </w:rPr>
                      </w:pPr>
                      <w:r>
                        <w:rPr>
                          <w:szCs w:val="24"/>
                          <w:lang w:eastAsia="lt-LT"/>
                        </w:rPr>
                        <w:t>„</w:t>
                      </w:r>
                      <w:sdt>
                        <w:sdtPr>
                          <w:alias w:val="Numeris"/>
                          <w:tag w:val="nr_23c58d194c744dbb8952450fb83540d5"/>
                          <w:lock w:val="sdtLocked"/>
                          <w:richText/>
                        </w:sdtPr>
                        <w:sdtContent>
                          <w:r>
                            <w:rPr>
                              <w:szCs w:val="24"/>
                              <w:lang w:eastAsia="lt-LT"/>
                            </w:rPr>
                            <w:t>21</w:t>
                          </w:r>
                        </w:sdtContent>
                      </w:sdt>
                      <w:r>
                        <w:rPr>
                          <w:szCs w:val="24"/>
                          <w:lang w:eastAsia="lt-LT"/>
                        </w:rPr>
                        <w:t xml:space="preserve">. Investuotojas privalo kasmet Sutartyje numatyta tvarka ne vėliau kaip iki kovo 1 dienos koordinatoriui pateikti ataskaitą apie Sutartyje numatytų investuotojo įsipareigojimų vykdymą ir Sutartyje nurodytų stambaus projekto rodiklių įgyvendinimą </w:t>
                      </w:r>
                      <w:r>
                        <w:rPr>
                          <w:b/>
                          <w:bCs/>
                          <w:szCs w:val="24"/>
                          <w:lang w:eastAsia="lt-LT"/>
                        </w:rPr>
                        <w:t>už praėjusius biudžetnius metus</w:t>
                      </w:r>
                      <w:r>
                        <w:rPr>
                          <w:szCs w:val="24"/>
                          <w:lang w:eastAsia="lt-LT"/>
                        </w:rPr>
                        <w:t>.“</w:t>
                      </w:r>
                    </w:p>
                  </w:sdtContent>
                </w:sdt>
              </w:sdtContent>
            </w:sdt>
          </w:sdtContent>
        </w:sdt>
        <w:sdt>
          <w:sdtPr>
            <w:alias w:val="3 p."/>
            <w:tag w:val="part_1cd4eca43f5d42aca4886ad1d2cbe6bb"/>
            <w:lock w:val="sdtLocked"/>
            <w:richText/>
          </w:sdtPr>
          <w:sdtContent>
            <w:p>
              <w:pPr>
                <w:tabs>
                  <w:tab w:val="center" w:pos="-7800"/>
                  <w:tab w:val="left" w:pos="6237"/>
                  <w:tab w:val="right" w:pos="8306"/>
                </w:tabs>
                <w:ind w:firstLine="720"/>
                <w:jc w:val="both"/>
                <w:rPr>
                  <w:szCs w:val="24"/>
                  <w:lang w:eastAsia="lt-LT"/>
                </w:rPr>
              </w:pPr>
              <w:sdt>
                <w:sdtPr>
                  <w:alias w:val="Numeris"/>
                  <w:tag w:val="nr_1cd4eca43f5d42aca4886ad1d2cbe6bb"/>
                  <w:lock w:val="sdtLocked"/>
                  <w:richText/>
                </w:sdtPr>
                <w:sdtContent>
                  <w:r>
                    <w:rPr>
                      <w:szCs w:val="24"/>
                      <w:lang w:eastAsia="lt-LT"/>
                    </w:rPr>
                    <w:t>3</w:t>
                  </w:r>
                </w:sdtContent>
              </w:sdt>
              <w:r>
                <w:rPr>
                  <w:szCs w:val="24"/>
                  <w:lang w:eastAsia="lt-LT"/>
                </w:rPr>
                <w:t xml:space="preserve">. Papildyti </w:t>
              </w:r>
              <w:r>
                <w:rPr>
                  <w:lang w:eastAsia="lt-LT"/>
                </w:rPr>
                <w:t>Stambių projektų įtraukimo į stambių projektų sąrašą ir išbraukimo iš šio sąrašo tvarkos</w:t>
              </w:r>
              <w:r>
                <w:rPr>
                  <w:szCs w:val="24"/>
                  <w:lang w:eastAsia="lt-LT"/>
                </w:rPr>
                <w:t xml:space="preserve"> aprašą, patvirtintą Lietuvos Respublikos Vyriausybės 2021 m. balandžio 28 d. nutarimu Nr. 313 „Dėl Lietuvos Respublikos Investicijų įstatymo 15</w:t>
              </w:r>
              <w:r>
                <w:rPr>
                  <w:szCs w:val="24"/>
                  <w:vertAlign w:val="superscript"/>
                  <w:lang w:eastAsia="lt-LT"/>
                </w:rPr>
                <w:t>4</w:t>
              </w:r>
              <w:r>
                <w:rPr>
                  <w:szCs w:val="24"/>
                  <w:lang w:eastAsia="lt-LT"/>
                </w:rPr>
                <w:t>, 15</w:t>
              </w:r>
              <w:r>
                <w:rPr>
                  <w:szCs w:val="24"/>
                  <w:vertAlign w:val="superscript"/>
                  <w:lang w:eastAsia="lt-LT"/>
                </w:rPr>
                <w:t>5</w:t>
              </w:r>
              <w:r>
                <w:rPr>
                  <w:szCs w:val="24"/>
                  <w:lang w:eastAsia="lt-LT"/>
                </w:rPr>
                <w:t>, 15</w:t>
              </w:r>
              <w:r>
                <w:rPr>
                  <w:szCs w:val="24"/>
                  <w:vertAlign w:val="superscript"/>
                  <w:lang w:eastAsia="lt-LT"/>
                </w:rPr>
                <w:t>6</w:t>
              </w:r>
              <w:r>
                <w:rPr>
                  <w:szCs w:val="24"/>
                  <w:lang w:eastAsia="lt-LT"/>
                </w:rPr>
                <w:t xml:space="preserve"> straipsnių ir Lietuvos Respublikos pelno mokesčio įstatymo 58 straipsnio 16</w:t>
              </w:r>
              <w:r>
                <w:rPr>
                  <w:szCs w:val="24"/>
                  <w:vertAlign w:val="superscript"/>
                  <w:lang w:eastAsia="lt-LT"/>
                </w:rPr>
                <w:t>2</w:t>
              </w:r>
              <w:r>
                <w:rPr>
                  <w:szCs w:val="24"/>
                  <w:lang w:eastAsia="lt-LT"/>
                </w:rPr>
                <w:t xml:space="preserve"> ir 16</w:t>
              </w:r>
              <w:r>
                <w:rPr>
                  <w:szCs w:val="24"/>
                  <w:vertAlign w:val="superscript"/>
                  <w:lang w:eastAsia="lt-LT"/>
                </w:rPr>
                <w:t>3</w:t>
              </w:r>
              <w:r>
                <w:rPr>
                  <w:szCs w:val="24"/>
                  <w:lang w:eastAsia="lt-LT"/>
                </w:rPr>
                <w:t xml:space="preserve"> dalių nuostatų įgyvendinimo“ 12 punktu:</w:t>
              </w:r>
            </w:p>
            <w:sdt>
              <w:sdtPr>
                <w:alias w:val="citata"/>
                <w:tag w:val="part_b0566915f10c4618a09cf4785be9b32e"/>
                <w:lock w:val="sdtLocked"/>
                <w:richText/>
              </w:sdtPr>
              <w:sdtContent>
                <w:sdt>
                  <w:sdtPr>
                    <w:alias w:val="12 p."/>
                    <w:tag w:val="part_d710c44289714e8ea6b6c65c2e6dec5f"/>
                    <w:lock w:val="sdtLocked"/>
                    <w:richText/>
                  </w:sdtPr>
                  <w:sdtContent>
                    <w:p>
                      <w:pPr>
                        <w:tabs>
                          <w:tab w:val="center" w:pos="-7800"/>
                          <w:tab w:val="left" w:pos="6237"/>
                          <w:tab w:val="right" w:pos="8306"/>
                        </w:tabs>
                        <w:ind w:firstLine="720"/>
                        <w:jc w:val="both"/>
                        <w:rPr>
                          <w:szCs w:val="24"/>
                          <w:lang w:eastAsia="lt-LT"/>
                        </w:rPr>
                      </w:pPr>
                      <w:r>
                        <w:rPr>
                          <w:szCs w:val="24"/>
                          <w:lang w:eastAsia="lt-LT"/>
                        </w:rPr>
                        <w:t>„</w:t>
                      </w:r>
                      <w:sdt>
                        <w:sdtPr>
                          <w:alias w:val="Numeris"/>
                          <w:tag w:val="nr_d710c44289714e8ea6b6c65c2e6dec5f"/>
                          <w:lock w:val="sdtLocked"/>
                          <w:richText/>
                        </w:sdtPr>
                        <w:sdtContent>
                          <w:r>
                            <w:rPr>
                              <w:b/>
                              <w:bCs/>
                              <w:szCs w:val="24"/>
                              <w:lang w:eastAsia="lt-LT"/>
                            </w:rPr>
                            <w:t>12</w:t>
                          </w:r>
                        </w:sdtContent>
                      </w:sdt>
                      <w:r>
                        <w:rPr>
                          <w:b/>
                          <w:bCs/>
                          <w:szCs w:val="24"/>
                          <w:lang w:eastAsia="lt-LT"/>
                        </w:rPr>
                        <w:t>. Sudarius stambaus projekto investicijų sutartį, stambus projektas gali būti pripažintas užtikrinančiu neatidėliotinus valstybės saugumo ir gynybos poreikius. Dėl stambaus projekto pripažinimo užtikrinančiu neatidėliotinus valstybės saugumo ir gynybos poreikius taikomos Investicijų įstatymo 15</w:t>
                      </w:r>
                      <w:r>
                        <w:rPr>
                          <w:b/>
                          <w:bCs/>
                          <w:szCs w:val="24"/>
                          <w:vertAlign w:val="superscript"/>
                          <w:lang w:eastAsia="lt-LT"/>
                        </w:rPr>
                        <w:t>5</w:t>
                      </w:r>
                      <w:r>
                        <w:rPr>
                          <w:b/>
                          <w:bCs/>
                          <w:szCs w:val="24"/>
                          <w:lang w:eastAsia="lt-LT"/>
                        </w:rPr>
                        <w:t xml:space="preserve"> straipsnio 10 dalies nuostatos</w:t>
                      </w:r>
                      <w:r>
                        <w:rPr>
                          <w:szCs w:val="24"/>
                          <w:lang w:eastAsia="lt-LT"/>
                        </w:rPr>
                        <w:t>.“.</w:t>
                      </w:r>
                    </w:p>
                  </w:sdtContent>
                </w:sdt>
              </w:sdtContent>
            </w:sdt>
          </w:sdtContent>
        </w:sdt>
        <w:sdt>
          <w:sdtPr>
            <w:alias w:val="4 p."/>
            <w:tag w:val="part_490f1e982d04477597e9f0ac786ee300"/>
            <w:lock w:val="sdtLocked"/>
            <w:richText/>
          </w:sdtPr>
          <w:sdtContent>
            <w:p>
              <w:pPr>
                <w:tabs>
                  <w:tab w:val="center" w:pos="-7800"/>
                  <w:tab w:val="left" w:pos="6237"/>
                  <w:tab w:val="right" w:pos="8306"/>
                </w:tabs>
                <w:ind w:firstLine="720"/>
                <w:jc w:val="both"/>
                <w:rPr>
                  <w:szCs w:val="24"/>
                  <w:lang w:eastAsia="lt-LT"/>
                </w:rPr>
              </w:pPr>
              <w:sdt>
                <w:sdtPr>
                  <w:alias w:val="Numeris"/>
                  <w:tag w:val="nr_490f1e982d04477597e9f0ac786ee300"/>
                  <w:lock w:val="sdtLocked"/>
                  <w:richText/>
                </w:sdtPr>
                <w:sdtContent>
                  <w:r>
                    <w:rPr>
                      <w:szCs w:val="24"/>
                      <w:lang w:eastAsia="lt-LT"/>
                    </w:rPr>
                    <w:t>4</w:t>
                  </w:r>
                </w:sdtContent>
              </w:sdt>
              <w:r>
                <w:rPr>
                  <w:szCs w:val="24"/>
                  <w:lang w:eastAsia="lt-LT"/>
                </w:rPr>
                <w:t xml:space="preserve">. </w:t>
              </w:r>
              <w:r>
                <w:t xml:space="preserve">Nustatyti, kad </w:t>
              </w:r>
              <w:r>
                <w:rPr>
                  <w:szCs w:val="24"/>
                  <w:lang w:eastAsia="lt-LT"/>
                </w:rPr>
                <w:t>šis nutarimas įsigalioja 2024 m. liepos 1 d.</w:t>
              </w:r>
            </w:p>
            <w:p>
              <w:pPr>
                <w:tabs>
                  <w:tab w:val="center" w:pos="-7800"/>
                  <w:tab w:val="left" w:pos="6237"/>
                  <w:tab w:val="right" w:pos="8306"/>
                </w:tabs>
                <w:ind w:firstLine="720"/>
                <w:jc w:val="both"/>
                <w:rPr>
                  <w:szCs w:val="24"/>
                  <w:lang w:eastAsia="lt-LT"/>
                </w:rPr>
              </w:pPr>
            </w:p>
            <w:p>
              <w:pPr>
                <w:tabs>
                  <w:tab w:val="center" w:pos="-7800"/>
                  <w:tab w:val="left" w:pos="6237"/>
                  <w:tab w:val="right" w:pos="8306"/>
                </w:tabs>
                <w:ind w:right="-1"/>
              </w:pPr>
            </w:p>
            <w:p>
              <w:pPr>
                <w:tabs>
                  <w:tab w:val="center" w:pos="-7800"/>
                  <w:tab w:val="left" w:pos="6237"/>
                  <w:tab w:val="right" w:pos="8306"/>
                </w:tabs>
                <w:ind w:right="-1"/>
              </w:pPr>
            </w:p>
          </w:sdtContent>
        </w:sdt>
        <w:sdt>
          <w:sdtPr>
            <w:alias w:val="signatura"/>
            <w:tag w:val="part_2e5ed80a632648eda75359f83ce0f337"/>
            <w:lock w:val="sdtLocked"/>
            <w:richText/>
          </w:sdtPr>
          <w:sdtContent>
            <w:p>
              <w:pPr>
                <w:tabs>
                  <w:tab w:val="center" w:pos="-7800"/>
                  <w:tab w:val="left" w:pos="6237"/>
                  <w:tab w:val="right" w:pos="8306"/>
                </w:tabs>
                <w:ind w:right="-1"/>
                <w:rPr>
                  <w:lang w:eastAsia="lt-LT"/>
                </w:rPr>
              </w:pPr>
              <w:r>
                <w:rPr>
                  <w:lang w:eastAsia="lt-LT"/>
                </w:rPr>
                <w:t>Ministras Pirmininkas</w:t>
                <w:tab/>
                <w:tab/>
                <w:t xml:space="preserve">                </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szCs w:val="24"/>
                  <w:lang w:eastAsia="lt-LT"/>
                </w:rPr>
                <w:t>Ekonomikos ir inovacijų m</w:t>
              </w:r>
              <w:r>
                <w:rPr>
                  <w:lang w:eastAsia="lt-LT"/>
                </w:rPr>
                <w:t>inistras</w:t>
                <w:tab/>
                <w:t xml:space="preserve">                </w:t>
              </w:r>
            </w:p>
            <w:p>
              <w:pPr>
                <w:rPr>
                  <w:sz w:val="14"/>
                  <w:szCs w:val="14"/>
                </w:rPr>
              </w:pP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5:docId w15:val="{8043BF41-3EAA-4A65-AB85-6EC251A3B3F7}"/>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29116386">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69706386">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38799419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67573692">
      <w:bodyDiv w:val="1"/>
      <w:marLeft w:val="0"/>
      <w:marRight w:val="0"/>
      <w:marTop w:val="0"/>
      <w:marBottom w:val="0"/>
      <w:divBdr>
        <w:top w:val="none" w:sz="0" w:space="0" w:color="auto"/>
        <w:left w:val="none" w:sz="0" w:space="0" w:color="auto"/>
        <w:bottom w:val="none" w:sz="0" w:space="0" w:color="auto"/>
        <w:right w:val="none" w:sz="0" w:space="0" w:color="auto"/>
      </w:divBdr>
    </w:div>
    <w:div w:id="572933919">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3399090">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66191191">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09016711">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 w:id="2099016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B81340FF01DBE478931AE6FF6B6FA8D" ma:contentTypeVersion="24" ma:contentTypeDescription="Create a new document." ma:contentTypeScope="" ma:versionID="3fab2ec20351314ddcd8cea003cf7760">
  <xsd:schema xmlns:xsd="http://www.w3.org/2001/XMLSchema" xmlns:xs="http://www.w3.org/2001/XMLSchema" xmlns:p="http://schemas.microsoft.com/office/2006/metadata/properties" xmlns:ns2="8a36c7b5-cb88-4a06-81a1-a1b3f01cfc59" xmlns:ns3="1ca1b023-5fcb-4542-8be9-aab2fbe2e3d5" targetNamespace="http://schemas.microsoft.com/office/2006/metadata/properties" ma:root="true" ma:fieldsID="997f15e1fff1d22b36085fc5da1e6b3a" ns2:_="" ns3:_="">
    <xsd:import namespace="8a36c7b5-cb88-4a06-81a1-a1b3f01cfc59"/>
    <xsd:import namespace="1ca1b023-5fcb-4542-8be9-aab2fbe2e3d5"/>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ServiceAutoKeyPoints" minOccurs="0"/>
                <xsd:element ref="ns2:MediaServiceKeyPoints" minOccurs="0"/>
                <xsd:element ref="ns2:MediaLengthInSeconds" minOccurs="0"/>
                <xsd:element ref="ns3:TaxCatchAll" minOccurs="0"/>
                <xsd:element ref="ns2:MediaServiceOCR" minOccurs="0"/>
                <xsd:element ref="ns2:lcf76f155ced4ddcb4097134ff3c332f" minOccurs="0"/>
                <xsd:element ref="ns2:MediaServiceLocation"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a36c7b5-cb88-4a06-81a1-a1b3f01cfc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LengthInSeconds" ma:index="18" nillable="true" ma:displayName="MediaLengthInSeconds" ma:hidden="true" ma:internalName="MediaLengthInSeconds" ma:readOnly="true">
      <xsd:simpleType>
        <xsd:restriction base="dms:Unknown"/>
      </xsd:simpleType>
    </xsd:element>
    <xsd:element name="MediaServiceOCR" ma:index="20" nillable="true" ma:displayName="Extracted Text" ma:internalName="MediaServiceOCR"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f90a7231-cc71-4d06-a101-8d40a72f6c82" ma:termSetId="09814cd3-568e-fe90-9814-8d621ff8fb84" ma:anchorId="fba54fb3-c3e1-fe81-a776-ca4b69148c4d" ma:open="true" ma:isKeyword="false">
      <xsd:complexType>
        <xsd:sequence>
          <xsd:element ref="pc:Terms" minOccurs="0" maxOccurs="1"/>
        </xsd:sequence>
      </xsd:complexType>
    </xsd:element>
    <xsd:element name="MediaServiceLocation" ma:index="23" nillable="true" ma:displayName="Location" ma:description="" ma:indexed="true"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ca1b023-5fcb-4542-8be9-aab2fbe2e3d5"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19" nillable="true" ma:displayName="Taxonomy Catch All Column" ma:hidden="true" ma:list="{6b82ba3f-e5a1-43df-9be4-e395c1375a36}" ma:internalName="TaxCatchAll" ma:showField="CatchAllData" ma:web="1ca1b023-5fcb-4542-8be9-aab2fbe2e3d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a36c7b5-cb88-4a06-81a1-a1b3f01cfc59">
      <Terms xmlns="http://schemas.microsoft.com/office/infopath/2007/PartnerControls"/>
    </lcf76f155ced4ddcb4097134ff3c332f>
    <TaxCatchAll xmlns="1ca1b023-5fcb-4542-8be9-aab2fbe2e3d5"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22351fcb152a4b6b89e9a2c351def9a8" PartId="c9734d46bd934561811d4f4364cc0bec">
    <Part Type="preambule" DocPartId="8e0ed62438cc4f3597bcb0c0fed32b4d" PartId="e90a9c56bb0648519d54d1ed884c4224"/>
    <Part Type="punktas" Nr="1" Abbr="1 p." DocPartId="92d85cd3109a4d4090c210b5a031683c" PartId="231cd71c2a704f9c8dd83d56376f6cf4">
      <Part Type="papunktis" Nr="1.1" Abbr="1.1 pp." DocPartId="242dfd5867a14a0784bc4e25b9f73c42" PartId="16378021621745ae9f24770f626765f9">
        <Part Type="citata" DocPartId="e19be269230a4bfb9f90abc7b64af60c" PartId="4aec096943d04bbf927d177f9bfba6d8">
          <Part Type="punktas" Nr="8" Abbr="8 p." DocPartId="798129b488df4ea38ff14f5eb7a5998d" PartId="a08d5f0ed7f64508b148f8cd55ac709c"/>
        </Part>
      </Part>
      <Part Type="papunktis" Nr="1.2" Abbr="1.2 pp." DocPartId="d2a6feb3ff9c490080f3f67938e7e4b7" PartId="b36f561525554837ae1a64f616732f65">
        <Part Type="citata" DocPartId="1a382ea2a6254bd194c315f6f70d8620" PartId="26364271800c4a5498349b7fe139353a">
          <Part Type="papunktis" Nr="8.3" Abbr="8.3 pp." DocPartId="964efcf6419e43e48a30e647e6fda800" PartId="5671d763f51646549993573f96cbfb79"/>
        </Part>
      </Part>
      <Part Type="papunktis" Nr="1.3" Abbr="1.3 pp." DocPartId="4b610379f281470996b1c0f1921f8132" PartId="cf27757167df4a3c9eaaa92350130871"/>
    </Part>
    <Part Type="punktas" Nr="2" Abbr="2 p." DocPartId="fe023e9dd78b4d6ab413ba3c9c4d6340" PartId="a5cac83f373f4aef8b795ac8890ff178">
      <Part Type="citata" DocPartId="fdc7b0f7f502417c869a17c4293e1d4a" PartId="28459531bc1b43899de487a7c4a11e79">
        <Part Type="punktas" Nr="21" Abbr="21 p." DocPartId="bff0ae4adff54fcf8cc851d55237ec46" PartId="23c58d194c744dbb8952450fb83540d5"/>
      </Part>
    </Part>
    <Part Type="punktas" Nr="3" Abbr="3 p." DocPartId="3da4674f71814292b1b5b77fc54142ad" PartId="1cd4eca43f5d42aca4886ad1d2cbe6bb">
      <Part Type="citata" DocPartId="c15cb87366af4a50ab03f25cec4d233c" PartId="b0566915f10c4618a09cf4785be9b32e">
        <Part Type="punktas" Nr="12" Abbr="12 p." DocPartId="1cf9a5e316c64f169d6726e33452bd05" PartId="d710c44289714e8ea6b6c65c2e6dec5f"/>
      </Part>
    </Part>
    <Part Type="punktas" Nr="4" Abbr="4 p." DocPartId="47ea724245e048feaeebaba18e161ac0" PartId="490f1e982d04477597e9f0ac786ee300"/>
    <Part Type="signatura" DocPartId="8857285318ac43ac95bb3b1676cd3ee5" PartId="2e5ed80a632648eda75359f83ce0f337"/>
  </Part>
</Parts>
</file>

<file path=customXml/itemProps1.xml><?xml version="1.0" encoding="utf-8"?>
<ds:datastoreItem xmlns:ds="http://schemas.openxmlformats.org/officeDocument/2006/customXml" ds:itemID="{0C2348F6-9C5A-4E11-92CE-0A7E19878BF9}">
  <ds:schemaRefs>
    <ds:schemaRef ds:uri="http://schemas.microsoft.com/sharepoint/v3/contenttype/forms"/>
  </ds:schemaRefs>
</ds:datastoreItem>
</file>

<file path=customXml/itemProps2.xml><?xml version="1.0" encoding="utf-8"?>
<ds:datastoreItem xmlns:ds="http://schemas.openxmlformats.org/officeDocument/2006/customXml" ds:itemID="{36F521E5-B379-4BEA-9ED2-B60362C496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a36c7b5-cb88-4a06-81a1-a1b3f01cfc59"/>
    <ds:schemaRef ds:uri="1ca1b023-5fcb-4542-8be9-aab2fbe2e3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E33BB6A3-E54A-4E2B-AE61-44758B8078ED}">
  <ds:schemaRefs>
    <ds:schemaRef ds:uri="http://schemas.microsoft.com/office/2006/metadata/properties"/>
    <ds:schemaRef ds:uri="http://schemas.microsoft.com/office/infopath/2007/PartnerControls"/>
    <ds:schemaRef ds:uri="8a36c7b5-cb88-4a06-81a1-a1b3f01cfc59"/>
    <ds:schemaRef ds:uri="1ca1b023-5fcb-4542-8be9-aab2fbe2e3d5"/>
  </ds:schemaRefs>
</ds:datastoreItem>
</file>

<file path=customXml/itemProps4.xml><?xml version="1.0" encoding="utf-8"?>
<ds:datastoreItem xmlns:ds="http://schemas.openxmlformats.org/officeDocument/2006/customXml" ds:itemID="{D57777B2-83F2-4011-936D-E4727D8041A6}">
  <ds:schemaRefs>
    <ds:schemaRef ds:uri="http://schemas.openxmlformats.org/officeDocument/2006/bibliography"/>
  </ds:schemaRefs>
</ds:datastoreItem>
</file>

<file path=customXml/itemProps5.xml><?xml version="1.0" encoding="utf-8"?>
<ds:datastoreItem xmlns:ds="http://schemas.openxmlformats.org/officeDocument/2006/customXml" ds:itemID="{B701F3FF-38E6-4076-A6BE-B846D45317E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866</Words>
  <Characters>5183</Characters>
  <Application>Microsoft Office Word</Application>
  <DocSecurity>4</DocSecurity>
  <Lines>304</Lines>
  <Paragraphs>94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5955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2024-06-04T13:13:00Z</dcterms:created>
  <dc:creator>lrvk</dc:creator>
  <lastModifiedBy>adlibuser</lastModifiedBy>
  <lastPrinted>2017-06-01T05:28:00Z</lastPrinted>
  <dcterms:modified xsi:type="dcterms:W3CDTF">2024-06-04T13:13:00Z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0x010100FB81340FF01DBE478931AE6FF6B6FA8D</vt:lpwstr>
  </property>
  <property fmtid="{D5CDD505-2E9C-101B-9397-08002B2CF9AE}" pid="3" name="MediaServiceImageTags">
    <vt:lpwstr/>
  </property>
</Properties>
</file>