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e8512efd99394c56910fd314cec6b9de"/>
        <w:lock w:val="sdtLocked"/>
        <w:richText/>
      </w:sdtPr>
      <w:sdtContent>
        <w:p>
          <w:pPr>
            <w:tabs>
              <w:tab w:val="center" w:pos="4153"/>
              <w:tab w:val="right" w:pos="8306"/>
            </w:tabs>
            <w:rPr>
              <w:lang w:eastAsia="lt-LT"/>
            </w:rPr>
          </w:pPr>
        </w:p>
        <w:p>
          <w:pPr>
            <w:jc w:val="center"/>
            <w:rPr>
              <w:b/>
              <w:color w:val="000000"/>
              <w:szCs w:val="24"/>
              <w:lang w:eastAsia="lt-LT"/>
            </w:rPr>
          </w:pPr>
          <w:r>
            <w:rPr>
              <w:b/>
              <w:color w:val="000000"/>
              <w:szCs w:val="24"/>
              <w:lang w:eastAsia="lt-LT"/>
            </w:rPr>
            <w:t>NUMATOMO TEISINIO REGULIAVIMO POVEIKIO VERTINIMO PAŽYMA</w:t>
          </w:r>
        </w:p>
        <w:p>
          <w:pPr>
            <w:rPr>
              <w:lang w:eastAsia="lt-LT"/>
            </w:rPr>
          </w:pPr>
        </w:p>
        <w:p>
          <w:pPr>
            <w:rPr>
              <w:lang w:eastAsia="lt-LT"/>
            </w:rPr>
          </w:pPr>
        </w:p>
        <w:tbl>
          <w:tblPr>
            <w:tblW w:w="9606" w:type="dxa"/>
            <w:tblLook w:val="00A0" w:firstRow="1" w:lastRow="0" w:firstColumn="1" w:lastColumn="0" w:noHBand="0" w:noVBand="0"/>
          </w:tblPr>
          <w:tblGrid>
            <w:gridCol w:w="2204"/>
            <w:gridCol w:w="7402"/>
          </w:tblGrid>
          <w:tr>
            <w:tc>
              <w:tcPr>
                <w:tcW w:w="2204" w:type="dxa"/>
                <w:shd w:val="clear" w:color="auto" w:fill="DBE5F1"/>
                <w:hideMark/>
              </w:tcPr>
              <w:p>
                <w:pPr>
                  <w:rPr>
                    <w:szCs w:val="24"/>
                    <w:shd w:val="clear" w:color="auto" w:fill="DBE5F1"/>
                    <w:lang w:eastAsia="lt-LT"/>
                  </w:rPr>
                </w:pPr>
                <w:r>
                  <w:rPr>
                    <w:b/>
                    <w:szCs w:val="24"/>
                    <w:shd w:val="clear" w:color="auto" w:fill="DBE5F1"/>
                    <w:lang w:eastAsia="lt-LT"/>
                  </w:rPr>
                  <w:t>Projekto pavadinimas</w:t>
                </w:r>
              </w:p>
            </w:tc>
            <w:tc>
              <w:tcPr>
                <w:tcW w:w="7402" w:type="dxa"/>
                <w:shd w:val="clear" w:color="auto" w:fill="DBE5F1"/>
              </w:tcPr>
              <w:p>
                <w:pPr>
                  <w:suppressAutoHyphens/>
                  <w:jc w:val="both"/>
                  <w:rPr>
                    <w:lang w:eastAsia="lt-LT"/>
                  </w:rPr>
                </w:pPr>
                <w:r>
                  <w:rPr>
                    <w:lang w:eastAsia="lt-LT"/>
                  </w:rPr>
                  <w:t>Lietuvos Respublikos aplinkos ministro įsakymo „Dėl Planuojamos ūkinės veiklos objekto patikrinimo prieš eksploatavimo pradžią tvarkos aprašo patvirtinimo“ projektas (toliau – Projektas)</w:t>
                </w:r>
              </w:p>
            </w:tc>
          </w:tr>
        </w:tbl>
        <w:p>
          <w:pPr>
            <w:rPr>
              <w:szCs w:val="24"/>
              <w:lang w:eastAsia="lt-LT"/>
            </w:rPr>
          </w:pPr>
        </w:p>
        <w:tbl>
          <w:tblPr>
            <w:tblW w:w="9606" w:type="dxa"/>
            <w:tblLook w:val="00A0" w:firstRow="1" w:lastRow="0" w:firstColumn="1" w:lastColumn="0" w:noHBand="0" w:noVBand="0"/>
          </w:tblPr>
          <w:tblGrid>
            <w:gridCol w:w="2191"/>
            <w:gridCol w:w="7415"/>
          </w:tblGrid>
          <w:tr>
            <w:tc>
              <w:tcPr>
                <w:tcW w:w="2191" w:type="dxa"/>
                <w:shd w:val="clear" w:color="auto" w:fill="DBE5F1"/>
                <w:hideMark/>
              </w:tcPr>
              <w:p>
                <w:pPr>
                  <w:rPr>
                    <w:szCs w:val="24"/>
                    <w:lang w:eastAsia="lt-LT"/>
                  </w:rPr>
                </w:pPr>
                <w:r>
                  <w:rPr>
                    <w:b/>
                    <w:szCs w:val="24"/>
                    <w:shd w:val="clear" w:color="auto" w:fill="DBE5F1"/>
                    <w:lang w:eastAsia="lt-LT"/>
                  </w:rPr>
                  <w:t>Projekto rengėjas</w:t>
                </w:r>
              </w:p>
            </w:tc>
            <w:tc>
              <w:tcPr>
                <w:tcW w:w="7415" w:type="dxa"/>
                <w:shd w:val="clear" w:color="auto" w:fill="DBE5F1"/>
                <w:hideMark/>
              </w:tcPr>
              <w:p>
                <w:pPr>
                  <w:jc w:val="both"/>
                  <w:rPr>
                    <w:b/>
                    <w:szCs w:val="24"/>
                    <w:lang w:eastAsia="lt-LT"/>
                  </w:rPr>
                </w:pPr>
                <w:r>
                  <w:rPr>
                    <w:szCs w:val="24"/>
                    <w:lang w:eastAsia="lt-LT"/>
                  </w:rPr>
                  <w:t>Lietuvos Respublikos aplinkos ministerijos Taršos prevencijos politikos grupė</w:t>
                </w:r>
              </w:p>
            </w:tc>
          </w:tr>
        </w:tbl>
        <w:p>
          <w:pPr>
            <w:rPr>
              <w:szCs w:val="24"/>
              <w:lang w:eastAsia="lt-LT"/>
            </w:rPr>
          </w:pPr>
        </w:p>
        <w:tbl>
          <w:tblPr>
            <w:tblW w:w="9606" w:type="dxa"/>
            <w:tblLook w:val="00A0" w:firstRow="1" w:lastRow="0" w:firstColumn="1" w:lastColumn="0" w:noHBand="0" w:noVBand="0"/>
          </w:tblPr>
          <w:tblGrid>
            <w:gridCol w:w="2189"/>
            <w:gridCol w:w="7417"/>
          </w:tblGrid>
          <w:tr>
            <w:tc>
              <w:tcPr>
                <w:tcW w:w="2189" w:type="dxa"/>
                <w:shd w:val="clear" w:color="auto" w:fill="DBE5F1"/>
                <w:hideMark/>
              </w:tcPr>
              <w:p>
                <w:pPr>
                  <w:rPr>
                    <w:b/>
                    <w:szCs w:val="24"/>
                    <w:lang w:eastAsia="lt-LT"/>
                  </w:rPr>
                </w:pPr>
                <w:r>
                  <w:rPr>
                    <w:b/>
                    <w:szCs w:val="24"/>
                    <w:lang w:eastAsia="lt-LT"/>
                  </w:rPr>
                  <w:t>Projekto tikslas</w:t>
                </w:r>
              </w:p>
            </w:tc>
            <w:tc>
              <w:tcPr>
                <w:tcW w:w="7417" w:type="dxa"/>
                <w:shd w:val="clear" w:color="auto" w:fill="DBE5F1"/>
                <w:hideMark/>
              </w:tcPr>
              <w:p>
                <w:pPr>
                  <w:jc w:val="both"/>
                  <w:rPr>
                    <w:szCs w:val="24"/>
                    <w:lang w:eastAsia="lt-LT"/>
                  </w:rPr>
                </w:pPr>
                <w:r>
                  <w:rPr>
                    <w:lang w:eastAsia="lt-LT"/>
                  </w:rPr>
                  <w:t>Įgyvendinti Lietuvos Respublikos aplinkos apsaugos įstatymo (toliau – AAĮ) 19 straipsnio 1 dalies nuostatą, kad aplinkos ministro įgaliota institucija prieš fiziniam ar juridiniam asmeniui pradedant eksploatuoti ūkinės veiklos objektą ir vykdyti ūkinę veiklą aplinkos ministro nustatyta tvarka turi patikrinti, ar ūkinės veiklos objekte įgyvendintos taršos integruotos prevencijos ir kontrolės leidime (toliau – TIPK leidimas) arba taršos leidime nurodytos sąlygos, kurios privalo būti įgyvendintos iki ūkinės veiklos vykdymo pradžios</w:t>
                </w:r>
                <w:r>
                  <w:rPr>
                    <w:bCs/>
                    <w:color w:val="000000"/>
                    <w:lang w:eastAsia="lt-LT"/>
                  </w:rPr>
                  <w:t>.</w:t>
                </w:r>
                <w:r>
                  <w:rPr>
                    <w:lang w:eastAsia="lt-LT"/>
                  </w:rPr>
                  <w:t xml:space="preserve"> </w:t>
                </w:r>
              </w:p>
            </w:tc>
          </w:tr>
        </w:tbl>
        <w:p>
          <w:pPr>
            <w:rPr>
              <w:szCs w:val="24"/>
              <w:lang w:eastAsia="lt-LT"/>
            </w:rPr>
          </w:pPr>
        </w:p>
        <w:tbl>
          <w:tblPr>
            <w:tblW w:w="9606" w:type="dxa"/>
            <w:tblLook w:val="00A0" w:firstRow="1" w:lastRow="0" w:firstColumn="1" w:lastColumn="0" w:noHBand="0" w:noVBand="0"/>
          </w:tblPr>
          <w:tblGrid>
            <w:gridCol w:w="2164"/>
            <w:gridCol w:w="7442"/>
          </w:tblGrid>
          <w:tr>
            <w:trPr>
              <w:trHeight w:val="415"/>
            </w:trPr>
            <w:tc>
              <w:tcPr>
                <w:tcW w:w="2164" w:type="dxa"/>
                <w:shd w:val="clear" w:color="auto" w:fill="DBE5F1"/>
              </w:tcPr>
              <w:p>
                <w:pPr>
                  <w:rPr>
                    <w:szCs w:val="24"/>
                    <w:lang w:eastAsia="lt-LT"/>
                  </w:rPr>
                </w:pPr>
              </w:p>
            </w:tc>
            <w:tc>
              <w:tcPr>
                <w:tcW w:w="7442" w:type="dxa"/>
                <w:shd w:val="clear" w:color="auto" w:fill="DBE5F1"/>
                <w:hideMark/>
              </w:tcPr>
              <w:p>
                <w:pPr>
                  <w:jc w:val="center"/>
                  <w:rPr>
                    <w:b/>
                    <w:szCs w:val="24"/>
                    <w:lang w:eastAsia="lt-LT"/>
                  </w:rPr>
                </w:pPr>
                <w:r>
                  <w:rPr>
                    <w:b/>
                    <w:szCs w:val="24"/>
                    <w:lang w:eastAsia="lt-LT"/>
                  </w:rPr>
                  <w:t xml:space="preserve">Siūlomo projekto poveikio įvertinimas </w:t>
                </w:r>
              </w:p>
              <w:p>
                <w:pPr>
                  <w:jc w:val="center"/>
                  <w:rPr>
                    <w:b/>
                    <w:szCs w:val="24"/>
                    <w:lang w:eastAsia="lt-LT"/>
                  </w:rPr>
                </w:pPr>
                <w:r>
                  <w:rPr>
                    <w:b/>
                    <w:szCs w:val="24"/>
                    <w:lang w:eastAsia="lt-LT"/>
                  </w:rPr>
                  <w:t>(</w:t>
                </w:r>
                <w:r>
                  <w:rPr>
                    <w:b/>
                    <w:bCs/>
                    <w:szCs w:val="24"/>
                    <w:lang w:eastAsia="lt-LT"/>
                  </w:rPr>
                  <w:t>teigiamos ir (ar) neigiamos pasekmės)</w:t>
                </w:r>
              </w:p>
            </w:tc>
          </w:tr>
        </w:tbl>
        <w:p>
          <w:pPr>
            <w:rPr>
              <w:szCs w:val="24"/>
              <w:lang w:eastAsia="lt-LT"/>
            </w:rPr>
          </w:pPr>
        </w:p>
        <w:tbl>
          <w:tblPr>
            <w:tblW w:w="9606" w:type="dxa"/>
            <w:tblLook w:val="00A0" w:firstRow="1" w:lastRow="0" w:firstColumn="1" w:lastColumn="0" w:noHBand="0" w:noVBand="0"/>
          </w:tblPr>
          <w:tblGrid>
            <w:gridCol w:w="2210"/>
            <w:gridCol w:w="25"/>
            <w:gridCol w:w="7371"/>
          </w:tblGrid>
          <w:tr>
            <w:tc>
              <w:tcPr>
                <w:tcW w:w="2235" w:type="dxa"/>
                <w:gridSpan w:val="2"/>
                <w:shd w:val="clear" w:color="auto" w:fill="DBE5F1"/>
              </w:tcPr>
              <w:p>
                <w:pPr>
                  <w:rPr>
                    <w:b/>
                    <w:szCs w:val="24"/>
                    <w:lang w:eastAsia="lt-LT"/>
                  </w:rPr>
                </w:pPr>
                <w:r>
                  <w:rPr>
                    <w:b/>
                    <w:szCs w:val="24"/>
                    <w:lang w:eastAsia="lt-LT"/>
                  </w:rPr>
                  <w:t>Poveikis teisinei sistemai</w:t>
                </w:r>
              </w:p>
              <w:p>
                <w:pPr>
                  <w:rPr>
                    <w:b/>
                    <w:szCs w:val="24"/>
                    <w:lang w:eastAsia="lt-LT"/>
                  </w:rPr>
                </w:pPr>
              </w:p>
            </w:tc>
            <w:tc>
              <w:tcPr>
                <w:tcW w:w="7371" w:type="dxa"/>
              </w:tcPr>
              <w:p>
                <w:pPr>
                  <w:jc w:val="both"/>
                  <w:rPr>
                    <w:rFonts w:eastAsia="Andale Sans UI"/>
                    <w:color w:val="002060"/>
                    <w:szCs w:val="24"/>
                  </w:rPr>
                </w:pPr>
                <w:r>
                  <w:rPr>
                    <w:rFonts w:eastAsia="Andale Sans UI"/>
                    <w:color w:val="002060"/>
                    <w:szCs w:val="24"/>
                  </w:rPr>
                  <w:t>Poveikis teisinei sistemai teigiamas. Projektų nustatoma aiški AAĮ 19 straipsnio 1 dalies nuostatos įgyvendinimo procedūra, leisianti tinkamai įgyvendinti šią įstatymo nuostatą.</w:t>
                </w:r>
              </w:p>
              <w:p>
                <w:pPr>
                  <w:jc w:val="both"/>
                  <w:rPr>
                    <w:color w:val="002060"/>
                    <w:szCs w:val="24"/>
                    <w:lang w:eastAsia="lt-LT"/>
                  </w:rPr>
                </w:pPr>
              </w:p>
            </w:tc>
          </w:tr>
          <w:tr>
            <w:tc>
              <w:tcPr>
                <w:tcW w:w="2235" w:type="dxa"/>
                <w:gridSpan w:val="2"/>
                <w:shd w:val="clear" w:color="auto" w:fill="DBE5F1"/>
                <w:hideMark/>
              </w:tcPr>
              <w:p>
                <w:pPr>
                  <w:rPr>
                    <w:b/>
                    <w:szCs w:val="24"/>
                    <w:lang w:eastAsia="lt-LT"/>
                  </w:rPr>
                </w:pPr>
                <w:r>
                  <w:rPr>
                    <w:b/>
                    <w:szCs w:val="24"/>
                    <w:lang w:eastAsia="lt-LT"/>
                  </w:rPr>
                  <w:t>Poveikis ekonomikai</w:t>
                </w:r>
              </w:p>
              <w:p>
                <w:pPr>
                  <w:rPr>
                    <w:b/>
                    <w:szCs w:val="24"/>
                    <w:lang w:eastAsia="lt-LT"/>
                  </w:rPr>
                </w:pPr>
                <w:r>
                  <w:rPr>
                    <w:b/>
                    <w:szCs w:val="24"/>
                    <w:lang w:eastAsia="lt-LT"/>
                  </w:rPr>
                  <w:t>Poveikis valstybės finansams</w:t>
                </w:r>
              </w:p>
            </w:tc>
            <w:tc>
              <w:tcPr>
                <w:tcW w:w="7371" w:type="dxa"/>
                <w:hideMark/>
              </w:tcPr>
              <w:p>
                <w:pPr>
                  <w:jc w:val="both"/>
                  <w:rPr>
                    <w:rFonts w:eastAsia="Calibri"/>
                    <w:color w:val="002060"/>
                    <w:szCs w:val="24"/>
                  </w:rPr>
                </w:pPr>
                <w:r>
                  <w:rPr>
                    <w:rFonts w:eastAsia="Calibri"/>
                    <w:color w:val="002060"/>
                    <w:szCs w:val="24"/>
                  </w:rPr>
                  <w:t xml:space="preserve">Poveikio </w:t>
                </w:r>
                <w:r>
                  <w:rPr>
                    <w:color w:val="1F497D"/>
                    <w:szCs w:val="24"/>
                    <w:lang w:eastAsia="lt-LT"/>
                  </w:rPr>
                  <w:t>ekonomikai</w:t>
                </w:r>
                <w:r>
                  <w:rPr>
                    <w:rFonts w:eastAsia="Calibri"/>
                    <w:color w:val="1F497D"/>
                    <w:szCs w:val="24"/>
                  </w:rPr>
                  <w:t xml:space="preserve"> </w:t>
                </w:r>
                <w:r>
                  <w:rPr>
                    <w:rFonts w:eastAsia="Calibri"/>
                    <w:color w:val="002060"/>
                    <w:szCs w:val="24"/>
                  </w:rPr>
                  <w:t xml:space="preserve">nebus. </w:t>
                </w:r>
              </w:p>
              <w:p>
                <w:pPr>
                  <w:jc w:val="both"/>
                  <w:rPr>
                    <w:rFonts w:eastAsia="Calibri"/>
                    <w:color w:val="002060"/>
                    <w:szCs w:val="24"/>
                  </w:rPr>
                </w:pPr>
              </w:p>
              <w:p>
                <w:pPr>
                  <w:jc w:val="both"/>
                  <w:rPr>
                    <w:color w:val="002060"/>
                    <w:szCs w:val="24"/>
                    <w:lang w:eastAsia="lt-LT"/>
                  </w:rPr>
                </w:pPr>
                <w:r>
                  <w:rPr>
                    <w:rFonts w:eastAsia="Calibri"/>
                    <w:color w:val="002060"/>
                    <w:szCs w:val="24"/>
                  </w:rPr>
                  <w:t>Poveikio valstybės finansams nebus.</w:t>
                </w:r>
              </w:p>
              <w:p>
                <w:pPr>
                  <w:jc w:val="both"/>
                  <w:rPr>
                    <w:color w:val="002060"/>
                    <w:szCs w:val="24"/>
                    <w:lang w:eastAsia="lt-LT"/>
                  </w:rPr>
                </w:pPr>
              </w:p>
            </w:tc>
          </w:tr>
          <w:tr>
            <w:tc>
              <w:tcPr>
                <w:tcW w:w="2235" w:type="dxa"/>
                <w:gridSpan w:val="2"/>
                <w:shd w:val="clear" w:color="auto" w:fill="DBE5F1"/>
              </w:tcPr>
              <w:p>
                <w:pPr>
                  <w:rPr>
                    <w:b/>
                    <w:szCs w:val="24"/>
                    <w:lang w:eastAsia="lt-LT"/>
                  </w:rPr>
                </w:pPr>
                <w:r>
                  <w:rPr>
                    <w:rFonts w:eastAsia="Calibri"/>
                    <w:b/>
                    <w:szCs w:val="24"/>
                  </w:rPr>
                  <w:t>Poveikis verslo sąlygoms</w:t>
                </w:r>
              </w:p>
            </w:tc>
            <w:tc>
              <w:tcPr>
                <w:tcW w:w="7371" w:type="dxa"/>
              </w:tcPr>
              <w:p>
                <w:pPr>
                  <w:jc w:val="both"/>
                  <w:rPr>
                    <w:rFonts w:eastAsia="Calibri"/>
                    <w:color w:val="1F497D"/>
                    <w:szCs w:val="24"/>
                  </w:rPr>
                </w:pPr>
                <w:r>
                  <w:rPr>
                    <w:rFonts w:eastAsia="Calibri"/>
                    <w:color w:val="1F497D"/>
                    <w:szCs w:val="24"/>
                  </w:rPr>
                  <w:t>Poveikis verslo sąlygoms teigiamas: veiklos vykdytojai, prieš pradėdami ūkinę veiklą pagal išduotą TIPK arba taršos leidimą, turės galimybę kartu su leidimus išduodančios ir valstybinę aplinkos apsaugos kontrolę vykdančios institucijų atstovais pasitikrinti, ar tinkamai pasirengta vykdyti ūkinę veiklą, nustačius neatitikimų – ištaisyti juos dar iki veiklos vykdymo pradžios, bus skatinamas verslo subjektų sąmoningumas ir atsakingumas rengiantis ūkinės veiklos pradžiai.</w:t>
                </w:r>
              </w:p>
              <w:p>
                <w:pPr>
                  <w:ind w:firstLine="62"/>
                  <w:jc w:val="both"/>
                  <w:rPr>
                    <w:rFonts w:eastAsia="Calibri"/>
                    <w:color w:val="1F497D"/>
                    <w:szCs w:val="24"/>
                  </w:rPr>
                </w:pPr>
              </w:p>
            </w:tc>
          </w:tr>
          <w:tr>
            <w:tc>
              <w:tcPr>
                <w:tcW w:w="2235" w:type="dxa"/>
                <w:gridSpan w:val="2"/>
                <w:shd w:val="clear" w:color="auto" w:fill="DBE5F1"/>
              </w:tcPr>
              <w:p>
                <w:pPr>
                  <w:rPr>
                    <w:b/>
                    <w:szCs w:val="24"/>
                    <w:lang w:eastAsia="lt-LT"/>
                  </w:rPr>
                </w:pPr>
                <w:r>
                  <w:rPr>
                    <w:b/>
                    <w:szCs w:val="24"/>
                    <w:lang w:eastAsia="lt-LT"/>
                  </w:rPr>
                  <w:t>Poveikis socialinei aplinkai</w:t>
                </w:r>
              </w:p>
              <w:p>
                <w:pPr>
                  <w:rPr>
                    <w:b/>
                    <w:szCs w:val="24"/>
                    <w:lang w:eastAsia="lt-LT"/>
                  </w:rPr>
                </w:pPr>
              </w:p>
              <w:p>
                <w:pPr>
                  <w:rPr>
                    <w:b/>
                    <w:szCs w:val="24"/>
                    <w:lang w:eastAsia="lt-LT"/>
                  </w:rPr>
                </w:pPr>
              </w:p>
              <w:p>
                <w:pPr>
                  <w:rPr>
                    <w:b/>
                    <w:szCs w:val="24"/>
                    <w:lang w:eastAsia="lt-LT"/>
                  </w:rPr>
                </w:pPr>
              </w:p>
              <w:p>
                <w:pPr>
                  <w:rPr>
                    <w:b/>
                    <w:szCs w:val="24"/>
                    <w:lang w:eastAsia="lt-LT"/>
                  </w:rPr>
                </w:pPr>
                <w:r>
                  <w:rPr>
                    <w:b/>
                    <w:szCs w:val="24"/>
                    <w:lang w:eastAsia="lt-LT"/>
                  </w:rPr>
                  <w:t>Poveikis administracinei naštai</w:t>
                </w:r>
              </w:p>
              <w:p>
                <w:pPr>
                  <w:rPr>
                    <w:b/>
                    <w:szCs w:val="24"/>
                    <w:lang w:eastAsia="lt-LT"/>
                  </w:rPr>
                </w:pPr>
              </w:p>
            </w:tc>
            <w:tc>
              <w:tcPr>
                <w:tcW w:w="7371" w:type="dxa"/>
              </w:tcPr>
              <w:p>
                <w:pPr>
                  <w:jc w:val="both"/>
                  <w:rPr>
                    <w:rFonts w:eastAsia="Calibri"/>
                    <w:color w:val="002060"/>
                    <w:szCs w:val="24"/>
                  </w:rPr>
                </w:pPr>
                <w:r>
                  <w:rPr>
                    <w:rFonts w:eastAsia="Calibri"/>
                    <w:color w:val="002060"/>
                    <w:szCs w:val="24"/>
                  </w:rPr>
                  <w:t>Poveikis socialinei aplinkai teigiamas: užtikrinus aplinkosauginių reikalavimų atitikties patikrinimą prieš ūkinės veiklos objekto pradžią, bus užtikinama efektyvesnė taršos prevenciją, todėl sumažės neigiamas poveikis visuomenės sveikatai, didės visuomenės pasitenkinimas aplinkos būkle.</w:t>
                </w:r>
              </w:p>
              <w:p>
                <w:pPr>
                  <w:jc w:val="both"/>
                  <w:rPr>
                    <w:rFonts w:eastAsia="Calibri"/>
                    <w:color w:val="002060"/>
                    <w:szCs w:val="24"/>
                  </w:rPr>
                </w:pPr>
              </w:p>
              <w:p>
                <w:pPr>
                  <w:jc w:val="both"/>
                  <w:rPr>
                    <w:rFonts w:eastAsia="Calibri"/>
                    <w:color w:val="002060"/>
                    <w:szCs w:val="24"/>
                  </w:rPr>
                </w:pPr>
                <w:r>
                  <w:rPr>
                    <w:rFonts w:eastAsia="Calibri"/>
                    <w:color w:val="002060"/>
                    <w:szCs w:val="24"/>
                  </w:rPr>
                  <w:t xml:space="preserve">Administracinė našta verslui keisis nežymiai: Ūkio subjektai privalės pateikti reikalaujamus dokumentus ir nustatytus kriterijus atitinkančiais atvejais sudaryti galimybę Aplinkos apsaugos agentūros ir kitų dalyvaujančių institucijų atstovams atlikti vizualinį patikrinimą ūkinės veiklos objekto teritorijoje . </w:t>
                </w:r>
              </w:p>
              <w:p>
                <w:pPr>
                  <w:jc w:val="both"/>
                  <w:rPr>
                    <w:rFonts w:eastAsia="Calibri"/>
                    <w:color w:val="002060"/>
                    <w:szCs w:val="24"/>
                  </w:rPr>
                </w:pPr>
                <w:r>
                  <w:rPr>
                    <w:rFonts w:eastAsia="Calibri"/>
                    <w:color w:val="002060"/>
                    <w:szCs w:val="24"/>
                  </w:rPr>
                  <w:t>Didės administracinė našta Aplinkos apsaugos agentūrai ir kitoms patikrinime dalyvaujančioms institucijoms. Bus reikalingi papildomi žmogiškieji ir materialiniai ištekliai.</w:t>
                </w:r>
              </w:p>
              <w:p>
                <w:pPr>
                  <w:jc w:val="both"/>
                  <w:rPr>
                    <w:rFonts w:eastAsia="Calibri"/>
                    <w:color w:val="002060"/>
                    <w:szCs w:val="24"/>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210" w:type="dxa"/>
                <w:tcBorders>
                  <w:top w:val="nil"/>
                  <w:left w:val="nil"/>
                  <w:bottom w:val="nil"/>
                  <w:right w:val="nil"/>
                </w:tcBorders>
                <w:shd w:val="clear" w:color="auto" w:fill="DBE5F1"/>
              </w:tcPr>
              <w:p>
                <w:pPr>
                  <w:shd w:val="clear" w:color="auto" w:fill="DBE5F1"/>
                  <w:rPr>
                    <w:b/>
                    <w:szCs w:val="24"/>
                    <w:lang w:eastAsia="lt-LT"/>
                  </w:rPr>
                </w:pPr>
                <w:r>
                  <w:rPr>
                    <w:b/>
                    <w:szCs w:val="24"/>
                    <w:lang w:eastAsia="lt-LT"/>
                  </w:rPr>
                  <w:t>Poveikis viešojo valdymo sistemai</w:t>
                </w:r>
              </w:p>
              <w:p>
                <w:pPr>
                  <w:shd w:val="clear" w:color="auto" w:fill="DBE5F1"/>
                  <w:rPr>
                    <w:b/>
                    <w:szCs w:val="24"/>
                    <w:lang w:eastAsia="lt-LT"/>
                  </w:rPr>
                </w:pPr>
              </w:p>
              <w:p>
                <w:pPr>
                  <w:shd w:val="clear" w:color="auto" w:fill="DBE5F1"/>
                  <w:rPr>
                    <w:b/>
                    <w:szCs w:val="24"/>
                    <w:lang w:eastAsia="lt-LT"/>
                  </w:rPr>
                </w:pPr>
              </w:p>
              <w:p>
                <w:pPr>
                  <w:shd w:val="clear" w:color="auto" w:fill="DBE5F1"/>
                  <w:rPr>
                    <w:b/>
                    <w:szCs w:val="24"/>
                    <w:lang w:eastAsia="lt-LT"/>
                  </w:rPr>
                </w:pPr>
              </w:p>
              <w:p>
                <w:pPr>
                  <w:shd w:val="clear" w:color="auto" w:fill="DBE5F1"/>
                  <w:rPr>
                    <w:b/>
                    <w:szCs w:val="24"/>
                    <w:lang w:eastAsia="lt-LT"/>
                  </w:rPr>
                </w:pPr>
              </w:p>
              <w:p>
                <w:pPr>
                  <w:shd w:val="clear" w:color="auto" w:fill="DBE5F1"/>
                  <w:rPr>
                    <w:b/>
                    <w:szCs w:val="24"/>
                    <w:lang w:eastAsia="lt-LT"/>
                  </w:rPr>
                </w:pPr>
              </w:p>
              <w:p>
                <w:pPr>
                  <w:shd w:val="clear" w:color="auto" w:fill="DBE5F1"/>
                  <w:rPr>
                    <w:b/>
                    <w:szCs w:val="24"/>
                    <w:lang w:eastAsia="lt-LT"/>
                  </w:rPr>
                </w:pPr>
              </w:p>
              <w:p>
                <w:pPr>
                  <w:shd w:val="clear" w:color="auto" w:fill="DBE5F1"/>
                  <w:rPr>
                    <w:b/>
                    <w:szCs w:val="24"/>
                    <w:lang w:eastAsia="lt-LT"/>
                  </w:rPr>
                </w:pPr>
                <w:r>
                  <w:rPr>
                    <w:b/>
                    <w:szCs w:val="24"/>
                    <w:lang w:eastAsia="lt-LT"/>
                  </w:rPr>
                  <w:t>Poveikis aplinkai</w:t>
                </w:r>
              </w:p>
              <w:p>
                <w:pPr>
                  <w:shd w:val="clear" w:color="auto" w:fill="DBE5F1"/>
                  <w:rPr>
                    <w:b/>
                    <w:szCs w:val="24"/>
                    <w:lang w:eastAsia="lt-LT"/>
                  </w:rPr>
                </w:pPr>
              </w:p>
              <w:p>
                <w:pPr>
                  <w:shd w:val="clear" w:color="auto" w:fill="DBE5F1"/>
                  <w:rPr>
                    <w:b/>
                    <w:szCs w:val="24"/>
                    <w:lang w:eastAsia="lt-LT"/>
                  </w:rPr>
                </w:pPr>
              </w:p>
              <w:p>
                <w:pPr>
                  <w:shd w:val="clear" w:color="auto" w:fill="DBE5F1"/>
                  <w:rPr>
                    <w:b/>
                    <w:szCs w:val="24"/>
                    <w:lang w:eastAsia="lt-LT"/>
                  </w:rPr>
                </w:pPr>
              </w:p>
              <w:p>
                <w:pPr>
                  <w:shd w:val="clear" w:color="auto" w:fill="DBE5F1"/>
                  <w:rPr>
                    <w:b/>
                    <w:szCs w:val="24"/>
                    <w:lang w:eastAsia="lt-LT"/>
                  </w:rPr>
                </w:pPr>
                <w:r>
                  <w:rPr>
                    <w:b/>
                    <w:szCs w:val="24"/>
                    <w:lang w:eastAsia="lt-LT"/>
                  </w:rPr>
                  <w:t>Poveikis klimato kaitai</w:t>
                </w:r>
              </w:p>
            </w:tc>
            <w:tc>
              <w:tcPr>
                <w:tcW w:w="7396" w:type="dxa"/>
                <w:gridSpan w:val="2"/>
                <w:tcBorders>
                  <w:top w:val="nil"/>
                  <w:left w:val="nil"/>
                  <w:bottom w:val="nil"/>
                  <w:right w:val="nil"/>
                </w:tcBorders>
                <w:hideMark/>
              </w:tcPr>
              <w:p>
                <w:pPr>
                  <w:jc w:val="both"/>
                  <w:rPr>
                    <w:color w:val="002060"/>
                    <w:szCs w:val="24"/>
                    <w:lang w:eastAsia="lt-LT"/>
                  </w:rPr>
                </w:pPr>
                <w:r>
                  <w:rPr>
                    <w:color w:val="002060"/>
                    <w:szCs w:val="24"/>
                    <w:lang w:eastAsia="lt-LT"/>
                  </w:rPr>
                  <w:t>Poveikis viešojo valdymo sistemai teigiamas: Aplinkos apsaugos agentūros specialistai, atliekantys projekte nurodytą patikrinimą, galės užtikrinti nuoseklų PAV ir atrankos dėl PAV procesų metu priimtų sprendinių perkėlimą į TIPK ar taršos leidimų sąlygas ir šių sąlygų, kurios privalo būti įgyvendintos iki ūkinės veiklos vykdymo pradžios, įgyvendinimą, tuo pačiu bus užtikrinamas šių specialistų kvalifikacijos kilimas.</w:t>
                </w:r>
              </w:p>
              <w:p>
                <w:pPr>
                  <w:jc w:val="both"/>
                  <w:rPr>
                    <w:color w:val="002060"/>
                    <w:szCs w:val="24"/>
                    <w:lang w:eastAsia="lt-LT"/>
                  </w:rPr>
                </w:pPr>
              </w:p>
              <w:p>
                <w:pPr>
                  <w:jc w:val="both"/>
                  <w:rPr>
                    <w:color w:val="002060"/>
                    <w:szCs w:val="24"/>
                    <w:lang w:eastAsia="lt-LT"/>
                  </w:rPr>
                </w:pPr>
                <w:r>
                  <w:rPr>
                    <w:color w:val="002060"/>
                    <w:szCs w:val="24"/>
                    <w:lang w:eastAsia="lt-LT"/>
                  </w:rPr>
                  <w:t xml:space="preserve">Poveikio aplinkai </w:t>
                </w:r>
                <w:r>
                  <w:rPr>
                    <w:rFonts w:eastAsia="Andale Sans UI"/>
                    <w:color w:val="002060"/>
                    <w:szCs w:val="24"/>
                  </w:rPr>
                  <w:t>teigiamas: bus tinkamiau įgyvendinami PAV ir atrankos dėl PAV procesų metu priimti sprendiniai, užtikrinamas leidimų sąlygų įgyvendinimas, sudarytos sąlygos kokybiškiau vykdyti leidimų sąlygų laikymosi kontrolę.</w:t>
                </w:r>
              </w:p>
              <w:p>
                <w:pPr>
                  <w:jc w:val="both"/>
                  <w:rPr>
                    <w:color w:val="002060"/>
                    <w:szCs w:val="24"/>
                    <w:lang w:eastAsia="lt-LT"/>
                  </w:rPr>
                </w:pPr>
              </w:p>
              <w:p>
                <w:pPr>
                  <w:jc w:val="both"/>
                  <w:rPr>
                    <w:color w:val="002060"/>
                    <w:szCs w:val="24"/>
                    <w:lang w:eastAsia="lt-LT"/>
                  </w:rPr>
                </w:pPr>
                <w:r>
                  <w:rPr>
                    <w:color w:val="002060"/>
                    <w:szCs w:val="24"/>
                    <w:lang w:eastAsia="lt-LT"/>
                  </w:rPr>
                  <w:t>Poveikio klimato kaitai nebus.</w:t>
                </w:r>
              </w:p>
            </w:tc>
          </w:tr>
        </w:tbl>
        <w:p>
          <w:pPr>
            <w:jc w:val="both"/>
            <w:rPr>
              <w:szCs w:val="24"/>
              <w:lang w:eastAsia="lt-LT"/>
            </w:rPr>
          </w:pPr>
        </w:p>
        <w:p>
          <w:pPr>
            <w:jc w:val="both"/>
            <w:rPr>
              <w:szCs w:val="24"/>
              <w:lang w:eastAsia="lt-LT"/>
            </w:rPr>
          </w:pPr>
        </w:p>
        <w:sdt>
          <w:sdtPr>
            <w:alias w:val="lentele"/>
            <w:tag w:val="part_477191b1daf2447eb98735f6196b00aa"/>
            <w:lock w:val="sdtLocked"/>
            <w:richText/>
          </w:sdtPr>
          <w:sdtContent>
            <w:p>
              <w:pPr>
                <w:jc w:val="both"/>
                <w:rPr>
                  <w:b/>
                  <w:szCs w:val="24"/>
                </w:rPr>
              </w:pPr>
              <w:sdt>
                <w:sdtPr>
                  <w:alias w:val="Pavadinimas"/>
                  <w:tag w:val="title_477191b1daf2447eb98735f6196b00aa"/>
                  <w:lock w:val="sdtLocked"/>
                  <w:richText/>
                </w:sdtPr>
                <w:sdtContent>
                  <w:r>
                    <w:rPr>
                      <w:b/>
                      <w:szCs w:val="24"/>
                    </w:rPr>
                    <w:t>Informacija apie asmenį ir instituciją, atsakingą už poveikio vertinimą</w:t>
                  </w:r>
                </w:sdtContent>
              </w:sdt>
            </w:p>
            <w:tbl>
              <w:tblPr>
                <w:tblW w:w="517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70"/>
                <w:gridCol w:w="6936"/>
              </w:tblGrid>
              <w:tr>
                <w:tc>
                  <w:tcPr>
                    <w:tcW w:w="1390" w:type="pct"/>
                    <w:tcBorders>
                      <w:top w:val="single" w:sz="4" w:space="0" w:color="auto"/>
                      <w:left w:val="single" w:sz="4" w:space="0" w:color="auto"/>
                      <w:bottom w:val="single" w:sz="4" w:space="0" w:color="auto"/>
                      <w:right w:val="single" w:sz="4" w:space="0" w:color="auto"/>
                    </w:tcBorders>
                    <w:tcMar>
                      <w:top w:w="28" w:type="dxa"/>
                      <w:bottom w:w="28" w:type="dxa"/>
                    </w:tcMar>
                    <w:hideMark/>
                  </w:tcPr>
                  <w:p>
                    <w:pPr>
                      <w:rPr>
                        <w:szCs w:val="24"/>
                      </w:rPr>
                    </w:pPr>
                    <w:r>
                      <w:rPr>
                        <w:szCs w:val="24"/>
                      </w:rPr>
                      <w:t>Vardas ir pavardė</w:t>
                    </w:r>
                  </w:p>
                </w:tc>
                <w:tc>
                  <w:tcPr>
                    <w:tcW w:w="3610" w:type="pct"/>
                    <w:tcBorders>
                      <w:top w:val="single" w:sz="4" w:space="0" w:color="auto"/>
                      <w:left w:val="single" w:sz="4" w:space="0" w:color="auto"/>
                      <w:bottom w:val="single" w:sz="4" w:space="0" w:color="auto"/>
                      <w:right w:val="single" w:sz="4" w:space="0" w:color="auto"/>
                    </w:tcBorders>
                    <w:tcMar>
                      <w:top w:w="28" w:type="dxa"/>
                      <w:bottom w:w="28" w:type="dxa"/>
                    </w:tcMar>
                  </w:tcPr>
                  <w:p>
                    <w:pPr>
                      <w:rPr>
                        <w:szCs w:val="24"/>
                      </w:rPr>
                    </w:pPr>
                    <w:r>
                      <w:t>Dalia Židonytė</w:t>
                    </w:r>
                  </w:p>
                </w:tc>
              </w:tr>
              <w:tr>
                <w:tc>
                  <w:tcPr>
                    <w:tcW w:w="1390" w:type="pct"/>
                    <w:tcBorders>
                      <w:top w:val="single" w:sz="4" w:space="0" w:color="auto"/>
                      <w:left w:val="single" w:sz="4" w:space="0" w:color="auto"/>
                      <w:bottom w:val="single" w:sz="4" w:space="0" w:color="auto"/>
                      <w:right w:val="single" w:sz="4" w:space="0" w:color="auto"/>
                    </w:tcBorders>
                    <w:tcMar>
                      <w:top w:w="28" w:type="dxa"/>
                      <w:bottom w:w="28" w:type="dxa"/>
                    </w:tcMar>
                    <w:hideMark/>
                  </w:tcPr>
                  <w:p>
                    <w:pPr>
                      <w:rPr>
                        <w:b/>
                        <w:szCs w:val="24"/>
                      </w:rPr>
                    </w:pPr>
                    <w:r>
                      <w:rPr>
                        <w:szCs w:val="24"/>
                      </w:rPr>
                      <w:t>Pareigos</w:t>
                    </w:r>
                  </w:p>
                </w:tc>
                <w:tc>
                  <w:tcPr>
                    <w:tcW w:w="3610" w:type="pct"/>
                    <w:tcBorders>
                      <w:top w:val="single" w:sz="4" w:space="0" w:color="auto"/>
                      <w:left w:val="single" w:sz="4" w:space="0" w:color="auto"/>
                      <w:bottom w:val="single" w:sz="4" w:space="0" w:color="auto"/>
                      <w:right w:val="single" w:sz="4" w:space="0" w:color="auto"/>
                    </w:tcBorders>
                    <w:tcMar>
                      <w:top w:w="28" w:type="dxa"/>
                      <w:bottom w:w="28" w:type="dxa"/>
                    </w:tcMar>
                  </w:tcPr>
                  <w:p>
                    <w:pPr>
                      <w:jc w:val="both"/>
                      <w:rPr>
                        <w:szCs w:val="24"/>
                      </w:rPr>
                    </w:pPr>
                    <w:r>
                      <w:rPr>
                        <w:szCs w:val="24"/>
                      </w:rPr>
                      <w:t>Vyriausioji specialistė</w:t>
                    </w:r>
                  </w:p>
                </w:tc>
              </w:tr>
              <w:tr>
                <w:tc>
                  <w:tcPr>
                    <w:tcW w:w="1390" w:type="pct"/>
                    <w:tcBorders>
                      <w:top w:val="single" w:sz="4" w:space="0" w:color="auto"/>
                      <w:left w:val="single" w:sz="4" w:space="0" w:color="auto"/>
                      <w:bottom w:val="single" w:sz="4" w:space="0" w:color="auto"/>
                      <w:right w:val="single" w:sz="4" w:space="0" w:color="auto"/>
                    </w:tcBorders>
                    <w:tcMar>
                      <w:top w:w="28" w:type="dxa"/>
                      <w:bottom w:w="28" w:type="dxa"/>
                    </w:tcMar>
                    <w:hideMark/>
                  </w:tcPr>
                  <w:p>
                    <w:pPr>
                      <w:rPr>
                        <w:b/>
                        <w:szCs w:val="24"/>
                      </w:rPr>
                    </w:pPr>
                    <w:r>
                      <w:rPr>
                        <w:szCs w:val="24"/>
                      </w:rPr>
                      <w:t>Institucija (padalinys)</w:t>
                    </w:r>
                  </w:p>
                </w:tc>
                <w:tc>
                  <w:tcPr>
                    <w:tcW w:w="3610" w:type="pct"/>
                    <w:tcBorders>
                      <w:top w:val="single" w:sz="4" w:space="0" w:color="auto"/>
                      <w:left w:val="single" w:sz="4" w:space="0" w:color="auto"/>
                      <w:bottom w:val="single" w:sz="4" w:space="0" w:color="auto"/>
                      <w:right w:val="single" w:sz="4" w:space="0" w:color="auto"/>
                    </w:tcBorders>
                    <w:tcMar>
                      <w:top w:w="28" w:type="dxa"/>
                      <w:bottom w:w="28" w:type="dxa"/>
                    </w:tcMar>
                  </w:tcPr>
                  <w:p>
                    <w:pPr>
                      <w:jc w:val="both"/>
                      <w:rPr>
                        <w:szCs w:val="24"/>
                      </w:rPr>
                    </w:pPr>
                    <w:r>
                      <w:rPr>
                        <w:szCs w:val="24"/>
                      </w:rPr>
                      <w:t>Lietuvos Respublikos aplinkos ministerijos Taršos prevencijos politikos grupė</w:t>
                    </w:r>
                  </w:p>
                </w:tc>
              </w:tr>
              <w:tr>
                <w:trPr>
                  <w:trHeight w:val="511"/>
                </w:trPr>
                <w:tc>
                  <w:tcPr>
                    <w:tcW w:w="1390" w:type="pct"/>
                    <w:tcBorders>
                      <w:top w:val="single" w:sz="4" w:space="0" w:color="auto"/>
                      <w:left w:val="single" w:sz="4" w:space="0" w:color="auto"/>
                      <w:bottom w:val="single" w:sz="4" w:space="0" w:color="auto"/>
                      <w:right w:val="single" w:sz="4" w:space="0" w:color="auto"/>
                    </w:tcBorders>
                    <w:tcMar>
                      <w:top w:w="28" w:type="dxa"/>
                      <w:bottom w:w="28" w:type="dxa"/>
                    </w:tcMar>
                    <w:hideMark/>
                  </w:tcPr>
                  <w:p>
                    <w:pPr>
                      <w:rPr>
                        <w:szCs w:val="24"/>
                      </w:rPr>
                    </w:pPr>
                    <w:r>
                      <w:rPr>
                        <w:szCs w:val="24"/>
                      </w:rPr>
                      <w:t>Telefono numeris ir elektroninio pašto adresas</w:t>
                    </w:r>
                  </w:p>
                </w:tc>
                <w:tc>
                  <w:tcPr>
                    <w:tcW w:w="3610" w:type="pct"/>
                    <w:tcBorders>
                      <w:top w:val="single" w:sz="4" w:space="0" w:color="auto"/>
                      <w:left w:val="single" w:sz="4" w:space="0" w:color="auto"/>
                      <w:bottom w:val="single" w:sz="4" w:space="0" w:color="auto"/>
                      <w:right w:val="single" w:sz="4" w:space="0" w:color="auto"/>
                    </w:tcBorders>
                    <w:tcMar>
                      <w:top w:w="28" w:type="dxa"/>
                      <w:bottom w:w="28" w:type="dxa"/>
                    </w:tcMar>
                  </w:tcPr>
                  <w:p>
                    <w:pPr>
                      <w:jc w:val="both"/>
                      <w:rPr>
                        <w:szCs w:val="24"/>
                        <w:lang w:eastAsia="lt-LT"/>
                      </w:rPr>
                    </w:pPr>
                  </w:p>
                  <w:p>
                    <w:pPr>
                      <w:jc w:val="both"/>
                      <w:rPr>
                        <w:szCs w:val="24"/>
                        <w:lang w:eastAsia="lt-LT"/>
                      </w:rPr>
                    </w:pPr>
                    <w:r>
                      <w:rPr>
                        <w:szCs w:val="22"/>
                        <w:lang w:eastAsia="lt-LT"/>
                      </w:rPr>
                      <w:t xml:space="preserve">Tel. </w:t>
                    </w:r>
                    <w:r>
                      <w:rPr>
                        <w:lang w:eastAsia="lt-LT"/>
                      </w:rPr>
                      <w:t>+370 695 40243</w:t>
                    </w:r>
                    <w:r>
                      <w:rPr>
                        <w:szCs w:val="22"/>
                        <w:lang w:eastAsia="lt-LT"/>
                      </w:rPr>
                      <w:t xml:space="preserve">, el. p. </w:t>
                    </w:r>
                    <w:r>
                      <w:rPr>
                        <w:color w:val="0000FF"/>
                        <w:u w:val="single"/>
                        <w:lang w:eastAsia="lt-LT"/>
                      </w:rPr>
                      <w:t>dalia.zidonyte@am.lt</w:t>
                    </w:r>
                  </w:p>
                  <w:p>
                    <w:pPr>
                      <w:jc w:val="both"/>
                      <w:rPr>
                        <w:szCs w:val="24"/>
                      </w:rPr>
                    </w:pPr>
                  </w:p>
                </w:tc>
              </w:tr>
            </w:tbl>
            <w:p/>
          </w:sdtContent>
        </w:sdt>
        <w:sdt>
          <w:sdtPr>
            <w:alias w:val="signatura"/>
            <w:tag w:val="part_a1e8ce7b75244a4b85ad4ed329d04d95"/>
            <w:lock w:val="sdtLocked"/>
            <w:richText/>
          </w:sdtPr>
          <w:sdtContent>
            <w:p>
              <w:pPr>
                <w:rPr>
                  <w:lang w:eastAsia="lt-LT"/>
                </w:rPr>
              </w:pPr>
              <w:r>
                <w:rPr>
                  <w:lang w:eastAsia="lt-LT"/>
                </w:rPr>
                <w:t>2021-05-27</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134" w:right="1134" w:bottom="709" w:left="1701" w:header="567" w:footer="567"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ndale Sans UI">
    <w:altName w:val="Times New Roman"/>
    <w:charset w:val="BA"/>
    <w:family w:val="auto"/>
    <w:pitch w:val="variable"/>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rPr>
        <w:lang w:eastAsia="lt-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rPr>
        <w:lang w:eastAsia="lt-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rPr>
        <w:lang w:eastAsia="lt-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lang w:eastAsia="lt-LT"/>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rPr>
        <w:lang w:eastAsia="lt-LT"/>
      </w:rPr>
    </w:pPr>
  </w:p>
  <w:p>
    <w:pPr>
      <w:tabs>
        <w:tab w:val="center" w:pos="4153"/>
        <w:tab w:val="right" w:pos="8306"/>
      </w:tabs>
      <w:jc w:val="center"/>
      <w:rPr>
        <w:lang w:eastAsia="lt-LT"/>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543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c6a5fff16dc4d0cbf32bd87a70539a1" PartId="e8512efd99394c56910fd314cec6b9de">
    <Part Type="lentele" Title="Informacija apie asmenį ir instituciją, atsakingą už poveikio vertinimą" DocPartId="90f8d71359a64403b29194e952f6dbbe" PartId="477191b1daf2447eb98735f6196b00aa"/>
    <Part Type="signatura" DocPartId="a177a6603853446aa5a0426a5f28e43a" PartId="a1e8ce7b75244a4b85ad4ed329d04d95"/>
  </Part>
</Parts>
</file>

<file path=customXml/itemProps1.xml><?xml version="1.0" encoding="utf-8"?>
<ds:datastoreItem xmlns:ds="http://schemas.openxmlformats.org/officeDocument/2006/customXml" ds:itemID="{1EEC7BF4-C88C-473D-AFBE-03D16272702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444</Words>
  <Characters>3395</Characters>
  <Application>Microsoft Office Word</Application>
  <DocSecurity>4</DocSecurity>
  <Lines>125</Lines>
  <Paragraphs>43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Hewlett-Packard Company</Company>
  <LinksUpToDate>false</LinksUpToDate>
  <CharactersWithSpaces>3796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2021-07-01T05:13:00Z</dcterms:created>
  <dc:creator>d.anuskevicius</dc:creator>
  <lastModifiedBy>adlibuser</lastModifiedBy>
  <lastPrinted>2019-09-24T06:07:00Z</lastPrinted>
  <dcterms:modified xsi:type="dcterms:W3CDTF">2021-07-01T05:13:00Z</dcterms:modified>
  <revision>2</revision>
</coreProperties>
</file>