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791f7c31bf6f46cea502cb4746193938"/>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65515F96" wp14:editId="7DCCDDB2">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8 706 63661, faks. 8 706 63663, el. p. info@am.lt, http://am.lrv.lt.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rPr>
                    <w:rFonts w:eastAsia="Andale Sans UI" w:cs="Tahoma"/>
                    <w:szCs w:val="24"/>
                    <w:lang w:bidi="en-US"/>
                  </w:rPr>
                </w:pPr>
                <w:r>
                  <w:rPr>
                    <w:rFonts w:eastAsia="Andale Sans UI" w:cs="Tahoma"/>
                    <w:szCs w:val="24"/>
                    <w:lang w:bidi="en-US"/>
                  </w:rPr>
                  <w:t>Ekonomikos ir inovacijų ministerijai</w:t>
                </w:r>
              </w:p>
              <w:p>
                <w:pPr>
                  <w:widowControl w:val="0"/>
                  <w:suppressLineNumbers/>
                  <w:suppressAutoHyphens/>
                  <w:rPr>
                    <w:rFonts w:eastAsia="Andale Sans UI" w:cs="Tahoma"/>
                    <w:szCs w:val="24"/>
                    <w:lang w:bidi="en-US"/>
                  </w:rPr>
                </w:pPr>
                <w:r>
                  <w:rPr>
                    <w:rFonts w:eastAsia="Andale Sans UI" w:cs="Tahoma"/>
                    <w:szCs w:val="24"/>
                    <w:lang w:bidi="en-US"/>
                  </w:rPr>
                  <w:t>Aplinkos apsaugos agentūrai</w:t>
                </w:r>
              </w:p>
              <w:p>
                <w:pPr>
                  <w:widowControl w:val="0"/>
                  <w:suppressLineNumbers/>
                  <w:suppressAutoHyphens/>
                  <w:rPr>
                    <w:rFonts w:eastAsia="Andale Sans UI" w:cs="Tahoma"/>
                    <w:szCs w:val="24"/>
                    <w:lang w:bidi="en-US"/>
                  </w:rPr>
                </w:pPr>
                <w:r>
                  <w:rPr>
                    <w:rFonts w:eastAsia="Andale Sans UI" w:cs="Tahoma"/>
                    <w:szCs w:val="24"/>
                    <w:lang w:bidi="en-US"/>
                  </w:rPr>
                  <w:t>Aplinkos apsaugos departamentui</w:t>
                </w:r>
              </w:p>
              <w:p>
                <w:pPr>
                  <w:widowControl w:val="0"/>
                  <w:suppressLineNumbers/>
                  <w:suppressAutoHyphens/>
                  <w:rPr>
                    <w:rFonts w:eastAsia="Andale Sans UI" w:cs="Tahoma"/>
                    <w:szCs w:val="24"/>
                    <w:lang w:bidi="en-US"/>
                  </w:rPr>
                </w:pPr>
                <w:r>
                  <w:rPr>
                    <w:rFonts w:eastAsia="Andale Sans UI" w:cs="Tahoma"/>
                    <w:szCs w:val="24"/>
                    <w:lang w:bidi="en-US"/>
                  </w:rPr>
                  <w:t>Nacionaliniam visuomenės sveikatos centrui</w:t>
                </w:r>
              </w:p>
              <w:p>
                <w:pPr>
                  <w:widowControl w:val="0"/>
                  <w:suppressLineNumbers/>
                  <w:suppressAutoHyphens/>
                  <w:rPr>
                    <w:rFonts w:eastAsia="Andale Sans UI" w:cs="Tahoma"/>
                    <w:szCs w:val="24"/>
                    <w:lang w:bidi="en-US"/>
                  </w:rPr>
                </w:pPr>
                <w:r>
                  <w:rPr>
                    <w:rFonts w:eastAsia="Andale Sans UI" w:cs="Tahoma"/>
                    <w:szCs w:val="24"/>
                    <w:lang w:bidi="en-US"/>
                  </w:rPr>
                  <w:t>Lietuvos vyriausiojo archyvaro tarnybai</w:t>
                </w:r>
              </w:p>
              <w:p>
                <w:pPr>
                  <w:widowControl w:val="0"/>
                  <w:suppressLineNumbers/>
                  <w:suppressAutoHyphens/>
                  <w:rPr>
                    <w:rFonts w:eastAsia="Andale Sans UI" w:cs="Tahoma"/>
                    <w:szCs w:val="24"/>
                    <w:lang w:bidi="en-US"/>
                  </w:rPr>
                </w:pPr>
                <w:r>
                  <w:rPr>
                    <w:rFonts w:eastAsia="Andale Sans UI" w:cs="Tahoma"/>
                    <w:szCs w:val="24"/>
                    <w:lang w:bidi="en-US"/>
                  </w:rPr>
                  <w:t>Priešgaisrinės apsaugos ir gelbėjimo departamentui</w:t>
                </w:r>
              </w:p>
              <w:p>
                <w:pPr>
                  <w:widowControl w:val="0"/>
                  <w:suppressLineNumbers/>
                  <w:suppressAutoHyphens/>
                  <w:rPr>
                    <w:rFonts w:eastAsia="Andale Sans UI" w:cs="Tahoma"/>
                    <w:szCs w:val="24"/>
                    <w:lang w:bidi="en-US"/>
                  </w:rPr>
                </w:pPr>
                <w:r>
                  <w:rPr>
                    <w:rFonts w:eastAsia="Andale Sans UI" w:cs="Tahoma"/>
                    <w:szCs w:val="24"/>
                    <w:lang w:bidi="en-US"/>
                  </w:rPr>
                  <w:t>Lietuvos pramonininkų konfederacijai</w:t>
                </w:r>
              </w:p>
              <w:p>
                <w:pPr>
                  <w:widowControl w:val="0"/>
                  <w:suppressLineNumbers/>
                  <w:suppressAutoHyphens/>
                  <w:rPr>
                    <w:rFonts w:eastAsia="Andale Sans UI" w:cs="Tahoma"/>
                    <w:szCs w:val="24"/>
                    <w:lang w:bidi="en-US"/>
                  </w:rPr>
                </w:pPr>
                <w:r>
                  <w:rPr>
                    <w:rFonts w:eastAsia="Andale Sans UI" w:cs="Tahoma"/>
                    <w:szCs w:val="24"/>
                    <w:lang w:bidi="en-US"/>
                  </w:rPr>
                  <w:t>Lietuvos šilumos tiekėjų asociacijai</w:t>
                </w:r>
              </w:p>
              <w:p>
                <w:pPr>
                  <w:widowControl w:val="0"/>
                  <w:suppressLineNumbers/>
                  <w:suppressAutoHyphens/>
                  <w:rPr>
                    <w:rFonts w:eastAsia="Andale Sans UI" w:cs="Tahoma"/>
                    <w:szCs w:val="24"/>
                    <w:lang w:bidi="en-US"/>
                  </w:rPr>
                </w:pPr>
                <w:r>
                  <w:rPr>
                    <w:rFonts w:eastAsia="Andale Sans UI" w:cs="Tahoma"/>
                    <w:szCs w:val="24"/>
                    <w:lang w:bidi="en-US"/>
                  </w:rPr>
                  <w:t>Lietuvos komunalininkų ir atliekų tvarkytojų asociacijai</w:t>
                </w:r>
              </w:p>
              <w:p>
                <w:pPr>
                  <w:widowControl w:val="0"/>
                  <w:suppressLineNumbers/>
                  <w:suppressAutoHyphens/>
                  <w:rPr>
                    <w:rFonts w:eastAsia="Andale Sans UI" w:cs="Tahoma"/>
                    <w:szCs w:val="24"/>
                    <w:lang w:bidi="en-US"/>
                  </w:rPr>
                </w:pPr>
                <w:r>
                  <w:rPr>
                    <w:rFonts w:eastAsia="Andale Sans UI" w:cs="Tahoma"/>
                    <w:szCs w:val="24"/>
                    <w:lang w:bidi="en-US"/>
                  </w:rPr>
                  <w:t>Pavojingųjų atliekų tvarkytojų asociacijai</w:t>
                </w:r>
              </w:p>
              <w:p>
                <w:pPr>
                  <w:widowControl w:val="0"/>
                  <w:suppressLineNumbers/>
                  <w:suppressAutoHyphens/>
                  <w:rPr>
                    <w:rFonts w:eastAsia="Andale Sans UI" w:cs="Tahoma"/>
                    <w:szCs w:val="24"/>
                    <w:lang w:bidi="en-US"/>
                  </w:rPr>
                </w:pPr>
                <w:r>
                  <w:rPr>
                    <w:rFonts w:eastAsia="Andale Sans UI" w:cs="Tahoma"/>
                    <w:szCs w:val="24"/>
                    <w:lang w:bidi="en-US"/>
                  </w:rPr>
                  <w:t>Lietuvos vandens tiekėjų asociacijai</w:t>
                </w:r>
              </w:p>
              <w:p>
                <w:pPr>
                  <w:widowControl w:val="0"/>
                  <w:suppressLineNumbers/>
                  <w:suppressAutoHyphens/>
                  <w:rPr>
                    <w:rFonts w:eastAsia="Andale Sans UI" w:cs="Tahoma"/>
                    <w:szCs w:val="24"/>
                    <w:lang w:bidi="en-US"/>
                  </w:rPr>
                </w:pPr>
                <w:r>
                  <w:rPr>
                    <w:rFonts w:eastAsia="Andale Sans UI" w:cs="Tahoma"/>
                    <w:szCs w:val="24"/>
                    <w:lang w:bidi="en-US"/>
                  </w:rPr>
                  <w:t>Lietuvos kiaulių augintojų asociacijai</w:t>
                </w: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r>
                  <w:rPr>
                    <w:rFonts w:eastAsia="Andale Sans UI" w:cs="Tahoma"/>
                    <w:szCs w:val="24"/>
                    <w:lang w:bidi="en-US"/>
                  </w:rPr>
                  <w:t>Kopija</w:t>
                </w:r>
              </w:p>
              <w:p>
                <w:pPr>
                  <w:widowControl w:val="0"/>
                  <w:suppressLineNumbers/>
                  <w:suppressAutoHyphens/>
                  <w:rPr>
                    <w:rFonts w:eastAsia="Andale Sans UI" w:cs="Tahoma"/>
                    <w:szCs w:val="24"/>
                    <w:lang w:bidi="en-US"/>
                  </w:rPr>
                </w:pPr>
                <w:r>
                  <w:rPr>
                    <w:rFonts w:eastAsia="Andale Sans UI" w:cs="Tahoma"/>
                    <w:szCs w:val="24"/>
                    <w:lang w:bidi="en-US"/>
                  </w:rPr>
                  <w:t>Sveikatos apsaugos ministerijai</w:t>
                </w:r>
              </w:p>
              <w:p>
                <w:pPr>
                  <w:widowControl w:val="0"/>
                  <w:suppressLineNumbers/>
                  <w:suppressAutoHyphens/>
                  <w:rPr>
                    <w:rFonts w:eastAsia="Andale Sans UI" w:cs="Tahoma"/>
                    <w:szCs w:val="24"/>
                    <w:lang w:bidi="en-US"/>
                  </w:rPr>
                </w:pPr>
                <w:r>
                  <w:rPr>
                    <w:rFonts w:eastAsia="Andale Sans UI" w:cs="Tahoma"/>
                    <w:szCs w:val="24"/>
                    <w:lang w:bidi="en-US"/>
                  </w:rPr>
                  <w:t>Vidaus reikalų ministerijai</w:t>
                </w:r>
              </w:p>
              <w:p>
                <w:pPr>
                  <w:widowControl w:val="0"/>
                  <w:suppressLineNumbers/>
                  <w:suppressAutoHyphens/>
                  <w:rPr>
                    <w:rFonts w:eastAsia="Andale Sans UI" w:cs="Tahoma"/>
                    <w:spacing w:val="10"/>
                    <w:szCs w:val="24"/>
                    <w:lang w:bidi="en-US"/>
                  </w:rPr>
                </w:pPr>
              </w:p>
            </w:tc>
            <w:tc>
              <w:tcPr>
                <w:tcW w:w="282" w:type="dxa"/>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r>
                  <w:rPr>
                    <w:rFonts w:eastAsia="Andale Sans UI" w:cs="Tahoma"/>
                    <w:szCs w:val="24"/>
                    <w:lang w:bidi="en-US"/>
                  </w:rPr>
                  <w:t>2021-06-</w:t>
                </w:r>
              </w:p>
            </w:tc>
            <w:tc>
              <w:tcPr>
                <w:tcW w:w="565" w:type="dxa"/>
              </w:tcPr>
              <w:p>
                <w:pPr>
                  <w:widowControl w:val="0"/>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r>
                  <w:rPr>
                    <w:rFonts w:eastAsia="Andale Sans UI" w:cs="Tahoma"/>
                    <w:szCs w:val="24"/>
                    <w:lang w:bidi="en-US"/>
                  </w:rPr>
                  <w:t>(10)-D8(E)-</w:t>
                </w: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widowControl w:val="0"/>
                  <w:suppressLineNumbers/>
                  <w:suppressAutoHyphens/>
                  <w:jc w:val="both"/>
                  <w:rPr>
                    <w:rFonts w:eastAsia="Andale Sans UI" w:cs="Tahoma"/>
                    <w:b/>
                    <w:bCs/>
                    <w:szCs w:val="24"/>
                    <w:lang w:bidi="en-US"/>
                  </w:rPr>
                </w:pPr>
                <w:r>
                  <w:rPr>
                    <w:rFonts w:eastAsia="Andale Sans UI" w:cs="Tahoma"/>
                    <w:b/>
                    <w:bCs/>
                    <w:caps/>
                    <w:szCs w:val="24"/>
                    <w:lang w:bidi="en-US"/>
                  </w:rPr>
                  <w:t>dėl aplinkos ministro įsakymo „DĖL PLANUOJAMOS ŪKINĖS VEIKLOS OBJEKTO PATIKRINIMO PRIEŠ EKSPLOATAVIMO PRADŽIĄ TVARKOS APRAŠO PATVIRTINIMO</w:t>
                </w:r>
                <w:r>
                  <w:rPr>
                    <w:rFonts w:eastAsia="Andale Sans UI" w:cs="Tahoma" w:hint="cs"/>
                    <w:b/>
                    <w:bCs/>
                    <w:caps/>
                    <w:szCs w:val="24"/>
                    <w:lang w:bidi="en-US"/>
                  </w:rPr>
                  <w:t>“</w:t>
                </w:r>
                <w:r>
                  <w:rPr>
                    <w:rFonts w:eastAsia="Andale Sans UI" w:cs="Tahoma"/>
                    <w:b/>
                    <w:bCs/>
                    <w:caps/>
                    <w:szCs w:val="24"/>
                    <w:lang w:bidi="en-US"/>
                  </w:rPr>
                  <w:t xml:space="preserve"> PROJEKTO</w:t>
                </w:r>
              </w:p>
            </w:tc>
          </w:tr>
        </w:tbl>
        <w:p>
          <w:pPr>
            <w:widowControl w:val="0"/>
            <w:suppressAutoHyphens/>
            <w:ind w:firstLine="567"/>
            <w:jc w:val="both"/>
            <w:rPr>
              <w:rFonts w:eastAsia="Andale Sans UI" w:cs="Tahoma"/>
              <w:szCs w:val="24"/>
              <w:lang w:bidi="en-US"/>
            </w:rPr>
          </w:pPr>
        </w:p>
      </w:sdtContent>
    </w:sdt>
    <w:sdt>
      <w:sdtPr>
        <w:alias w:val="pastraipa"/>
        <w:tag w:val="part_e5b00753c99e4bf287bd5c46788c7bf6"/>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Lietuvos Respublikos aplinkos ministerija, įgyvendindama Lietuvos Respublikos aplinkos apsaugos įstatymo (toliau – AAĮ) 19 straipsnio 1 dalies nuostatą</w:t>
          </w:r>
          <w:r>
            <w:rPr>
              <w:rFonts w:eastAsia="Andale Sans UI" w:cs="Tahoma"/>
              <w:szCs w:val="24"/>
              <w:vertAlign w:val="superscript"/>
              <w:lang w:bidi="en-US"/>
            </w:rPr>
            <w:footnoteReference w:id="1"/>
          </w:r>
          <w:r>
            <w:rPr>
              <w:rFonts w:eastAsia="Andale Sans UI" w:cs="Tahoma"/>
              <w:szCs w:val="24"/>
              <w:lang w:bidi="en-US"/>
            </w:rPr>
            <w:t>, kad aplinkos ministro įgaliota institucija prieš fiziniam ar juridiniam asmeniui pradedant eksploatuoti ūkinės veiklos objektą ir vykdyti ūkinę veiklą aplinkos ministro nustatyta tvarka turi patikrinti, ar ūkinės veiklos objekte įgyvendintos taršos integruotos prevencijos ir kontrolės leidime (toliau – TIPK leidimas) arba taršos leidime nurodytos sąlygos, kurios privalo būti įgyvendintos iki ūkinės veiklos vykdymo pradžios, parengė Lietuvos Respublikos aplinkos ministro įsakymo „Dėl Planuojamos ūkinės veiklos objekto patikrinimo prieš eksploatavimo pradžią tvarkos aprašo patvirtinimo“ projektą.</w:t>
          </w:r>
        </w:p>
      </w:sdtContent>
    </w:sdt>
    <w:sdt>
      <w:sdtPr>
        <w:alias w:val="pastraipa"/>
        <w:tag w:val="part_0609433bcc6b48a0966b8c39fdc029dd"/>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Atkreiptinas dėmesys, kad Lietuvos Respublikos Seimui š. m. kovo 30 d. priėmus Lietuvos Respublikos aplinkos apsaugos įstatymo Nr. I-2223 15, 19, 19</w:t>
          </w:r>
          <w:r>
            <w:rPr>
              <w:rFonts w:eastAsia="Andale Sans UI" w:cs="Tahoma"/>
              <w:szCs w:val="24"/>
              <w:vertAlign w:val="superscript"/>
              <w:lang w:bidi="en-US"/>
            </w:rPr>
            <w:t>1</w:t>
          </w:r>
          <w:r>
            <w:rPr>
              <w:rFonts w:eastAsia="Andale Sans UI" w:cs="Tahoma"/>
              <w:szCs w:val="24"/>
              <w:lang w:bidi="en-US"/>
            </w:rPr>
            <w:t>, 19</w:t>
          </w:r>
          <w:r>
            <w:rPr>
              <w:rFonts w:eastAsia="Andale Sans UI" w:cs="Tahoma"/>
              <w:szCs w:val="24"/>
              <w:vertAlign w:val="superscript"/>
              <w:lang w:bidi="en-US"/>
            </w:rPr>
            <w:t>2</w:t>
          </w:r>
          <w:r>
            <w:rPr>
              <w:rFonts w:eastAsia="Andale Sans UI" w:cs="Tahoma"/>
              <w:szCs w:val="24"/>
              <w:lang w:bidi="en-US"/>
            </w:rPr>
            <w:t>, 47, 55, 126, 127 straipsnių pakeitimo ir Įstatymo papildymo 55</w:t>
          </w:r>
          <w:r>
            <w:rPr>
              <w:rFonts w:eastAsia="Andale Sans UI" w:cs="Tahoma"/>
              <w:szCs w:val="24"/>
              <w:vertAlign w:val="superscript"/>
              <w:lang w:bidi="en-US"/>
            </w:rPr>
            <w:t>1</w:t>
          </w:r>
          <w:r>
            <w:rPr>
              <w:rFonts w:eastAsia="Andale Sans UI" w:cs="Tahoma"/>
              <w:szCs w:val="24"/>
              <w:lang w:bidi="en-US"/>
            </w:rPr>
            <w:t xml:space="preserve"> straipsniu įstatymo Nr. XIII-2795 10 straipsnio pakeitimo įstatymą Nr. XIV-227, šios nuostatos įsigaliojimas buvo paankstintas – vietoje 2022 m. sausio 1 d. minėtas reikalavimas prieš veiklos pradžią patikrinti ūkinės veiklos objektą įsigalioja š. m. rugpjūčio 1 d.</w:t>
          </w:r>
        </w:p>
      </w:sdtContent>
    </w:sdt>
    <w:sdt>
      <w:sdtPr>
        <w:alias w:val="pastraipa"/>
        <w:tag w:val="part_69b066c9a3bc41379ec6f6ff3c34571e"/>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 xml:space="preserve">Patikrinimo tikslas – užtikrinti, kad būtų eksploatuojami tik aplinkosauginius reikalavimus atitinkantys ūkinės veiklos objektai, t. y. kad prieš pradedant eksploatuoti ūkinės veiklos objektą ir ūkinės veiklos pradžią, ūkinės veiklos objektas atitiktų teisės aktuose nustatytus bendruosius aplinkosauginius reikalavimus, jame būtų įgyvendintos poveikio aplinkai vertinimo </w:t>
          </w:r>
          <w:r>
            <w:rPr>
              <w:rFonts w:eastAsia="Andale Sans UI" w:cs="Tahoma"/>
              <w:color w:val="000000"/>
              <w:szCs w:val="24"/>
              <w:shd w:val="clear" w:color="auto" w:fill="FFFFFF"/>
              <w:lang w:bidi="en-US"/>
            </w:rPr>
            <w:t xml:space="preserve">sprendime nustatytos sąlygos ir PAV sprendime ir (ar) atrankos išvadoje numatytos priemonės reikšmingam neigiamam poveikiui aplinkai sumažinti ir (ar) jį kompensuoti, ir </w:t>
          </w:r>
          <w:r>
            <w:rPr>
              <w:rFonts w:eastAsia="Andale Sans UI" w:cs="Tahoma"/>
              <w:szCs w:val="24"/>
              <w:lang w:bidi="en-US"/>
            </w:rPr>
            <w:t>TIPK arba taršos leidime nurodytos sąlygos, kurios privalo būti įgyvendintos iki ūkinės veiklos vykdymo pradžios</w:t>
          </w:r>
        </w:p>
      </w:sdtContent>
    </w:sdt>
    <w:sdt>
      <w:sdtPr>
        <w:alias w:val="pastraipa"/>
        <w:tag w:val="part_6b4a04d0f3a44d5d9bdf571b2a239600"/>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 xml:space="preserve">Aplinkos ministro įsakymo projektu siūloma įgalioti Aplinkos apsaugos agentūrą (toliau – AAA) organizuoti AAĮ 19 straipsnio 1 dalyje nurodytą patikrinimą, nustatyti AAA informavimo apie planuojamos ūkinės veiklos objekto, kuriam išduotas TIPK leidimas arba taršos leidimas, eksploatavimo ir ūkinės veiklos vykdymo pradžią, AAA organizuojamo patikrinimo ir AAA sprendimo dėl patikrinimo pabaigos priėmimo tvarką, taip pat siūloma nustatyti AAA teisę į ūkinės veiklos objekto patikrinimą kviesti kitas suinteresuotas institucijas: Aplinkos apsaugos departamentą, kuris eksploatavimo metu vykdys ūkinės veiklos objekto kontrolę, Nacionalinį visuomenės sveikatos centrą prie Sveikatos apsaugos ministerijos, atsakingą už </w:t>
          </w:r>
          <w:r>
            <w:rPr>
              <w:rFonts w:eastAsia="Andale Sans UI" w:cs="Tahoma"/>
              <w:color w:val="000000"/>
              <w:szCs w:val="24"/>
              <w:lang w:bidi="en-US"/>
            </w:rPr>
            <w:t>triukšmo ir kvapų valdymo sąlygų nustatymą,</w:t>
          </w:r>
          <w:r>
            <w:rPr>
              <w:rFonts w:eastAsia="Andale Sans UI" w:cs="Tahoma"/>
              <w:szCs w:val="24"/>
              <w:lang w:bidi="en-US"/>
            </w:rPr>
            <w:t xml:space="preserve"> papildomai apie planuojamą eksploatavimo pradžią informuoti Priešgaisrinės apsaugos ir gelbėjimo departamentą prie Vidaus reikalų ministerijos.</w:t>
          </w:r>
        </w:p>
      </w:sdtContent>
    </w:sdt>
    <w:sdt>
      <w:sdtPr>
        <w:alias w:val="pastraipa"/>
        <w:tag w:val="part_2c35e8b7d9f04cc0b12c6910478d2e08"/>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Projekte siūloma nustatyti du patikrinimo būdus – patikrinimas vykstant į ūkinės veiklos objektą ir nevykstant į ūkinės veiklos objektą, nustatomi kriterijai, kokiais atvejais taikomas vienas iš nurodytų patikrinimo būdų, taip pat nustatoma patikrinimo vykstant į ūkinės veiklos objektą tvarka karantino metu.</w:t>
          </w:r>
        </w:p>
      </w:sdtContent>
    </w:sdt>
    <w:sdt>
      <w:sdtPr>
        <w:alias w:val="pastraipa"/>
        <w:tag w:val="part_fe4a29d551024fa7ac459ab0602443f0"/>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Projekte siūloma įtvirtinti, kad AAA, nenustačiusi neatitikimų leidime nustatytoms sąlygoms ir gavusi kitų patikrinime dalyvavusių institucijų išvadas, kad ūkinės veiklos objekte įgyvendintos leidime nustatytos sąlygos, kurios privalo būti įgyvendintos iki ūkinės veiklos vykdymo pradžios, priima sprendimą dėl patikrinimo pabaigos, kuriuo leidžiama pradėti eksploatuoti ūkinės veiklos objektą ir pradėti vykdyti ūkinę veiklą; nustačiusi neatitikimus, ir (ar) gavusi kitų patikrinime dalyvaujančių institucijų išvadą, kad ūkinės veiklos objekte neįgyvendintos leidime nustatytos sąlygos, kurios privalo būti įgyvendintos iki ūkinės veiklos vykdymo pradžios, priima sprendimą dėl patikrinimo pabaigos, kuriuo neleidžiama pradėti eksploatuoti ūkinės veiklos objekto ir pradėti vykdyti ūkinę veiklą.</w:t>
          </w:r>
        </w:p>
      </w:sdtContent>
    </w:sdt>
    <w:sdt>
      <w:sdtPr>
        <w:alias w:val="pastraipa"/>
        <w:tag w:val="part_a4a270d6bf964b0db3fbc5ea4e2b1889"/>
        <w:lock w:val="sdtLocked"/>
        <w:richText/>
      </w:sdtPr>
      <w:sdtContent>
        <w:p>
          <w:pPr>
            <w:widowControl w:val="0"/>
            <w:suppressAutoHyphens/>
            <w:ind w:right="-1" w:firstLine="567"/>
            <w:jc w:val="both"/>
            <w:rPr>
              <w:rFonts w:eastAsia="Andale Sans UI" w:cs="Tahoma"/>
              <w:szCs w:val="24"/>
              <w:lang w:bidi="en-US"/>
            </w:rPr>
          </w:pPr>
          <w:r>
            <w:rPr>
              <w:rFonts w:eastAsia="Andale Sans UI" w:cs="Tahoma"/>
              <w:szCs w:val="24"/>
              <w:lang w:bidi="en-US"/>
            </w:rPr>
            <w:t>Įsakymo projektas su institucijomis ir visuomene derinamas skelbiant jį Lietuvos Respublikos Seimo teisės aktų informacinės sistemos Projektų registravimo posistemėje (TAIS). Kitų konsultavimosi būdų su visuomene nenumatoma. Pastabas ir pasiūlymus įsakymo projektui prašome teikti per 10 darbo dienų. Per nurodytą terminą negavę pastabų ir pasiūlymų, laikysime, kad pastabų ir pasiūlymų neturite.</w:t>
          </w:r>
        </w:p>
      </w:sdtContent>
    </w:sdt>
    <w:sdt>
      <w:sdtPr>
        <w:alias w:val="pastraipa"/>
        <w:tag w:val="part_c777ffa97d4f4e739708e0136c38c3f8"/>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Įsakymo projektą parengė Aplinkos ministerijos Taršos prevencijos politikos grupės (vadovas Vitalijus Auglys, tel. 8 686 46087, el. p. vitalijus.auglys@am.lt) patarėja Beata Vilimaitė Šilobritienė (tel. 8 645 89487, el. p. beata.vilimaite@am.lt) ir vyriausioji specialistė Dalia Židonytė (tel. 8 695 40243, el. p. dalia.zidonyte@am.lt).</w:t>
          </w:r>
        </w:p>
      </w:sdtContent>
    </w:sdt>
    <w:sdt>
      <w:sdtPr>
        <w:alias w:val="pastraipa"/>
        <w:tag w:val="part_5102f09be9354f1bbd5a6ca476daa5f3"/>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PRIDEDAMA:</w:t>
          </w:r>
        </w:p>
        <w:sdt>
          <w:sdtPr>
            <w:alias w:val="1 p."/>
            <w:tag w:val="part_bf082e350c51491cb1d70f795f6153ce"/>
            <w:lock w:val="sdtLocked"/>
            <w:richText/>
          </w:sdtPr>
          <w:sdtContent>
            <w:p>
              <w:pPr>
                <w:widowControl w:val="0"/>
                <w:suppressAutoHyphens/>
                <w:ind w:left="927" w:hanging="360"/>
                <w:jc w:val="both"/>
                <w:rPr>
                  <w:rFonts w:eastAsia="Andale Sans UI" w:cs="Tahoma"/>
                  <w:szCs w:val="24"/>
                  <w:lang w:bidi="en-US"/>
                </w:rPr>
              </w:pPr>
              <w:sdt>
                <w:sdtPr>
                  <w:alias w:val="Numeris"/>
                  <w:tag w:val="nr_bf082e350c51491cb1d70f795f6153ce"/>
                  <w:lock w:val="sdtLocked"/>
                  <w:richText/>
                </w:sdtPr>
                <w:sdtContent>
                  <w:r>
                    <w:rPr>
                      <w:rFonts w:eastAsia="Andale Sans UI" w:cs="Tahoma"/>
                      <w:szCs w:val="24"/>
                      <w:lang w:bidi="en-US"/>
                    </w:rPr>
                    <w:t>1</w:t>
                  </w:r>
                </w:sdtContent>
              </w:sdt>
              <w:r>
                <w:rPr>
                  <w:rFonts w:eastAsia="Andale Sans UI" w:cs="Tahoma"/>
                  <w:szCs w:val="24"/>
                  <w:lang w:bidi="en-US"/>
                </w:rPr>
                <w:t>.</w:t>
                <w:tab/>
                <w:t>Įsakymo projektas, 13 lapų.</w:t>
              </w:r>
            </w:p>
          </w:sdtContent>
        </w:sdt>
        <w:sdt>
          <w:sdtPr>
            <w:alias w:val="2 p."/>
            <w:tag w:val="part_76e558afbbcb4c99864489b8dd0b3b31"/>
            <w:lock w:val="sdtLocked"/>
            <w:richText/>
          </w:sdtPr>
          <w:sdtContent>
            <w:p>
              <w:pPr>
                <w:widowControl w:val="0"/>
                <w:suppressAutoHyphens/>
                <w:ind w:left="927" w:hanging="360"/>
                <w:jc w:val="both"/>
                <w:rPr>
                  <w:rFonts w:eastAsia="Andale Sans UI" w:cs="Tahoma"/>
                  <w:szCs w:val="24"/>
                  <w:lang w:bidi="en-US"/>
                </w:rPr>
              </w:pPr>
              <w:sdt>
                <w:sdtPr>
                  <w:alias w:val="Numeris"/>
                  <w:tag w:val="nr_76e558afbbcb4c99864489b8dd0b3b31"/>
                  <w:lock w:val="sdtLocked"/>
                  <w:richText/>
                </w:sdtPr>
                <w:sdtContent>
                  <w:r>
                    <w:rPr>
                      <w:rFonts w:eastAsia="Andale Sans UI" w:cs="Tahoma"/>
                      <w:szCs w:val="24"/>
                      <w:lang w:bidi="en-US"/>
                    </w:rPr>
                    <w:t>2</w:t>
                  </w:r>
                </w:sdtContent>
              </w:sdt>
              <w:r>
                <w:rPr>
                  <w:rFonts w:eastAsia="Andale Sans UI" w:cs="Tahoma"/>
                  <w:szCs w:val="24"/>
                  <w:lang w:bidi="en-US"/>
                </w:rPr>
                <w:t>.</w:t>
                <w:tab/>
                <w:t>Numatomo teisinio reguliavimo poveikio vertinimo pažyma, 2 lapai.</w:t>
              </w:r>
            </w:p>
          </w:sdtContent>
        </w:sdt>
        <w:sdt>
          <w:sdtPr>
            <w:alias w:val="3 p."/>
            <w:tag w:val="part_2259a50d07304f3fbded671f7f69c805"/>
            <w:lock w:val="sdtLocked"/>
            <w:richText/>
          </w:sdtPr>
          <w:sdtContent>
            <w:p>
              <w:pPr>
                <w:widowControl w:val="0"/>
                <w:suppressAutoHyphens/>
                <w:ind w:left="927" w:hanging="360"/>
                <w:jc w:val="both"/>
                <w:rPr>
                  <w:rFonts w:eastAsia="Andale Sans UI" w:cs="Tahoma"/>
                  <w:szCs w:val="24"/>
                  <w:lang w:bidi="en-US"/>
                </w:rPr>
              </w:pPr>
              <w:sdt>
                <w:sdtPr>
                  <w:alias w:val="Numeris"/>
                  <w:tag w:val="nr_2259a50d07304f3fbded671f7f69c805"/>
                  <w:lock w:val="sdtLocked"/>
                  <w:richText/>
                </w:sdtPr>
                <w:sdtContent>
                  <w:r>
                    <w:rPr>
                      <w:rFonts w:eastAsia="Andale Sans UI" w:cs="Tahoma"/>
                      <w:szCs w:val="24"/>
                      <w:lang w:bidi="en-US"/>
                    </w:rPr>
                    <w:t>3</w:t>
                  </w:r>
                </w:sdtContent>
              </w:sdt>
              <w:r>
                <w:rPr>
                  <w:rFonts w:eastAsia="Andale Sans UI" w:cs="Tahoma"/>
                  <w:szCs w:val="24"/>
                  <w:lang w:bidi="en-US"/>
                </w:rPr>
                <w:t>.</w:t>
                <w:tab/>
                <w:t>Teisės akto projekto antikorupcinio vertinimo išvada, 13 lapų.</w:t>
              </w: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widowControl w:val="0"/>
                      <w:suppressLineNumbers/>
                      <w:suppressAutoHyphens/>
                      <w:rPr>
                        <w:rFonts w:eastAsia="Andale Sans UI" w:cs="Tahoma"/>
                        <w:szCs w:val="24"/>
                        <w:lang w:bidi="en-US"/>
                      </w:rPr>
                    </w:pPr>
                    <w:r>
                      <w:rPr>
                        <w:rFonts w:eastAsia="Andale Sans UI" w:cs="Tahoma"/>
                        <w:szCs w:val="24"/>
                        <w:lang w:bidi="en-US"/>
                      </w:rPr>
                      <w:t>Aplinkos viceministras</w:t>
                    </w:r>
                  </w:p>
                </w:tc>
                <w:tc>
                  <w:tcPr>
                    <w:tcW w:w="4826" w:type="dxa"/>
                    <w:vAlign w:val="bottom"/>
                  </w:tcPr>
                  <w:p>
                    <w:pPr>
                      <w:widowControl w:val="0"/>
                      <w:suppressAutoHyphens/>
                      <w:ind w:right="34"/>
                      <w:jc w:val="right"/>
                      <w:rPr>
                        <w:rFonts w:eastAsia="Andale Sans UI" w:cs="Tahoma"/>
                        <w:szCs w:val="24"/>
                        <w:lang w:bidi="en-US"/>
                      </w:rPr>
                    </w:pPr>
                    <w:r>
                      <w:rPr>
                        <w:rFonts w:eastAsia="Andale Sans UI" w:cs="Tahoma"/>
                        <w:szCs w:val="24"/>
                        <w:lang w:bidi="en-US"/>
                      </w:rPr>
                      <w:t>Darius Kvedarvičius</w:t>
                    </w:r>
                  </w:p>
                </w:tc>
              </w:tr>
            </w:tbl>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widowControl w:val="0"/>
                      <w:suppressLineNumbers/>
                      <w:suppressAutoHyphens/>
                      <w:rPr>
                        <w:rFonts w:eastAsia="Andale Sans UI" w:cs="Tahoma"/>
                        <w:szCs w:val="24"/>
                        <w:lang w:bidi="en-US"/>
                      </w:rPr>
                    </w:pPr>
                    <w:r>
                      <w:rPr>
                        <w:rFonts w:eastAsia="Andale Sans UI" w:cs="Tahoma"/>
                        <w:szCs w:val="24"/>
                        <w:lang w:bidi="en-US"/>
                      </w:rPr>
                      <w:t>D. Židonytė, 8 695 40243, el. p. dalia.zidonyte</w:t>
                    </w:r>
                    <w:r>
                      <w:rPr>
                        <w:rFonts w:eastAsia="Andale Sans UI" w:cs="Tahoma"/>
                        <w:szCs w:val="24"/>
                        <w:lang w:val="en-US" w:bidi="en-US"/>
                      </w:rPr>
                      <w:t>@</w:t>
                    </w:r>
                    <w:r>
                      <w:rPr>
                        <w:rFonts w:eastAsia="Andale Sans UI" w:cs="Tahoma"/>
                        <w:szCs w:val="24"/>
                        <w:lang w:bidi="en-US"/>
                      </w:rPr>
                      <w:t>am.lt</w:t>
                    </w:r>
                  </w:p>
                </w:tc>
              </w:tr>
            </w:tbl>
            <w:p>
              <w:pPr>
                <w:widowControl w:val="0"/>
                <w:suppressAutoHyphens/>
                <w:ind w:firstLine="567"/>
                <w:jc w:val="both"/>
                <w:rPr>
                  <w:rFonts w:eastAsia="Andale Sans UI" w:cs="Tahoma"/>
                  <w:szCs w:val="24"/>
                  <w:lang w:bidi="en-US"/>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footnotePr>
        <w:pos w:val="beneathText"/>
        <w:numRestart w:val="eachPage"/>
      </w:footnotePr>
      <w:endnotePr>
        <w:numFmt w:val="decimal"/>
      </w:endnotePr>
      <w:pgSz w:w="11905" w:h="16837"/>
      <w:pgMar w:top="1134" w:right="567" w:bottom="1089"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r>
      <w:rPr>
        <w:rFonts w:eastAsia="Andale Sans UI" w:cs="Tahoma"/>
        <w:szCs w:val="24"/>
        <w:lang w:val="en-US"/>
      </w:rPr>
      <w:drawing>
        <wp:inline distT="0" distB="0" distL="0" distR="0" wp14:anchorId="4B66D0B4" wp14:editId="42615EBC">
          <wp:extent cx="469265" cy="774065"/>
          <wp:effectExtent l="0" t="0" r="6985"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9265" cy="774065"/>
                  </a:xfrm>
                  <a:prstGeom prst="rect">
                    <a:avLst/>
                  </a:prstGeom>
                  <a:noFill/>
                </pic:spPr>
              </pic:pic>
            </a:graphicData>
          </a:graphic>
        </wp:inline>
      </w:drawing>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 w:id="1">
    <w:p>
      <w:pPr>
        <w:widowControl w:val="0"/>
        <w:suppressAutoHyphens/>
        <w:rPr>
          <w:rFonts w:eastAsia="Andale Sans UI" w:cs="Tahoma"/>
          <w:sz w:val="20"/>
          <w:lang w:val="en-GB" w:bidi="en-US"/>
        </w:rPr>
      </w:pPr>
      <w:r>
        <w:rPr>
          <w:rFonts w:eastAsia="Andale Sans UI" w:cs="Tahoma"/>
          <w:sz w:val="20"/>
          <w:vertAlign w:val="superscript"/>
          <w:lang w:bidi="en-US"/>
        </w:rPr>
        <w:footnoteRef/>
      </w:r>
      <w:r>
        <w:rPr>
          <w:rFonts w:eastAsia="Andale Sans UI" w:cs="Tahoma"/>
          <w:sz w:val="20"/>
          <w:lang w:bidi="en-US"/>
        </w:rPr>
        <w:t xml:space="preserve"> L</w:t>
      </w:r>
      <w:r>
        <w:rPr>
          <w:rFonts w:eastAsia="Andale Sans UI" w:cs="Tahoma"/>
          <w:bCs/>
          <w:sz w:val="20"/>
          <w:lang w:bidi="en-US"/>
        </w:rPr>
        <w:t>ietuvos Respublikos aplinkos apsaugos įstatymo Nr. I-2223 15, 19, 19</w:t>
      </w:r>
      <w:r>
        <w:rPr>
          <w:rFonts w:eastAsia="Andale Sans UI" w:cs="Tahoma"/>
          <w:bCs/>
          <w:sz w:val="20"/>
          <w:vertAlign w:val="superscript"/>
          <w:lang w:bidi="en-US"/>
        </w:rPr>
        <w:t>1</w:t>
      </w:r>
      <w:r>
        <w:rPr>
          <w:rFonts w:eastAsia="Andale Sans UI" w:cs="Tahoma"/>
          <w:bCs/>
          <w:sz w:val="20"/>
          <w:lang w:bidi="en-US"/>
        </w:rPr>
        <w:t>, 19</w:t>
      </w:r>
      <w:r>
        <w:rPr>
          <w:rFonts w:eastAsia="Andale Sans UI" w:cs="Tahoma"/>
          <w:bCs/>
          <w:sz w:val="20"/>
          <w:vertAlign w:val="superscript"/>
          <w:lang w:bidi="en-US"/>
        </w:rPr>
        <w:t>2</w:t>
      </w:r>
      <w:r>
        <w:rPr>
          <w:rFonts w:eastAsia="Andale Sans UI" w:cs="Tahoma"/>
          <w:bCs/>
          <w:sz w:val="20"/>
          <w:lang w:bidi="en-US"/>
        </w:rPr>
        <w:t>, 47, 55, 126, 127 straipsnių pakeitimo ir įstatymo papildymo 55</w:t>
      </w:r>
      <w:r>
        <w:rPr>
          <w:rFonts w:eastAsia="Andale Sans UI" w:cs="Tahoma"/>
          <w:bCs/>
          <w:sz w:val="20"/>
          <w:vertAlign w:val="superscript"/>
          <w:lang w:bidi="en-US"/>
        </w:rPr>
        <w:t>1</w:t>
      </w:r>
      <w:r>
        <w:rPr>
          <w:rFonts w:eastAsia="Andale Sans UI" w:cs="Tahoma"/>
          <w:bCs/>
          <w:sz w:val="20"/>
          <w:lang w:bidi="en-US"/>
        </w:rPr>
        <w:t xml:space="preserve"> straipsniu įstatymas</w:t>
      </w:r>
      <w:r>
        <w:rPr>
          <w:rFonts w:eastAsia="Andale Sans UI" w:cs="Tahoma"/>
          <w:sz w:val="20"/>
          <w:lang w:bidi="en-US"/>
        </w:rPr>
        <w:t xml:space="preserve"> d. Nr. XIII-2795</w:t>
      </w:r>
    </w:p>
    <w:p>
      <w:pPr>
        <w:widowControl w:val="0"/>
        <w:suppressAutoHyphens/>
        <w:rPr>
          <w:rFonts w:eastAsia="Andale Sans UI" w:cs="Tahoma"/>
          <w:sz w:val="20"/>
          <w:lang w:bidi="en-US"/>
        </w:rPr>
      </w:pP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6625"/>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5C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26522567">
      <w:bodyDiv w:val="1"/>
      <w:marLeft w:val="0"/>
      <w:marRight w:val="0"/>
      <w:marTop w:val="0"/>
      <w:marBottom w:val="0"/>
      <w:divBdr>
        <w:top w:val="none" w:sz="0" w:space="0" w:color="auto"/>
        <w:left w:val="none" w:sz="0" w:space="0" w:color="auto"/>
        <w:bottom w:val="none" w:sz="0" w:space="0" w:color="auto"/>
        <w:right w:val="none" w:sz="0" w:space="0" w:color="auto"/>
      </w:divBdr>
    </w:div>
    <w:div w:id="1712538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_rels/footer3.xml.rels><?xml version="1.0" encoding="UTF-8"?>

<Relationships xmlns="http://schemas.openxmlformats.org/package/2006/relationships">
  <Relationship Id="rId1"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821fc8ece37344bf910d7d7cd9b197ac" PartId="791f7c31bf6f46cea502cb4746193938"/>
  <Part Type="pastraipa" DocPartId="0d3629451b5149d0b0655f1b64badd41" PartId="e5b00753c99e4bf287bd5c46788c7bf6"/>
  <Part Type="pastraipa" DocPartId="5eb0e64b7a9f466ba8f985ce79d6e986" PartId="0609433bcc6b48a0966b8c39fdc029dd"/>
  <Part Type="pastraipa" DocPartId="098f9be6013143b9972467afaafb8684" PartId="69b066c9a3bc41379ec6f6ff3c34571e"/>
  <Part Type="pastraipa" DocPartId="e27d94673bbf48d88eefaeae740aa527" PartId="6b4a04d0f3a44d5d9bdf571b2a239600"/>
  <Part Type="pastraipa" DocPartId="f9b8d56ec4204e20abaa94ba73b7c070" PartId="2c35e8b7d9f04cc0b12c6910478d2e08"/>
  <Part Type="pastraipa" DocPartId="ab46da365d7b4ad4a3241c1a667f2c96" PartId="fe4a29d551024fa7ac459ab0602443f0"/>
  <Part Type="pastraipa" DocPartId="86e6b4be778e44dc9290870c3cd94527" PartId="a4a270d6bf964b0db3fbc5ea4e2b1889"/>
  <Part Type="pastraipa" DocPartId="48d32556710d4583b186616e5dd8eae8" PartId="c777ffa97d4f4e739708e0136c38c3f8"/>
  <Part Type="pastraipa" DocPartId="4aed36b1b5a040af976fb87e572aea4a" PartId="5102f09be9354f1bbd5a6ca476daa5f3">
    <Part Type="punktas" Nr="1" Abbr="1 p." DocPartId="63d15867cc5c431280104775c619fcc1" PartId="bf082e350c51491cb1d70f795f6153ce"/>
    <Part Type="punktas" Nr="2" Abbr="2 p." DocPartId="8e840929a39445a1960ea9ce51c91568" PartId="76e558afbbcb4c99864489b8dd0b3b31"/>
    <Part Type="punktas" Nr="3" Abbr="3 p." DocPartId="6e5c862dd3dd420086dd1fabf5dd3228" PartId="2259a50d07304f3fbded671f7f69c805"/>
  </Part>
</Parts>
</file>

<file path=customXml/itemProps1.xml><?xml version="1.0" encoding="utf-8"?>
<ds:datastoreItem xmlns:ds="http://schemas.openxmlformats.org/officeDocument/2006/customXml" ds:itemID="{AC249EAF-6652-4ABD-84A1-1185FAB13B9A}">
  <ds:schemaRefs>
    <ds:schemaRef ds:uri="http://schemas.openxmlformats.org/officeDocument/2006/bibliography"/>
  </ds:schemaRefs>
</ds:datastoreItem>
</file>

<file path=customXml/itemProps2.xml><?xml version="1.0" encoding="utf-8"?>
<ds:datastoreItem xmlns:ds="http://schemas.openxmlformats.org/officeDocument/2006/customXml" ds:itemID="{9E8EC28D-BEB0-4035-8BB5-2155CA461B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724</Words>
  <Characters>5194</Characters>
  <Application>Microsoft Office Word</Application>
  <DocSecurity>4</DocSecurity>
  <Lines>110</Lines>
  <Paragraphs>45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5873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2021-07-01T05:13:00Z</dcterms:created>
  <dcterms:modified xsi:type="dcterms:W3CDTF">2021-07-01T05:13:00Z</dcterms:modified>
  <revision>1</revision>
</coreProperties>
</file>