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bff2fc2dbb8e43cca076de00872fd3c0"/>
        <w:lock w:val="sdtLocked"/>
        <w:richText/>
      </w:sdtPr>
      <w:sdtContent>
        <w:p w14:paraId="4496923E" w14:textId="77777777">
          <w:pPr>
            <w:suppressAutoHyphens/>
            <w:spacing w:line="276" w:lineRule="auto"/>
            <w:ind w:left="9072"/>
            <w:textAlignment w:val="baseline"/>
          </w:pPr>
          <w:r>
            <w:rPr>
              <w:szCs w:val="24"/>
              <w:lang w:eastAsia="lt-LT"/>
            </w:rPr>
            <w:t>Teisės aktų projektų antikorupcinio vertinimo taisyklių</w:t>
          </w:r>
        </w:p>
        <w:p w14:paraId="5F753C99" w14:textId="77777777">
          <w:pPr>
            <w:suppressAutoHyphens/>
            <w:spacing w:line="276" w:lineRule="auto"/>
            <w:ind w:left="9072"/>
            <w:textAlignment w:val="baseline"/>
            <w:rPr>
              <w:color w:val="000000"/>
              <w:szCs w:val="24"/>
              <w:lang w:eastAsia="ar-SA"/>
            </w:rPr>
          </w:pPr>
          <w:r>
            <w:rPr>
              <w:color w:val="000000"/>
              <w:szCs w:val="24"/>
              <w:lang w:eastAsia="ar-SA"/>
            </w:rPr>
            <w:t>priedas</w:t>
          </w:r>
        </w:p>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sdt>
            <w:sdtPr>
              <w:alias w:val="Pavadinimas"/>
              <w:tag w:val="title_bff2fc2dbb8e43cca076de00872fd3c0"/>
              <w:lock w:val="sdtLocked"/>
              <w:richText/>
            </w:sdtPr>
            <w:sdtContent>
              <w:r>
                <w:rPr>
                  <w:b/>
                  <w:szCs w:val="24"/>
                  <w:lang w:eastAsia="lt-LT"/>
                </w:rPr>
                <w:t>TEISĖS AKTŲ PROJEKTŲ ANTIKORUPCINIO VERTINIMO PAŽYMA</w:t>
              </w:r>
            </w:sdtContent>
          </w:sdt>
        </w:p>
        <w:p w14:paraId="44FA51F1" w14:textId="77777777">
          <w:pPr>
            <w:suppressAutoHyphens/>
            <w:spacing w:line="276" w:lineRule="auto"/>
            <w:textAlignment w:val="baseline"/>
            <w:rPr>
              <w:szCs w:val="24"/>
              <w:lang w:eastAsia="lt-LT"/>
            </w:rPr>
          </w:pPr>
        </w:p>
        <w:p w14:paraId="52266BBB" w14:textId="32A48E14">
          <w:pPr>
            <w:suppressAutoHyphens/>
            <w:jc w:val="both"/>
            <w:textAlignment w:val="baseline"/>
            <w:rPr>
              <w:szCs w:val="24"/>
              <w:lang w:eastAsia="lt-LT"/>
            </w:rPr>
          </w:pPr>
          <w:r>
            <w:rPr>
              <w:szCs w:val="24"/>
              <w:lang w:eastAsia="lt-LT"/>
            </w:rPr>
            <w:t xml:space="preserve">Teisės akto projekto pavadinimas: </w:t>
          </w:r>
          <w:r>
            <w:t>Lietuvos Respublikos aplinkos ministro 2010 m. gruodžio 30 d. įsakymo Nr. D1-1055 „Dėl Leidimų kirsti mišką išdavimo tvarkos aprašo patvirtinimo“ pakeitimo projektas (toliau – teisės akto projektas).</w:t>
          </w:r>
        </w:p>
        <w:p w14:paraId="5B73E17C" w14:textId="44FB222E">
          <w:pPr>
            <w:jc w:val="both"/>
            <w:rPr>
              <w:color w:val="000000"/>
              <w:lang w:eastAsia="lt-LT"/>
            </w:rPr>
          </w:pPr>
          <w:r>
            <w:rPr>
              <w:lang w:eastAsia="lt-LT"/>
            </w:rPr>
            <w:t xml:space="preserve">Teisės akto projekto tiesioginis rengėjas: </w:t>
          </w:r>
          <w:r>
            <w:rPr>
              <w:color w:val="000000"/>
              <w:lang w:eastAsia="lt-LT"/>
            </w:rPr>
            <w:t>Aplinkos ministerijos Miškų politikos grupės vyresnysis patarėjas Zbignev Glazko.</w:t>
          </w:r>
        </w:p>
        <w:p w14:paraId="3FA7BCAD" w14:textId="13C48551">
          <w:pPr>
            <w:jc w:val="both"/>
          </w:pPr>
          <w:r>
            <w:rPr>
              <w:color w:val="000000"/>
            </w:rPr>
            <w:t>Teisės akto projekto antikorupcinis vertinimas atliktas (</w:t>
          </w:r>
          <w:r>
            <w:rPr>
              <w:i/>
              <w:color w:val="000000"/>
            </w:rPr>
            <w:t>pažymėti reikiamą atsakymą</w:t>
          </w:r>
          <w:r>
            <w:rPr>
              <w:color w:val="000000"/>
            </w:rPr>
            <w:t>):</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77777777">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5B2B3831">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xml:space="preserve">): </w:t>
          </w:r>
          <w:r>
            <w:rPr>
              <w:b/>
              <w:szCs w:val="24"/>
              <w:lang w:eastAsia="lt-LT"/>
            </w:rPr>
            <w:t>nustatytos antikorupciniu požiūriu rizikingos teisės akto projekto nuostatos (2 kriterijus).</w:t>
          </w:r>
          <w:r>
            <w:rPr>
              <w:szCs w:val="24"/>
              <w:lang w:eastAsia="lt-LT"/>
            </w:rPr>
            <w:t xml:space="preserve"> </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D4DF19" w14:textId="77777777">
                <w:pPr>
                  <w:jc w:val="both"/>
                  <w:rPr>
                    <w:rFonts w:eastAsia="Andale Sans UI" w:cs="Tahoma"/>
                    <w:szCs w:val="24"/>
                    <w:lang w:eastAsia="lt-LT" w:bidi="en-US"/>
                  </w:rPr>
                </w:pPr>
                <w:r>
                  <w:rPr>
                    <w:rFonts w:eastAsia="Andale Sans UI" w:cs="Tahoma"/>
                    <w:szCs w:val="24"/>
                    <w:lang w:eastAsia="lt-LT" w:bidi="en-US"/>
                  </w:rPr>
                  <w:t>Teisės akto projektas nesudaro išskirtinių ar nevienodų sąlygų subjektams, su kuriais susijęs teisės akto įgyvendinimas.</w:t>
                </w:r>
              </w:p>
              <w:p w14:paraId="1B39CB24" w14:textId="77777777">
                <w:pPr>
                  <w:jc w:val="both"/>
                  <w:rPr>
                    <w:rFonts w:eastAsia="Andale Sans UI" w:cs="Tahoma"/>
                    <w:szCs w:val="24"/>
                    <w:lang w:eastAsia="lt-LT" w:bidi="en-US"/>
                  </w:rPr>
                </w:pPr>
              </w:p>
              <w:p w14:paraId="1549B0AE" w14:textId="77D9F242">
                <w:pPr>
                  <w:jc w:val="both"/>
                  <w:rPr>
                    <w:rFonts w:eastAsia="Andale Sans UI" w:cs="Tahoma"/>
                    <w:szCs w:val="24"/>
                    <w:lang w:bidi="en-US"/>
                  </w:rPr>
                </w:pPr>
                <w:r>
                  <w:rPr>
                    <w:rFonts w:eastAsia="Andale Sans UI" w:cs="Tahoma"/>
                    <w:szCs w:val="24"/>
                    <w:lang w:eastAsia="lt-LT" w:bidi="en-US"/>
                  </w:rPr>
                  <w:t>Teisės akto projektas</w:t>
                </w:r>
                <w:r>
                  <w:rPr>
                    <w:rFonts w:eastAsia="Andale Sans UI" w:cs="Tahoma"/>
                    <w:szCs w:val="24"/>
                    <w:lang w:bidi="en-US"/>
                  </w:rPr>
                  <w:t xml:space="preserve"> nustatomi vienodi reikalavimai subjektams (privatiems, valstybiniams) dėl miško kirtimo.  </w:t>
                </w:r>
              </w:p>
              <w:p w14:paraId="12855550" w14:textId="3D82FC00">
                <w:pPr>
                  <w:jc w:val="both"/>
                  <w:rPr>
                    <w:rFonts w:eastAsia="Andale Sans UI" w:cs="Tahoma"/>
                    <w:szCs w:val="24"/>
                    <w:lang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470BB43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FCAD16" w14:textId="77777777">
                <w:pPr>
                  <w:keepNext/>
                  <w:jc w:val="both"/>
                  <w:rPr>
                    <w:szCs w:val="24"/>
                    <w:lang w:eastAsia="lt-LT"/>
                  </w:rPr>
                </w:pPr>
                <w:r>
                  <w:rPr>
                    <w:szCs w:val="24"/>
                    <w:lang w:eastAsia="lt-LT"/>
                  </w:rPr>
                  <w:t>Teisės akto projekte yra spragų ar nuostatų, leidžiančių dviprasmiškai aiškinti ir taikyti teisės aktą.</w:t>
                </w:r>
              </w:p>
              <w:p w14:paraId="1DA734E2" w14:textId="77777777">
                <w:pPr>
                  <w:keepNext/>
                  <w:jc w:val="both"/>
                  <w:rPr>
                    <w:szCs w:val="24"/>
                    <w:lang w:eastAsia="lt-LT"/>
                  </w:rPr>
                </w:pPr>
              </w:p>
              <w:p w14:paraId="2163EC7B" w14:textId="1975AC17">
                <w:pPr>
                  <w:keepNext/>
                  <w:jc w:val="both"/>
                  <w:rPr>
                    <w:b/>
                    <w:szCs w:val="24"/>
                  </w:rPr>
                </w:pPr>
                <w:r>
                  <w:rPr>
                    <w:b/>
                    <w:szCs w:val="24"/>
                  </w:rPr>
                  <w:t xml:space="preserve">Leidimų kirsti mišką išdavimo tvarkos aprašo (toliau – Aprašas) projekto 3.3 papunktyje nurodoma, kad teisė kirsti mišką įgyjama nuo </w:t>
                </w:r>
                <w:r>
                  <w:rPr>
                    <w:b/>
                    <w:color w:val="242424"/>
                    <w:szCs w:val="24"/>
                    <w:lang w:eastAsia="en-GB"/>
                  </w:rPr>
                  <w:t>privačių miškų savininkų pranešimo apie</w:t>
                </w:r>
                <w:r>
                  <w:rPr>
                    <w:b/>
                    <w:bCs/>
                    <w:color w:val="242424"/>
                    <w:szCs w:val="24"/>
                    <w:lang w:eastAsia="en-GB"/>
                  </w:rPr>
                  <w:t> Privačių miškų tvarkymo ir naudojimo nuostatų 20 punkte nurodytus miško kirtimus</w:t>
                </w:r>
                <w:r>
                  <w:rPr>
                    <w:b/>
                    <w:color w:val="242424"/>
                    <w:szCs w:val="24"/>
                    <w:lang w:eastAsia="en-GB"/>
                  </w:rPr>
                  <w:t>, kai netaikomi Aprašo 3.2 papunkčio reikalavimai pranešimo suderinimui su VMT,  įregistravimo Aplinkosaugos leidimų informacinėje sistemoje.</w:t>
                </w:r>
                <w:r>
                  <w:rPr>
                    <w:b/>
                    <w:szCs w:val="24"/>
                  </w:rPr>
                  <w:t xml:space="preserve"> </w:t>
                </w:r>
                <w:r>
                  <w:rPr>
                    <w:b/>
                  </w:rPr>
                  <w:t xml:space="preserve">Neaiškūs šio reikalavimo tikslai, tai yra pagal išdėstytas nuostatas tokie pranešimai registruojami neanalizuojant pateiktų dokumentų turinio atitikimo teisės aktų reikalavimams, todėl pranešimą užregistravus gali būti suteikiama teisė kirsti pažeidžiant jų nuostatas; sukuriama administracinė našta, kurios tikslai neaiškūs.    </w:t>
                </w:r>
              </w:p>
              <w:p w14:paraId="2624A335" w14:textId="449A214F">
                <w:pPr>
                  <w:keepNext/>
                  <w:jc w:val="both"/>
                  <w:rPr>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17E778DB">
                <w:pPr>
                  <w:keepNext/>
                  <w:suppressAutoHyphens/>
                  <w:textAlignment w:val="baseline"/>
                  <w:rPr>
                    <w:szCs w:val="24"/>
                    <w:lang w:eastAsia="lt-LT"/>
                  </w:rPr>
                </w:pPr>
                <w:r>
                  <w:rPr>
                    <w:szCs w:val="24"/>
                    <w:lang w:eastAsia="lt-LT"/>
                  </w:rPr>
                  <w:t>Siūlomo nustatyti naujo reglamentavimo tikslas – sutrumpinti pranešimo apie ketinimą kirsti mišką nagrinėjimo Valstybinėje miškų tarnyboje laiką – kad teisė kirsti mišką būtų įgyjama ne vėliau kaip per 5 darbo dienas nuo pranešimo pateikimo, kai kirtimas planuojamas ne Natura 2000 teritorijoje ar ne teritorijoje, kurioje yra nekilnojamoji kultūros vertybė</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1783439A">
                <w:pPr>
                  <w:keepNext/>
                  <w:suppressAutoHyphens/>
                  <w:textAlignment w:val="baseline"/>
                  <w:rPr>
                    <w:szCs w:val="24"/>
                    <w:lang w:eastAsia="lt-LT"/>
                  </w:rPr>
                </w:pPr>
                <w:r>
                  <w:rPr>
                    <w:szCs w:val="24"/>
                    <w:lang w:eastAsia="lt-LT"/>
                  </w:rPr>
                  <w:t>□ tenkina</w:t>
                </w:r>
              </w:p>
              <w:p w14:paraId="5A6EE3EB" w14:textId="1FBBC79B">
                <w:pPr>
                  <w:keepNext/>
                  <w:suppressAutoHyphens/>
                  <w:textAlignment w:val="baseline"/>
                  <w:rPr>
                    <w:b/>
                    <w:szCs w:val="24"/>
                    <w:lang w:eastAsia="lt-LT"/>
                  </w:rPr>
                </w:pPr>
                <w:r>
                  <w:rPr>
                    <w:b/>
                    <w:szCs w:val="24"/>
                    <w:lang w:eastAsia="lt-LT"/>
                  </w:rPr>
                  <w:t>X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63891994">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907101" w14:textId="77777777">
                <w:pPr>
                  <w:suppressAutoHyphens/>
                  <w:jc w:val="both"/>
                  <w:textAlignment w:val="baseline"/>
                  <w:rPr>
                    <w:bCs/>
                  </w:rPr>
                </w:pPr>
                <w:r>
                  <w:rPr>
                    <w:bCs/>
                  </w:rPr>
                  <w:t>Kriterijus nėra teisės akto projekto reglamentavimo dalykas.</w:t>
                </w:r>
              </w:p>
              <w:p w14:paraId="594FD4E1" w14:textId="77777777">
                <w:pPr>
                  <w:suppressAutoHyphens/>
                  <w:jc w:val="both"/>
                  <w:textAlignment w:val="baseline"/>
                  <w:rPr>
                    <w:bCs/>
                  </w:rPr>
                </w:pPr>
              </w:p>
              <w:p w14:paraId="25505B00" w14:textId="30E1AD8C">
                <w:pPr>
                  <w:suppressAutoHyphens/>
                  <w:jc w:val="both"/>
                  <w:textAlignment w:val="baseline"/>
                  <w:rPr>
                    <w:bCs/>
                  </w:rPr>
                </w:pPr>
                <w:r>
                  <w:rPr>
                    <w:bCs/>
                  </w:rPr>
                  <w:t xml:space="preserve">Vadovaujantis Aprašo projekto  nuostatomis Valstybinė miškų tarnyba (toliau – VMT) priima sprendimus dėl teisės suteikimo miškų kirtimui.</w:t>
                </w:r>
              </w:p>
              <w:p w14:paraId="66E4C48D" w14:textId="77777777">
                <w:pPr>
                  <w:suppressAutoHyphens/>
                  <w:jc w:val="both"/>
                  <w:textAlignment w:val="baseline"/>
                  <w:rPr>
                    <w:bCs/>
                  </w:rPr>
                </w:pPr>
              </w:p>
              <w:p w14:paraId="66A69D5E" w14:textId="16BFC720">
                <w:pPr>
                  <w:suppressAutoHyphens/>
                  <w:jc w:val="both"/>
                  <w:textAlignment w:val="baseline"/>
                  <w:rPr>
                    <w:bCs/>
                  </w:rPr>
                </w:pPr>
                <w:r>
                  <w:rPr>
                    <w:bCs/>
                  </w:rPr>
                  <w:t>Vadovaujantis Lietuvos Respublikos aplinkos apsaugos valstybinės kontrolės įstatymu miško naudojimo kontrolę vykdo Aplinkos apsaugos departamentas prie Aplinkos ministerijos.</w:t>
                </w:r>
              </w:p>
              <w:p w14:paraId="034702AF" w14:textId="7777777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77777777">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BAD8C" w14:textId="77777777">
                <w:pPr>
                  <w:suppressAutoHyphens/>
                  <w:jc w:val="both"/>
                  <w:textAlignment w:val="baseline"/>
                  <w:rPr>
                    <w:szCs w:val="24"/>
                    <w:lang w:eastAsia="lt-LT"/>
                  </w:rPr>
                </w:pPr>
                <w:r>
                  <w:rPr>
                    <w:szCs w:val="24"/>
                    <w:lang w:eastAsia="lt-LT"/>
                  </w:rPr>
                  <w:t>Teisės akto projekte nustatyti subjekto įgaliojimai (teisės) atitinka subjekto atliekamas funkcijas (pareigas).</w:t>
                </w:r>
              </w:p>
              <w:p w14:paraId="0CCDBDF6" w14:textId="77777777">
                <w:pPr>
                  <w:suppressAutoHyphens/>
                  <w:jc w:val="both"/>
                  <w:textAlignment w:val="baseline"/>
                  <w:rPr>
                    <w:szCs w:val="24"/>
                    <w:lang w:eastAsia="lt-LT"/>
                  </w:rPr>
                </w:pPr>
              </w:p>
              <w:p w14:paraId="2168437B" w14:textId="4DCBD7B1">
                <w:pPr>
                  <w:suppressAutoHyphens/>
                  <w:jc w:val="both"/>
                  <w:textAlignment w:val="baseline"/>
                  <w:rPr>
                    <w:szCs w:val="24"/>
                    <w:lang w:eastAsia="lt-LT"/>
                  </w:rPr>
                </w:pPr>
                <w:r>
                  <w:rPr>
                    <w:szCs w:val="24"/>
                    <w:lang w:eastAsia="lt-LT"/>
                  </w:rPr>
                  <w:t>VMT nustatyti įgaliojimai atitinka jo atliekamas funkcijas.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5AE8A020">
                <w:pPr>
                  <w:suppressAutoHyphens/>
                  <w:textAlignment w:val="baseline"/>
                  <w:rPr>
                    <w:szCs w:val="24"/>
                    <w:lang w:eastAsia="lt-LT"/>
                  </w:rPr>
                </w:pPr>
                <w:r>
                  <w:rPr>
                    <w:szCs w:val="24"/>
                    <w:lang w:eastAsia="lt-LT"/>
                  </w:rPr>
                  <w:t>X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9E5D65" w14:textId="5D00AFCE">
                <w:pPr>
                  <w:suppressAutoHyphens/>
                  <w:jc w:val="both"/>
                  <w:textAlignment w:val="baseline"/>
                  <w:rPr>
                    <w:bCs/>
                  </w:rPr>
                </w:pPr>
                <w:r>
                  <w:rPr>
                    <w:szCs w:val="24"/>
                    <w:lang w:eastAsia="lt-LT"/>
                  </w:rPr>
                  <w:t>Teisės akto projekte nustatytas baigtinis sprendimų priėmimo kriterijų (atvejų) sąrašas</w:t>
                </w:r>
                <w:r>
                  <w:rPr>
                    <w:bCs/>
                  </w:rPr>
                  <w:t xml:space="preserve">  - 6 p. ir II skyriaus nuostatos.</w:t>
                </w:r>
              </w:p>
              <w:p w14:paraId="4571CCB9"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24ADEE6B">
                <w:pPr>
                  <w:suppressAutoHyphens/>
                  <w:textAlignment w:val="baseline"/>
                  <w:rPr>
                    <w:szCs w:val="24"/>
                    <w:lang w:eastAsia="lt-LT"/>
                  </w:rPr>
                </w:pPr>
                <w:r>
                  <w:rPr>
                    <w:szCs w:val="24"/>
                    <w:lang w:eastAsia="lt-LT"/>
                  </w:rPr>
                  <w:t>X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A7654" w14:textId="3F016192">
                <w:pPr>
                  <w:suppressAutoHyphens/>
                  <w:jc w:val="both"/>
                  <w:textAlignment w:val="baseline"/>
                  <w:rPr>
                    <w:bCs/>
                  </w:rPr>
                </w:pPr>
                <w:r>
                  <w:rPr>
                    <w:szCs w:val="24"/>
                    <w:lang w:eastAsia="lt-LT"/>
                  </w:rPr>
                  <w:t>Teisės akto projekte nustatyta sprendimų priėmimo</w:t>
                </w:r>
                <w:r>
                  <w:rPr>
                    <w:bCs/>
                  </w:rPr>
                  <w:t xml:space="preserve"> tvarka.</w:t>
                </w:r>
              </w:p>
              <w:p w14:paraId="4EBA656F" w14:textId="7777777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41833F1B">
                <w:pPr>
                  <w:suppressAutoHyphens/>
                  <w:textAlignment w:val="baseline"/>
                  <w:rPr>
                    <w:szCs w:val="24"/>
                    <w:lang w:eastAsia="lt-LT"/>
                  </w:rPr>
                </w:pPr>
                <w:r>
                  <w:rPr>
                    <w:szCs w:val="24"/>
                    <w:lang w:eastAsia="lt-LT"/>
                  </w:rPr>
                  <w:t>X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78945C9E">
                <w:pPr>
                  <w:suppressAutoHyphens/>
                  <w:jc w:val="both"/>
                  <w:textAlignment w:val="baseline"/>
                  <w:rPr>
                    <w:szCs w:val="24"/>
                    <w:lang w:eastAsia="lt-LT"/>
                  </w:rPr>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tvarka.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040569A4">
                <w:pPr>
                  <w:suppressAutoHyphens/>
                  <w:textAlignment w:val="baseline"/>
                  <w:rPr>
                    <w:szCs w:val="24"/>
                    <w:lang w:eastAsia="lt-LT"/>
                  </w:rPr>
                </w:pPr>
                <w:r>
                  <w:rPr>
                    <w:szCs w:val="24"/>
                    <w:lang w:eastAsia="lt-LT"/>
                  </w:rPr>
                  <w:t>X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BCEE6D" w14:textId="3FDD5D8B">
                <w:pPr>
                  <w:suppressAutoHyphens/>
                  <w:jc w:val="both"/>
                  <w:textAlignment w:val="baseline"/>
                  <w:rPr>
                    <w:bCs/>
                  </w:rPr>
                </w:pPr>
                <w:r>
                  <w:rPr>
                    <w:szCs w:val="24"/>
                    <w:lang w:eastAsia="lt-LT"/>
                  </w:rPr>
                  <w:t>Teisės akto projektas nustato jo nuostatoms įgyvendinti numatytų procedūrų ir sprendimų priėmimo konkrečius terminus</w:t>
                </w:r>
                <w:r>
                  <w:rPr>
                    <w:bCs/>
                  </w:rPr>
                  <w:t xml:space="preserve">  -  4.3, 7, 11, 12, 13, 22.3, 39 punktai.</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4C54048A">
                <w:pPr>
                  <w:suppressAutoHyphens/>
                  <w:textAlignment w:val="baseline"/>
                  <w:rPr>
                    <w:szCs w:val="24"/>
                    <w:lang w:eastAsia="lt-LT"/>
                  </w:rPr>
                </w:pPr>
                <w:r>
                  <w:rPr>
                    <w:szCs w:val="24"/>
                    <w:lang w:eastAsia="lt-LT"/>
                  </w:rPr>
                  <w:t>X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2BFE1298">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A39A8" w14:textId="77777777">
                <w:pPr>
                  <w:suppressAutoHyphens/>
                  <w:jc w:val="both"/>
                  <w:textAlignment w:val="baseline"/>
                  <w:rPr>
                    <w:bCs/>
                  </w:rPr>
                </w:pPr>
                <w:r>
                  <w:rPr>
                    <w:bCs/>
                  </w:rPr>
                  <w:t>Kriterijus nėra teisės akto projekto reglamentavimo dalykas.</w:t>
                </w:r>
              </w:p>
              <w:p w14:paraId="7D02B187" w14:textId="77777777">
                <w:pPr>
                  <w:suppressAutoHyphens/>
                  <w:textAlignment w:val="baseline"/>
                  <w:rPr>
                    <w:szCs w:val="24"/>
                    <w:lang w:eastAsia="lt-LT"/>
                  </w:rPr>
                </w:pPr>
              </w:p>
              <w:p w14:paraId="6B617D87" w14:textId="77777777">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77777777">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27BC00" w14:textId="77777777">
                <w:pPr>
                  <w:suppressAutoHyphens/>
                  <w:jc w:val="both"/>
                  <w:textAlignment w:val="baseline"/>
                  <w:rPr>
                    <w:bCs/>
                  </w:rPr>
                </w:pPr>
                <w:r>
                  <w:rPr>
                    <w:bCs/>
                  </w:rPr>
                  <w:t>Kriterijus nėra teisės akto projekto reglamentavimo dalykas.</w:t>
                </w:r>
              </w:p>
              <w:p w14:paraId="31F0C20C" w14:textId="4E9BC029">
                <w:pPr>
                  <w:suppressAutoHyphens/>
                  <w:jc w:val="both"/>
                  <w:textAlignment w:val="baseline"/>
                </w:pPr>
              </w:p>
              <w:p w14:paraId="6AAD3E30" w14:textId="77777777">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0107C61A">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79A1095A">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A796D3" w14:textId="77777777">
                <w:pPr>
                  <w:suppressAutoHyphens/>
                  <w:jc w:val="both"/>
                  <w:textAlignment w:val="baseline"/>
                  <w:rPr>
                    <w:bCs/>
                  </w:rPr>
                </w:pPr>
                <w:r>
                  <w:rPr>
                    <w:bCs/>
                  </w:rPr>
                  <w:t>Kriterijus nėra teisės akto projekto reglamentavimo dalykas.</w:t>
                </w:r>
              </w:p>
              <w:p w14:paraId="22520002" w14:textId="77777777">
                <w:pPr>
                  <w:suppressAutoHyphens/>
                  <w:jc w:val="both"/>
                  <w:textAlignment w:val="baseline"/>
                  <w:rPr>
                    <w:szCs w:val="24"/>
                    <w:lang w:eastAsia="lt-LT"/>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77777777">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9473D6" w14:textId="77777777">
                <w:pPr>
                  <w:suppressAutoHyphens/>
                  <w:jc w:val="both"/>
                  <w:textAlignment w:val="baseline"/>
                  <w:rPr>
                    <w:bCs/>
                  </w:rPr>
                </w:pPr>
                <w:r>
                  <w:rPr>
                    <w:bCs/>
                  </w:rPr>
                  <w:t>Kriterijus nėra teisės akto projekto reglamentavimo dalykas.</w:t>
                </w:r>
              </w:p>
              <w:p w14:paraId="192CBC2D" w14:textId="77777777">
                <w:pPr>
                  <w:suppressAutoHyphens/>
                  <w:jc w:val="both"/>
                  <w:textAlignment w:val="baseline"/>
                  <w:rPr>
                    <w:bCs/>
                  </w:rPr>
                </w:pPr>
              </w:p>
              <w:p w14:paraId="643BBF3F"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7777777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77777777">
                <w:pPr>
                  <w:suppressAutoHyphens/>
                  <w:textAlignment w:val="baseline"/>
                  <w:rPr>
                    <w:szCs w:val="24"/>
                    <w:lang w:eastAsia="lt-LT"/>
                  </w:rPr>
                </w:pPr>
                <w:r>
                  <w:rPr>
                    <w:szCs w:val="24"/>
                    <w:lang w:eastAsia="lt-LT"/>
                  </w:rPr>
                  <w:t>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77777777">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01360079" w14:textId="77777777">
                <w:pPr>
                  <w:suppressAutoHyphens/>
                  <w:ind w:left="-11" w:firstLine="11"/>
                  <w:textAlignment w:val="baseline"/>
                </w:pPr>
              </w:p>
              <w:p w14:paraId="0FBCCFAB" w14:textId="7D3314EA">
                <w:pPr>
                  <w:suppressAutoHyphens/>
                  <w:ind w:left="-11" w:firstLine="11"/>
                  <w:textAlignment w:val="baseline"/>
                  <w:rPr>
                    <w:szCs w:val="24"/>
                    <w:lang w:eastAsia="lt-LT"/>
                  </w:rPr>
                </w:pPr>
                <w:r>
                  <w:rPr>
                    <w:color w:val="000000"/>
                    <w:lang w:eastAsia="lt-LT"/>
                  </w:rPr>
                  <w:t>Aplinkos ministerijos Miškų politikos grupės vyresnysis patarėjas Zbignev Glazko</w:t>
                </w:r>
              </w:p>
            </w:tc>
            <w:tc>
              <w:tcPr>
                <w:tcW w:w="2434" w:type="dxa"/>
                <w:gridSpan w:val="2"/>
                <w:tcBorders>
                  <w:top w:val="nil"/>
                  <w:left w:val="nil"/>
                  <w:bottom w:val="nil"/>
                  <w:right w:val="nil"/>
                </w:tcBorders>
                <w:tcMar>
                  <w:top w:w="0" w:type="dxa"/>
                  <w:left w:w="108" w:type="dxa"/>
                  <w:bottom w:w="0" w:type="dxa"/>
                  <w:right w:w="108" w:type="dxa"/>
                </w:tcMar>
              </w:tcPr>
              <w:p w14:paraId="59777EF4" w14:textId="77777777">
                <w:pPr>
                  <w:suppressAutoHyphens/>
                  <w:textAlignment w:val="baseline"/>
                  <w:rPr>
                    <w:szCs w:val="24"/>
                    <w:lang w:eastAsia="lt-LT"/>
                  </w:rPr>
                </w:pPr>
              </w:p>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77777777">
                <w:pPr>
                  <w:suppressAutoHyphens/>
                  <w:ind w:left="-11" w:firstLine="11"/>
                  <w:textAlignment w:val="baseline"/>
                  <w:rPr>
                    <w:szCs w:val="24"/>
                    <w:lang w:eastAsia="lt-LT"/>
                  </w:rPr>
                </w:pPr>
                <w:r>
                  <w:rPr>
                    <w:szCs w:val="24"/>
                    <w:lang w:eastAsia="lt-LT"/>
                  </w:rPr>
                  <w:t>Aplinkos ministerijos Korupcijos prevencijos ir vidaus tyrimų skyriaus vyriausiasis specialistas Remigijus Alavočius</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33C7A5A" w14:textId="33A9A734">
                <w:pPr>
                  <w:suppressAutoHyphens/>
                  <w:ind w:left="-11" w:firstLine="64"/>
                  <w:textAlignment w:val="baseline"/>
                  <w:rPr>
                    <w:szCs w:val="24"/>
                    <w:lang w:eastAsia="lt-LT"/>
                  </w:rPr>
                </w:pPr>
                <w:r>
                  <w:rPr>
                    <w:szCs w:val="24"/>
                    <w:lang w:eastAsia="lt-LT"/>
                  </w:rPr>
                  <w:t xml:space="preserve">(parašas)                                             (data)                                        </w:t>
                </w:r>
              </w:p>
              <w:p w14:paraId="39AC3730" w14:textId="77777777">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3E509CA5"/>
  <w15:docId w15:val="{BA2B0519-58C2-452C-9535-D46CCBC66A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ede00fd78cb84fdea3ec26991cbded5a" PartId="bff2fc2dbb8e43cca076de00872fd3c0"/>
</Parts>
</file>

<file path=customXml/itemProps1.xml><?xml version="1.0" encoding="utf-8"?>
<ds:datastoreItem xmlns:ds="http://schemas.openxmlformats.org/officeDocument/2006/customXml" ds:itemID="{0EE67F54-42DD-4145-95F0-EF778644CDB9}">
  <ds:schemaRefs>
    <ds:schemaRef ds:uri="http://schemas.openxmlformats.org/officeDocument/2006/bibliography"/>
  </ds:schemaRefs>
</ds:datastoreItem>
</file>

<file path=customXml/itemProps2.xml><?xml version="1.0" encoding="utf-8"?>
<ds:datastoreItem xmlns:ds="http://schemas.openxmlformats.org/officeDocument/2006/customXml" ds:itemID="{397001AF-42C7-4872-B412-97C2C6B87D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1163</Words>
  <Characters>8573</Characters>
  <Application>Microsoft Office Word</Application>
  <DocSecurity>4</DocSecurity>
  <Lines>408</Lines>
  <Paragraphs>154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2022-10-21T16:17:00Z</dcterms:created>
  <dc:creator>Remigijus Alavočius</dc:creator>
  <lastModifiedBy>adlibuser</lastModifiedBy>
  <dcterms:modified xsi:type="dcterms:W3CDTF">2022-10-21T16:17:00Z</dcterms:modified>
  <revision>2</revision>
</coreProperties>
</file>