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a88a7de8045439fb47c486cab0b31cb"/>
        <w:lock w:val="sdtLocked"/>
        <w:richText/>
      </w:sdtPr>
      <w:sdtContent>
        <w:p>
          <w:pPr>
            <w:jc w:val="center"/>
            <w:rPr>
              <w:b/>
              <w:color w:val="000000"/>
              <w:sz w:val="22"/>
              <w:szCs w:val="22"/>
              <w:lang w:eastAsia="lt-LT"/>
            </w:rPr>
          </w:pPr>
          <w:r>
            <w:rPr>
              <w:b/>
              <w:color w:val="000000"/>
              <w:sz w:val="22"/>
              <w:szCs w:val="22"/>
              <w:lang w:eastAsia="lt-LT"/>
            </w:rPr>
            <w:t>NUMATOMO TEISINIO REGULIAVIMO POVEIKIO VERTINIMO PAŽYMA</w:t>
          </w:r>
        </w:p>
        <w:p>
          <w:pPr>
            <w:rPr>
              <w:sz w:val="22"/>
              <w:szCs w:val="22"/>
              <w:lang w:eastAsia="lt-LT"/>
            </w:rPr>
          </w:pPr>
        </w:p>
        <w:tbl>
          <w:tblPr>
            <w:tblW w:w="9606" w:type="dxa"/>
            <w:tblLook w:val="00A0" w:firstRow="1" w:lastRow="0" w:firstColumn="1" w:lastColumn="0" w:noHBand="0" w:noVBand="0"/>
          </w:tblPr>
          <w:tblGrid>
            <w:gridCol w:w="2204"/>
            <w:gridCol w:w="7402"/>
          </w:tblGrid>
          <w:tr>
            <w:tc>
              <w:tcPr>
                <w:tcW w:w="2204" w:type="dxa"/>
                <w:shd w:val="clear" w:color="auto" w:fill="DBE5F1"/>
                <w:hideMark/>
              </w:tcPr>
              <w:p>
                <w:pPr>
                  <w:rPr>
                    <w:b/>
                    <w:sz w:val="22"/>
                    <w:szCs w:val="22"/>
                    <w:shd w:val="clear" w:color="auto" w:fill="DBE5F1"/>
                    <w:lang w:eastAsia="lt-LT"/>
                  </w:rPr>
                </w:pPr>
                <w:r>
                  <w:rPr>
                    <w:b/>
                    <w:sz w:val="22"/>
                    <w:szCs w:val="22"/>
                    <w:shd w:val="clear" w:color="auto" w:fill="DBE5F1"/>
                    <w:lang w:eastAsia="lt-LT"/>
                  </w:rPr>
                  <w:t>Projekto pavadinimas</w:t>
                </w:r>
              </w:p>
            </w:tc>
            <w:tc>
              <w:tcPr>
                <w:tcW w:w="7402" w:type="dxa"/>
                <w:shd w:val="clear" w:color="auto" w:fill="DBE5F1"/>
              </w:tcPr>
              <w:p>
                <w:pPr>
                  <w:jc w:val="both"/>
                  <w:rPr>
                    <w:sz w:val="22"/>
                    <w:szCs w:val="22"/>
                    <w:lang w:eastAsia="lt-LT"/>
                  </w:rPr>
                </w:pPr>
                <w:r>
                  <w:rPr>
                    <w:sz w:val="22"/>
                    <w:szCs w:val="22"/>
                  </w:rPr>
                  <w:t>Lietuvos Respublikos aplinkos ministro įsakymo „Dėl Lietuvos Respublikos aplinkos ministro 2010 m. gruodžio 30 d. įsakymo Nr. D1-1055 „Dėl Leidimų kirsti mišką išdavimo tvarkos aprašo patvirtinimo“ pakeitimo“ projektas (toliau – Projektas).</w:t>
                </w:r>
              </w:p>
            </w:tc>
          </w:tr>
        </w:tbl>
        <w:p>
          <w:pPr>
            <w:spacing w:line="276" w:lineRule="auto"/>
            <w:rPr>
              <w:sz w:val="22"/>
              <w:szCs w:val="22"/>
              <w:lang w:eastAsia="lt-LT"/>
            </w:rPr>
          </w:pPr>
        </w:p>
        <w:p>
          <w:pPr>
            <w:rPr>
              <w:sz w:val="18"/>
              <w:szCs w:val="18"/>
            </w:rPr>
          </w:pPr>
        </w:p>
        <w:tbl>
          <w:tblPr>
            <w:tblW w:w="9606" w:type="dxa"/>
            <w:tblLook w:val="00A0" w:firstRow="1" w:lastRow="0" w:firstColumn="1" w:lastColumn="0" w:noHBand="0" w:noVBand="0"/>
          </w:tblPr>
          <w:tblGrid>
            <w:gridCol w:w="2191"/>
            <w:gridCol w:w="7415"/>
          </w:tblGrid>
          <w:tr>
            <w:tc>
              <w:tcPr>
                <w:tcW w:w="2191" w:type="dxa"/>
                <w:shd w:val="clear" w:color="auto" w:fill="DBE5F1"/>
                <w:hideMark/>
              </w:tcPr>
              <w:p>
                <w:pPr>
                  <w:rPr>
                    <w:sz w:val="22"/>
                    <w:szCs w:val="22"/>
                    <w:lang w:eastAsia="lt-LT"/>
                  </w:rPr>
                </w:pPr>
                <w:r>
                  <w:rPr>
                    <w:b/>
                    <w:sz w:val="22"/>
                    <w:szCs w:val="22"/>
                    <w:shd w:val="clear" w:color="auto" w:fill="DBE5F1"/>
                    <w:lang w:eastAsia="lt-LT"/>
                  </w:rPr>
                  <w:t>Projekto rengėjas</w:t>
                </w:r>
              </w:p>
            </w:tc>
            <w:tc>
              <w:tcPr>
                <w:tcW w:w="7415" w:type="dxa"/>
                <w:shd w:val="clear" w:color="auto" w:fill="DBE5F1"/>
                <w:hideMark/>
              </w:tcPr>
              <w:p>
                <w:pPr>
                  <w:jc w:val="both"/>
                  <w:rPr>
                    <w:b/>
                    <w:sz w:val="22"/>
                    <w:szCs w:val="22"/>
                    <w:lang w:eastAsia="lt-LT"/>
                  </w:rPr>
                </w:pPr>
                <w:r>
                  <w:rPr>
                    <w:color w:val="000000"/>
                    <w:sz w:val="22"/>
                    <w:szCs w:val="22"/>
                  </w:rPr>
                  <w:t>Aplinkos ministerijos Miškų politikos grupė.</w:t>
                </w:r>
              </w:p>
            </w:tc>
          </w:tr>
        </w:tbl>
        <w:p>
          <w:pPr>
            <w:rPr>
              <w:sz w:val="22"/>
              <w:szCs w:val="22"/>
              <w:lang w:eastAsia="lt-LT"/>
            </w:rPr>
          </w:pPr>
        </w:p>
        <w:tbl>
          <w:tblPr>
            <w:tblW w:w="9606" w:type="dxa"/>
            <w:tblLook w:val="00A0" w:firstRow="1" w:lastRow="0" w:firstColumn="1" w:lastColumn="0" w:noHBand="0" w:noVBand="0"/>
          </w:tblPr>
          <w:tblGrid>
            <w:gridCol w:w="2189"/>
            <w:gridCol w:w="7417"/>
          </w:tblGrid>
          <w:tr>
            <w:tc>
              <w:tcPr>
                <w:tcW w:w="2189" w:type="dxa"/>
                <w:shd w:val="clear" w:color="auto" w:fill="DBE5F1"/>
                <w:hideMark/>
              </w:tcPr>
              <w:p>
                <w:pPr>
                  <w:spacing w:line="276" w:lineRule="auto"/>
                  <w:rPr>
                    <w:b/>
                    <w:sz w:val="22"/>
                    <w:szCs w:val="22"/>
                    <w:lang w:eastAsia="lt-LT"/>
                  </w:rPr>
                </w:pPr>
                <w:r>
                  <w:rPr>
                    <w:b/>
                    <w:sz w:val="22"/>
                    <w:szCs w:val="22"/>
                    <w:lang w:eastAsia="lt-LT"/>
                  </w:rPr>
                  <w:t>Projekto tikslas</w:t>
                </w:r>
              </w:p>
            </w:tc>
            <w:tc>
              <w:tcPr>
                <w:tcW w:w="7417" w:type="dxa"/>
                <w:shd w:val="clear" w:color="auto" w:fill="DBE5F1"/>
                <w:hideMark/>
              </w:tcPr>
              <w:p>
                <w:pPr>
                  <w:jc w:val="both"/>
                  <w:rPr>
                    <w:sz w:val="22"/>
                    <w:szCs w:val="22"/>
                    <w:lang w:eastAsia="lt-LT"/>
                  </w:rPr>
                </w:pPr>
                <w:r>
                  <w:rPr>
                    <w:sz w:val="22"/>
                    <w:szCs w:val="22"/>
                    <w:lang w:eastAsia="lt-LT"/>
                  </w:rPr>
                  <w:t xml:space="preserve">Projekto tikslas – sumažinti administracinę naštą, atsisakyti perteklinių, nekuriančių gamtosauginės ar kitokios pridėtinės vertės,  veiklos apribojimų, išlaikyti padidintą dėmesį kirtimams Natura 2000 teritorijose ir teritorijose, kuriose yra nekilnojamųjų kultūros vertybių, tačiau supaprastinti procedūras dėl pranešimų apie ketinimą kirsti mišką, nepatenkantį į šias teritorijas.</w:t>
                </w:r>
              </w:p>
              <w:p>
                <w:pPr>
                  <w:jc w:val="both"/>
                  <w:rPr>
                    <w:sz w:val="22"/>
                    <w:szCs w:val="22"/>
                    <w:lang w:eastAsia="lt-LT"/>
                  </w:rPr>
                </w:pPr>
                <w:r>
                  <w:rPr>
                    <w:sz w:val="22"/>
                    <w:szCs w:val="22"/>
                    <w:lang w:eastAsia="lt-LT"/>
                  </w:rPr>
                  <w:t xml:space="preserve">Projekte siūloma išdėstyti </w:t>
                </w:r>
                <w:r>
                  <w:rPr>
                    <w:color w:val="000000"/>
                    <w:sz w:val="22"/>
                    <w:szCs w:val="22"/>
                  </w:rPr>
                  <w:t>Leidimų kirsti mišką išdavimo tvarką</w:t>
                </w:r>
                <w:r>
                  <w:rPr>
                    <w:sz w:val="22"/>
                    <w:szCs w:val="22"/>
                  </w:rPr>
                  <w:t xml:space="preserve"> nauja redakcija naujai nustatant, kad:</w:t>
                </w:r>
                <w:r>
                  <w:rPr>
                    <w:sz w:val="22"/>
                    <w:szCs w:val="22"/>
                    <w:lang w:eastAsia="lt-LT"/>
                  </w:rPr>
                  <w:t xml:space="preserve"> </w:t>
                </w:r>
              </w:p>
              <w:p>
                <w:pPr>
                  <w:jc w:val="both"/>
                  <w:rPr>
                    <w:sz w:val="22"/>
                    <w:szCs w:val="22"/>
                    <w:lang w:eastAsia="lt-LT"/>
                  </w:rPr>
                </w:pPr>
                <w:r>
                  <w:rPr>
                    <w:sz w:val="22"/>
                    <w:szCs w:val="22"/>
                    <w:lang w:eastAsia="lt-LT"/>
                  </w:rPr>
                  <w:t>1. pranešimų apie ketinimą kirsti derinimas su Valstybine miškų tarnyba privačių miškų savininkams būtų privalomas tik retinimo, einamiesiems ir atrankiniams sanitariniams kirtimams (išskyrus sausuolių ir vėjavartų kirtimus) ir tik tais atvejais, kai kirtimai planuojami Natura 2000 teritorijoje ar teritorijoje, kurioje yra nekilnojamoji kultūros vertybė;</w:t>
                </w:r>
              </w:p>
              <w:p>
                <w:pPr>
                  <w:jc w:val="both"/>
                  <w:rPr>
                    <w:sz w:val="22"/>
                    <w:szCs w:val="22"/>
                    <w:lang w:eastAsia="lt-LT"/>
                  </w:rPr>
                </w:pPr>
                <w:r>
                  <w:rPr>
                    <w:sz w:val="22"/>
                    <w:szCs w:val="22"/>
                    <w:lang w:eastAsia="lt-LT"/>
                  </w:rPr>
                  <w:t>2. pateikus pranešimą miško kirtimui, kuris neturi būti derinamas, teisė kirsti mišką įgyjama nuo tokio pranešimo įregistravimo ALIS;</w:t>
                </w:r>
              </w:p>
              <w:p>
                <w:pPr>
                  <w:jc w:val="both"/>
                  <w:rPr>
                    <w:sz w:val="22"/>
                    <w:szCs w:val="22"/>
                    <w:lang w:eastAsia="lt-LT"/>
                  </w:rPr>
                </w:pPr>
                <w:r>
                  <w:rPr>
                    <w:sz w:val="22"/>
                    <w:szCs w:val="22"/>
                    <w:lang w:eastAsia="lt-LT"/>
                  </w:rPr>
                  <w:t>3. laikas nuo pranešimo pateikimo iki galimybės kirsti, kai kirtimas planuojamas ne Natura 2000 teritorijoje ar teritorijoje, kurioje yra nekilnojamoji kultūros vertybė, neturėtų viršyti 5 d. d.;</w:t>
                </w:r>
              </w:p>
              <w:p>
                <w:pPr>
                  <w:jc w:val="both"/>
                  <w:rPr>
                    <w:sz w:val="22"/>
                    <w:szCs w:val="22"/>
                    <w:lang w:eastAsia="lt-LT"/>
                  </w:rPr>
                </w:pPr>
                <w:r>
                  <w:rPr>
                    <w:sz w:val="22"/>
                    <w:szCs w:val="22"/>
                    <w:lang w:eastAsia="lt-LT"/>
                  </w:rPr>
                  <w:t>4. leidimas kirsti mišką būtų neprivalomas invazinių medžių ir krūmų rūšių, nurodytų Invazinių Lietuvoje organizmų rūšių sąraše, patvirtintame aplinkos ministro 2004 m. rugpjūčio 16 d. įsakymu Nr. D1-433 „Dėl Invazinių Lietuvoje organizmų rūšių sąrašo patvirtinimo ir dėl kai kurių aplinkos ministro įsakymų pripažinimo netekusiais galios“, kirtimui neplynaisiais miško kirtimais;</w:t>
                </w:r>
              </w:p>
              <w:p>
                <w:pPr>
                  <w:jc w:val="both"/>
                  <w:rPr>
                    <w:sz w:val="22"/>
                    <w:szCs w:val="22"/>
                    <w:lang w:eastAsia="lt-LT"/>
                  </w:rPr>
                </w:pPr>
                <w:r>
                  <w:rPr>
                    <w:sz w:val="22"/>
                    <w:szCs w:val="22"/>
                    <w:lang w:eastAsia="lt-LT"/>
                  </w:rPr>
                  <w:t>5. bendraturčio sutikimo nereikės, kai bendraturčiai, tarpusavio susitarimu nustatė ir notariškai pasitvirtino tvarką, pagal kurią bus naudojamasi atskiromis žemės sklypo konkrečiomis dalimis;</w:t>
                </w:r>
              </w:p>
              <w:p>
                <w:pPr>
                  <w:jc w:val="both"/>
                  <w:rPr>
                    <w:sz w:val="22"/>
                    <w:szCs w:val="22"/>
                    <w:lang w:eastAsia="lt-LT"/>
                  </w:rPr>
                </w:pPr>
                <w:r>
                  <w:rPr>
                    <w:sz w:val="22"/>
                    <w:szCs w:val="22"/>
                    <w:lang w:eastAsia="lt-LT"/>
                  </w:rPr>
                  <w:t>6. leidimui kirsti mišką gauti, pranešimui apie ketinimą kirsti mišką registruoti reikalingus duomenis ir dokumentus į Aplinkosaugos leidimų informacinę sistemą (toliau – ALIS) galės sukelti Valstybinės miškų tarnybos registruotas miškotvarkos projektų autorius, miškininkas ar biržių rėžėjas;</w:t>
                </w:r>
              </w:p>
              <w:p>
                <w:pPr>
                  <w:jc w:val="both"/>
                  <w:rPr>
                    <w:sz w:val="22"/>
                    <w:szCs w:val="22"/>
                    <w:lang w:eastAsia="lt-LT"/>
                  </w:rPr>
                </w:pPr>
                <w:r>
                  <w:rPr>
                    <w:sz w:val="22"/>
                    <w:szCs w:val="22"/>
                    <w:lang w:eastAsia="lt-LT"/>
                  </w:rPr>
                  <w:t>7. pranešimo apie ketinimą kirsti mišką galiojimo laikas būtų ne iki einamųjų metų gruodžio 31 d., o 12 mėnesių nuo registravimo (suderinimo) datos;</w:t>
                </w:r>
              </w:p>
              <w:p>
                <w:pPr>
                  <w:jc w:val="both"/>
                  <w:rPr>
                    <w:sz w:val="22"/>
                    <w:szCs w:val="22"/>
                    <w:lang w:eastAsia="lt-LT"/>
                  </w:rPr>
                </w:pPr>
                <w:r>
                  <w:rPr>
                    <w:sz w:val="22"/>
                    <w:szCs w:val="22"/>
                    <w:lang w:eastAsia="lt-LT"/>
                  </w:rPr>
                  <w:t xml:space="preserve">8. būtų panaikinta prievolė privataus miško savininkui, valstybinio miško valdytojui tikslinti leidimą kirsti mišką ar pranešimą apie ketinimą kirsti mišką, jei įvykdžius miško kirtimus paaiškėja, kad iškirstas likvidinės medienos tūris viršijo leidime ar pranešime nurodytą apytikrį likvidinį  tūrį;</w:t>
                </w:r>
              </w:p>
              <w:p>
                <w:pPr>
                  <w:jc w:val="both"/>
                  <w:rPr>
                    <w:sz w:val="22"/>
                    <w:szCs w:val="22"/>
                    <w:lang w:eastAsia="lt-LT"/>
                  </w:rPr>
                </w:pPr>
                <w:r>
                  <w:rPr>
                    <w:sz w:val="22"/>
                    <w:szCs w:val="22"/>
                    <w:lang w:eastAsia="lt-LT"/>
                  </w:rPr>
                  <w:t>9. privačių miškų savininkai paraiškas dėl leidimų kirsti mišką ir pranešimus apie ketinimą kirsti mišką galėtų teikti tik per ALIS.</w:t>
                </w:r>
              </w:p>
            </w:tc>
          </w:tr>
        </w:tbl>
        <w:p>
          <w:pPr>
            <w:rPr>
              <w:sz w:val="22"/>
              <w:szCs w:val="22"/>
              <w:lang w:eastAsia="lt-LT"/>
            </w:rPr>
          </w:pPr>
        </w:p>
        <w:tbl>
          <w:tblPr>
            <w:tblW w:w="9606" w:type="dxa"/>
            <w:tblLook w:val="00A0" w:firstRow="1" w:lastRow="0" w:firstColumn="1" w:lastColumn="0" w:noHBand="0" w:noVBand="0"/>
          </w:tblPr>
          <w:tblGrid>
            <w:gridCol w:w="2164"/>
            <w:gridCol w:w="7442"/>
          </w:tblGrid>
          <w:tr>
            <w:trPr>
              <w:trHeight w:val="415"/>
            </w:trPr>
            <w:tc>
              <w:tcPr>
                <w:tcW w:w="2164" w:type="dxa"/>
                <w:shd w:val="clear" w:color="auto" w:fill="DBE5F1"/>
              </w:tcPr>
              <w:p>
                <w:pPr>
                  <w:rPr>
                    <w:sz w:val="22"/>
                    <w:szCs w:val="22"/>
                    <w:lang w:eastAsia="lt-LT"/>
                  </w:rPr>
                </w:pPr>
              </w:p>
            </w:tc>
            <w:tc>
              <w:tcPr>
                <w:tcW w:w="7442" w:type="dxa"/>
                <w:shd w:val="clear" w:color="auto" w:fill="DBE5F1"/>
                <w:hideMark/>
              </w:tcPr>
              <w:p>
                <w:pPr>
                  <w:jc w:val="center"/>
                  <w:rPr>
                    <w:b/>
                    <w:sz w:val="22"/>
                    <w:szCs w:val="22"/>
                    <w:lang w:eastAsia="lt-LT"/>
                  </w:rPr>
                </w:pPr>
                <w:r>
                  <w:rPr>
                    <w:b/>
                    <w:sz w:val="22"/>
                    <w:szCs w:val="22"/>
                    <w:lang w:eastAsia="lt-LT"/>
                  </w:rPr>
                  <w:t xml:space="preserve">Siūlomo projekto poveikio įvertinimas </w:t>
                </w:r>
              </w:p>
              <w:p>
                <w:pPr>
                  <w:jc w:val="center"/>
                  <w:rPr>
                    <w:b/>
                    <w:sz w:val="22"/>
                    <w:szCs w:val="22"/>
                    <w:lang w:eastAsia="lt-LT"/>
                  </w:rPr>
                </w:pPr>
                <w:r>
                  <w:rPr>
                    <w:b/>
                    <w:sz w:val="22"/>
                    <w:szCs w:val="22"/>
                    <w:lang w:eastAsia="lt-LT"/>
                  </w:rPr>
                  <w:t>(</w:t>
                </w:r>
                <w:r>
                  <w:rPr>
                    <w:b/>
                    <w:bCs/>
                    <w:sz w:val="22"/>
                    <w:szCs w:val="22"/>
                    <w:lang w:eastAsia="lt-LT"/>
                  </w:rPr>
                  <w:t>teigiamos ir (ar) neigiamos pasekmės)</w:t>
                </w:r>
              </w:p>
            </w:tc>
          </w:tr>
        </w:tbl>
        <w:p>
          <w:pPr>
            <w:rPr>
              <w:sz w:val="22"/>
              <w:szCs w:val="22"/>
              <w:lang w:eastAsia="lt-LT"/>
            </w:rPr>
          </w:pPr>
        </w:p>
        <w:tbl>
          <w:tblPr>
            <w:tblW w:w="9606" w:type="dxa"/>
            <w:tblLook w:val="00A0" w:firstRow="1" w:lastRow="0" w:firstColumn="1" w:lastColumn="0" w:noHBand="0" w:noVBand="0"/>
          </w:tblPr>
          <w:tblGrid>
            <w:gridCol w:w="2235"/>
            <w:gridCol w:w="7371"/>
          </w:tblGrid>
          <w:tr>
            <w:tc>
              <w:tcPr>
                <w:tcW w:w="2235" w:type="dxa"/>
                <w:shd w:val="clear" w:color="auto" w:fill="DBE5F1"/>
              </w:tcPr>
              <w:p>
                <w:pPr>
                  <w:rPr>
                    <w:b/>
                    <w:sz w:val="22"/>
                    <w:szCs w:val="22"/>
                    <w:lang w:eastAsia="lt-LT"/>
                  </w:rPr>
                </w:pPr>
                <w:r>
                  <w:rPr>
                    <w:b/>
                    <w:sz w:val="22"/>
                    <w:szCs w:val="22"/>
                    <w:lang w:eastAsia="lt-LT"/>
                  </w:rPr>
                  <w:t>Poveikis aplinkai</w:t>
                </w:r>
              </w:p>
            </w:tc>
            <w:tc>
              <w:tcPr>
                <w:tcW w:w="7371" w:type="dxa"/>
                <w:shd w:val="clear" w:color="auto" w:fill="DBE5F1"/>
              </w:tcPr>
              <w:p>
                <w:pPr>
                  <w:rPr>
                    <w:color w:val="000000"/>
                    <w:sz w:val="23"/>
                    <w:szCs w:val="23"/>
                  </w:rPr>
                </w:pPr>
                <w:r>
                  <w:rPr>
                    <w:color w:val="000000"/>
                    <w:szCs w:val="24"/>
                    <w:lang w:eastAsia="lt-LT"/>
                  </w:rPr>
                  <w:t xml:space="preserve">Projekte siūloma leisti be Valstybinės miškų tarnybos suderinimo </w:t>
                </w:r>
                <w:r>
                  <w:rPr>
                    <w:color w:val="000000"/>
                    <w:szCs w:val="24"/>
                  </w:rPr>
                  <w:t xml:space="preserve">baltalksnių, drebulių, gluosnių ir blindžių kirtimą neplynais kirtimais III–IV miškų grupių miškuose, nesvarbu, koks medyno amžius  ir neplynus kirtimus vyresniuose kaip 20 metų III–IV miškų grupių medynuose, kai miško</w:t>
                </w:r>
                <w:r>
                  <w:rPr>
                    <w:color w:val="000000"/>
                    <w:sz w:val="23"/>
                    <w:szCs w:val="23"/>
                  </w:rPr>
                  <w:t xml:space="preserve"> savininkas savo reikmėms per metus iš vieno hektaro išsikerta iki 3 kietmetrių likvidinės medienos, bet ne daugiau kaip 15 kietmetrių iš viso savo miško žemės sklypo, retinimo, einamuosius ir atrankinius sanitarinius kirtimus (išskyrus sausuolių ir vėjavartų kirtimus), kai kirtimai planuojami ne Natura 2000 teritorijoje ar teritorijoje, kurioje yra nekilnojamoji kultūros vertybė.</w:t>
                </w:r>
              </w:p>
              <w:p>
                <w:pPr>
                  <w:rPr>
                    <w:color w:val="000000"/>
                    <w:szCs w:val="24"/>
                    <w:lang w:eastAsia="lt-LT"/>
                  </w:rPr>
                </w:pPr>
                <w:r>
                  <w:rPr>
                    <w:color w:val="000000"/>
                    <w:szCs w:val="24"/>
                    <w:lang w:eastAsia="lt-LT"/>
                  </w:rPr>
                  <w:t>Tai gali apsunkinti miško naudojimo ir medžių atrinkimo miško kirtimams kontrolę, sudaryti prielaidas piktnaudžiauti iškertant medžius neleistinu intensyvumu arba nekirstinus dėl kitų priežasčių.</w:t>
                </w:r>
              </w:p>
            </w:tc>
          </w:tr>
        </w:tbl>
        <w:p>
          <w:pPr>
            <w:rPr>
              <w:sz w:val="22"/>
              <w:szCs w:val="22"/>
              <w:lang w:eastAsia="lt-LT"/>
            </w:rPr>
          </w:pPr>
        </w:p>
        <w:tbl>
          <w:tblPr>
            <w:tblW w:w="9606" w:type="dxa"/>
            <w:tblLook w:val="00A0" w:firstRow="1" w:lastRow="0" w:firstColumn="1" w:lastColumn="0" w:noHBand="0" w:noVBand="0"/>
          </w:tblPr>
          <w:tblGrid>
            <w:gridCol w:w="2235"/>
            <w:gridCol w:w="7371"/>
          </w:tblGrid>
          <w:tr>
            <w:tc>
              <w:tcPr>
                <w:tcW w:w="2235" w:type="dxa"/>
                <w:shd w:val="clear" w:color="auto" w:fill="DBE5F1"/>
              </w:tcPr>
              <w:p>
                <w:pPr>
                  <w:rPr>
                    <w:b/>
                    <w:sz w:val="22"/>
                    <w:szCs w:val="22"/>
                    <w:lang w:eastAsia="lt-LT"/>
                  </w:rPr>
                </w:pPr>
                <w:r>
                  <w:rPr>
                    <w:b/>
                    <w:sz w:val="22"/>
                    <w:szCs w:val="22"/>
                    <w:lang w:eastAsia="lt-LT"/>
                  </w:rPr>
                  <w:t>Poveikis viešojo valdymo sistemai (viešajam administravimui)</w:t>
                </w:r>
              </w:p>
            </w:tc>
            <w:tc>
              <w:tcPr>
                <w:tcW w:w="7371" w:type="dxa"/>
                <w:shd w:val="clear" w:color="auto" w:fill="DBE5F1"/>
              </w:tcPr>
              <w:p>
                <w:pPr>
                  <w:jc w:val="both"/>
                  <w:rPr>
                    <w:sz w:val="22"/>
                    <w:szCs w:val="22"/>
                    <w:lang w:eastAsia="lt-LT"/>
                  </w:rPr>
                </w:pPr>
                <w:r>
                  <w:rPr>
                    <w:szCs w:val="24"/>
                    <w:lang w:eastAsia="lt-LT"/>
                  </w:rPr>
                  <w:t xml:space="preserve">Prognozuojamas teigiamas poveikis. Priėmus Projektą, būtų atsisakyta dalies pranešimų apie ketinimą kirsti mišką derinimo, leidimų kirsti mišką ir pranešimų tikslinimo procedūrų, būtų efektyviau panaudojami esami </w:t>
                </w:r>
                <w:r>
                  <w:rPr>
                    <w:szCs w:val="24"/>
                  </w:rPr>
                  <w:t>Aplinkosaugos leidimų išdavimo sistemos resursai</w:t>
                </w:r>
                <w:r>
                  <w:rPr>
                    <w:sz w:val="22"/>
                    <w:szCs w:val="22"/>
                  </w:rPr>
                  <w:t>.</w:t>
                </w:r>
              </w:p>
            </w:tc>
          </w:tr>
        </w:tbl>
        <w:p>
          <w:pPr>
            <w:rPr>
              <w:sz w:val="22"/>
              <w:szCs w:val="22"/>
              <w:lang w:eastAsia="lt-LT"/>
            </w:rPr>
          </w:pPr>
        </w:p>
        <w:tbl>
          <w:tblPr>
            <w:tblW w:w="9606" w:type="dxa"/>
            <w:tblLook w:val="00A0" w:firstRow="1" w:lastRow="0" w:firstColumn="1" w:lastColumn="0" w:noHBand="0" w:noVBand="0"/>
          </w:tblPr>
          <w:tblGrid>
            <w:gridCol w:w="2235"/>
            <w:gridCol w:w="7371"/>
          </w:tblGrid>
          <w:tr>
            <w:tc>
              <w:tcPr>
                <w:tcW w:w="2235" w:type="dxa"/>
                <w:shd w:val="clear" w:color="auto" w:fill="DBE5F1"/>
                <w:hideMark/>
              </w:tcPr>
              <w:p>
                <w:pPr>
                  <w:rPr>
                    <w:b/>
                    <w:sz w:val="22"/>
                    <w:szCs w:val="22"/>
                    <w:lang w:eastAsia="lt-LT"/>
                  </w:rPr>
                </w:pPr>
                <w:r>
                  <w:rPr>
                    <w:b/>
                    <w:sz w:val="22"/>
                    <w:szCs w:val="22"/>
                    <w:lang w:eastAsia="lt-LT"/>
                  </w:rPr>
                  <w:t>Poveikis valstybės finansams</w:t>
                </w:r>
              </w:p>
            </w:tc>
            <w:tc>
              <w:tcPr>
                <w:tcW w:w="7371" w:type="dxa"/>
                <w:shd w:val="clear" w:color="auto" w:fill="DBE5F1"/>
                <w:hideMark/>
              </w:tcPr>
              <w:p>
                <w:pPr>
                  <w:jc w:val="both"/>
                  <w:rPr>
                    <w:sz w:val="22"/>
                    <w:szCs w:val="22"/>
                    <w:lang w:eastAsia="lt-LT"/>
                  </w:rPr>
                </w:pPr>
                <w:r>
                  <w:rPr>
                    <w:sz w:val="22"/>
                    <w:szCs w:val="22"/>
                    <w:lang w:eastAsia="lt-LT"/>
                  </w:rPr>
                  <w:t>Papildomų lėšų projektui įgyvendinti nereikės.</w:t>
                </w:r>
              </w:p>
            </w:tc>
          </w:tr>
        </w:tbl>
        <w:p>
          <w:pPr>
            <w:rPr>
              <w:i/>
              <w:sz w:val="22"/>
              <w:szCs w:val="22"/>
              <w:lang w:eastAsia="lt-LT"/>
            </w:rPr>
          </w:pPr>
        </w:p>
        <w:tbl>
          <w:tblPr>
            <w:tblW w:w="9606" w:type="dxa"/>
            <w:tblLook w:val="00A0" w:firstRow="1" w:lastRow="0" w:firstColumn="1" w:lastColumn="0" w:noHBand="0" w:noVBand="0"/>
          </w:tblPr>
          <w:tblGrid>
            <w:gridCol w:w="2235"/>
            <w:gridCol w:w="7371"/>
          </w:tblGrid>
          <w:tr>
            <w:tc>
              <w:tcPr>
                <w:tcW w:w="2235" w:type="dxa"/>
                <w:shd w:val="clear" w:color="auto" w:fill="DBE5F1"/>
                <w:hideMark/>
              </w:tcPr>
              <w:p>
                <w:pPr>
                  <w:rPr>
                    <w:b/>
                    <w:sz w:val="22"/>
                    <w:szCs w:val="22"/>
                    <w:lang w:eastAsia="lt-LT"/>
                  </w:rPr>
                </w:pPr>
                <w:r>
                  <w:rPr>
                    <w:b/>
                    <w:sz w:val="22"/>
                    <w:szCs w:val="22"/>
                    <w:lang w:eastAsia="lt-LT"/>
                  </w:rPr>
                  <w:t>Poveikis administracinei naštai</w:t>
                </w:r>
              </w:p>
            </w:tc>
            <w:tc>
              <w:tcPr>
                <w:tcW w:w="7371" w:type="dxa"/>
                <w:shd w:val="clear" w:color="auto" w:fill="DBE5F1"/>
                <w:hideMark/>
              </w:tcPr>
              <w:p>
                <w:pPr>
                  <w:jc w:val="both"/>
                  <w:rPr>
                    <w:sz w:val="22"/>
                    <w:szCs w:val="22"/>
                    <w:lang w:eastAsia="lt-LT"/>
                  </w:rPr>
                </w:pPr>
                <w:r>
                  <w:rPr>
                    <w:sz w:val="22"/>
                    <w:szCs w:val="22"/>
                    <w:lang w:eastAsia="lt-LT"/>
                  </w:rPr>
                  <w:t>Administracinė našta sumažės.</w:t>
                </w:r>
              </w:p>
            </w:tc>
          </w:tr>
        </w:tbl>
        <w:p>
          <w:pPr>
            <w:rPr>
              <w:i/>
              <w:sz w:val="22"/>
              <w:szCs w:val="22"/>
              <w:lang w:eastAsia="lt-LT"/>
            </w:rPr>
          </w:pPr>
        </w:p>
        <w:tbl>
          <w:tblPr>
            <w:tblW w:w="9606" w:type="dxa"/>
            <w:tblLook w:val="00A0" w:firstRow="1" w:lastRow="0" w:firstColumn="1" w:lastColumn="0" w:noHBand="0" w:noVBand="0"/>
          </w:tblPr>
          <w:tblGrid>
            <w:gridCol w:w="2235"/>
            <w:gridCol w:w="7371"/>
          </w:tblGrid>
          <w:tr>
            <w:tc>
              <w:tcPr>
                <w:tcW w:w="2235" w:type="dxa"/>
                <w:shd w:val="clear" w:color="auto" w:fill="DBE5F1"/>
                <w:hideMark/>
              </w:tcPr>
              <w:p>
                <w:pPr>
                  <w:rPr>
                    <w:b/>
                    <w:sz w:val="22"/>
                    <w:szCs w:val="22"/>
                    <w:lang w:eastAsia="lt-LT"/>
                  </w:rPr>
                </w:pPr>
                <w:r>
                  <w:rPr>
                    <w:b/>
                    <w:sz w:val="22"/>
                    <w:szCs w:val="22"/>
                    <w:lang w:eastAsia="lt-LT"/>
                  </w:rPr>
                  <w:t>Poveikis klimato kaitai</w:t>
                </w:r>
              </w:p>
            </w:tc>
            <w:tc>
              <w:tcPr>
                <w:tcW w:w="7371" w:type="dxa"/>
                <w:shd w:val="clear" w:color="auto" w:fill="DBE5F1"/>
                <w:hideMark/>
              </w:tcPr>
              <w:p>
                <w:pPr>
                  <w:jc w:val="both"/>
                  <w:rPr>
                    <w:sz w:val="22"/>
                    <w:szCs w:val="22"/>
                    <w:lang w:eastAsia="lt-LT"/>
                  </w:rPr>
                </w:pPr>
                <w:r>
                  <w:rPr>
                    <w:sz w:val="22"/>
                    <w:szCs w:val="22"/>
                    <w:lang w:eastAsia="lt-LT"/>
                  </w:rPr>
                  <w:t>Poveikis klimato kaitai nenumatomas.</w:t>
                </w:r>
              </w:p>
            </w:tc>
          </w:tr>
        </w:tbl>
        <w:p>
          <w:pPr>
            <w:rPr>
              <w:i/>
              <w:sz w:val="22"/>
              <w:szCs w:val="22"/>
              <w:lang w:eastAsia="lt-LT"/>
            </w:rPr>
          </w:pPr>
        </w:p>
        <w:sdt>
          <w:sdtPr>
            <w:alias w:val="lentele"/>
            <w:tag w:val="part_bc17b851db1f4b1cba0720233def458e"/>
            <w:lock w:val="sdtLocked"/>
            <w:richText/>
          </w:sdtPr>
          <w:sdtContent>
            <w:p>
              <w:pPr>
                <w:jc w:val="both"/>
                <w:rPr>
                  <w:b/>
                  <w:sz w:val="22"/>
                  <w:szCs w:val="22"/>
                </w:rPr>
              </w:pPr>
              <w:sdt>
                <w:sdtPr>
                  <w:alias w:val="Pavadinimas"/>
                  <w:tag w:val="title_bc17b851db1f4b1cba0720233def458e"/>
                  <w:lock w:val="sdtLocked"/>
                  <w:richText/>
                </w:sdtPr>
                <w:sdtContent>
                  <w:r>
                    <w:rPr>
                      <w:b/>
                      <w:sz w:val="22"/>
                      <w:szCs w:val="22"/>
                    </w:rPr>
                    <w:t>Informacija apie asmenį ir instituciją, atsakingą už poveikio vertinimą</w:t>
                  </w:r>
                </w:sdtContent>
              </w:sdt>
            </w:p>
            <w:tbl>
              <w:tblPr>
                <w:tblW w:w="487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836"/>
                <w:gridCol w:w="6770"/>
              </w:tblGrid>
              <w:tr>
                <w:tc>
                  <w:tcPr>
                    <w:tcW w:w="1476" w:type="pct"/>
                    <w:tcBorders>
                      <w:top w:val="single" w:sz="4" w:space="0" w:color="auto"/>
                      <w:left w:val="single" w:sz="4" w:space="0" w:color="auto"/>
                      <w:bottom w:val="single" w:sz="4" w:space="0" w:color="auto"/>
                      <w:right w:val="single" w:sz="4" w:space="0" w:color="auto"/>
                    </w:tcBorders>
                    <w:tcMar>
                      <w:top w:w="28" w:type="dxa"/>
                      <w:bottom w:w="28" w:type="dxa"/>
                    </w:tcMar>
                    <w:hideMark/>
                  </w:tcPr>
                  <w:p>
                    <w:pPr>
                      <w:rPr>
                        <w:sz w:val="22"/>
                        <w:szCs w:val="22"/>
                      </w:rPr>
                    </w:pPr>
                    <w:r>
                      <w:rPr>
                        <w:sz w:val="22"/>
                        <w:szCs w:val="22"/>
                      </w:rPr>
                      <w:t>Vardas ir pavardė</w:t>
                    </w:r>
                  </w:p>
                </w:tc>
                <w:tc>
                  <w:tcPr>
                    <w:tcW w:w="3524" w:type="pct"/>
                    <w:tcBorders>
                      <w:top w:val="single" w:sz="4" w:space="0" w:color="auto"/>
                      <w:left w:val="single" w:sz="4" w:space="0" w:color="auto"/>
                      <w:bottom w:val="single" w:sz="4" w:space="0" w:color="auto"/>
                      <w:right w:val="single" w:sz="4" w:space="0" w:color="auto"/>
                    </w:tcBorders>
                    <w:tcMar>
                      <w:top w:w="28" w:type="dxa"/>
                      <w:bottom w:w="28" w:type="dxa"/>
                    </w:tcMar>
                  </w:tcPr>
                  <w:p>
                    <w:pPr>
                      <w:rPr>
                        <w:sz w:val="22"/>
                        <w:szCs w:val="22"/>
                      </w:rPr>
                    </w:pPr>
                    <w:r>
                      <w:rPr>
                        <w:sz w:val="22"/>
                        <w:szCs w:val="22"/>
                      </w:rPr>
                      <w:t>Zbignev Glazko</w:t>
                    </w:r>
                  </w:p>
                </w:tc>
              </w:tr>
              <w:tr>
                <w:tc>
                  <w:tcPr>
                    <w:tcW w:w="1476" w:type="pct"/>
                    <w:tcBorders>
                      <w:top w:val="single" w:sz="4" w:space="0" w:color="auto"/>
                      <w:left w:val="single" w:sz="4" w:space="0" w:color="auto"/>
                      <w:bottom w:val="single" w:sz="4" w:space="0" w:color="auto"/>
                      <w:right w:val="single" w:sz="4" w:space="0" w:color="auto"/>
                    </w:tcBorders>
                    <w:tcMar>
                      <w:top w:w="28" w:type="dxa"/>
                      <w:bottom w:w="28" w:type="dxa"/>
                    </w:tcMar>
                    <w:hideMark/>
                  </w:tcPr>
                  <w:p>
                    <w:pPr>
                      <w:rPr>
                        <w:b/>
                        <w:sz w:val="22"/>
                        <w:szCs w:val="22"/>
                      </w:rPr>
                    </w:pPr>
                    <w:r>
                      <w:rPr>
                        <w:sz w:val="22"/>
                        <w:szCs w:val="22"/>
                      </w:rPr>
                      <w:t>Pareigos</w:t>
                    </w:r>
                  </w:p>
                </w:tc>
                <w:tc>
                  <w:tcPr>
                    <w:tcW w:w="3524" w:type="pct"/>
                    <w:tcBorders>
                      <w:top w:val="single" w:sz="4" w:space="0" w:color="auto"/>
                      <w:left w:val="single" w:sz="4" w:space="0" w:color="auto"/>
                      <w:bottom w:val="single" w:sz="4" w:space="0" w:color="auto"/>
                      <w:right w:val="single" w:sz="4" w:space="0" w:color="auto"/>
                    </w:tcBorders>
                    <w:tcMar>
                      <w:top w:w="28" w:type="dxa"/>
                      <w:bottom w:w="28" w:type="dxa"/>
                    </w:tcMar>
                  </w:tcPr>
                  <w:p>
                    <w:pPr>
                      <w:jc w:val="both"/>
                      <w:rPr>
                        <w:sz w:val="22"/>
                        <w:szCs w:val="22"/>
                      </w:rPr>
                    </w:pPr>
                    <w:r>
                      <w:rPr>
                        <w:sz w:val="22"/>
                        <w:szCs w:val="22"/>
                      </w:rPr>
                      <w:t>Vyresnysis patarėjas</w:t>
                    </w:r>
                  </w:p>
                </w:tc>
              </w:tr>
              <w:tr>
                <w:tc>
                  <w:tcPr>
                    <w:tcW w:w="1476" w:type="pct"/>
                    <w:tcBorders>
                      <w:top w:val="single" w:sz="4" w:space="0" w:color="auto"/>
                      <w:left w:val="single" w:sz="4" w:space="0" w:color="auto"/>
                      <w:bottom w:val="single" w:sz="4" w:space="0" w:color="auto"/>
                      <w:right w:val="single" w:sz="4" w:space="0" w:color="auto"/>
                    </w:tcBorders>
                    <w:tcMar>
                      <w:top w:w="28" w:type="dxa"/>
                      <w:bottom w:w="28" w:type="dxa"/>
                    </w:tcMar>
                    <w:hideMark/>
                  </w:tcPr>
                  <w:p>
                    <w:pPr>
                      <w:rPr>
                        <w:b/>
                        <w:sz w:val="22"/>
                        <w:szCs w:val="22"/>
                      </w:rPr>
                    </w:pPr>
                    <w:r>
                      <w:rPr>
                        <w:sz w:val="22"/>
                        <w:szCs w:val="22"/>
                      </w:rPr>
                      <w:t>Institucija (padalinys)</w:t>
                    </w:r>
                  </w:p>
                </w:tc>
                <w:tc>
                  <w:tcPr>
                    <w:tcW w:w="3524" w:type="pct"/>
                    <w:tcBorders>
                      <w:top w:val="single" w:sz="4" w:space="0" w:color="auto"/>
                      <w:left w:val="single" w:sz="4" w:space="0" w:color="auto"/>
                      <w:bottom w:val="single" w:sz="4" w:space="0" w:color="auto"/>
                      <w:right w:val="single" w:sz="4" w:space="0" w:color="auto"/>
                    </w:tcBorders>
                    <w:tcMar>
                      <w:top w:w="28" w:type="dxa"/>
                      <w:bottom w:w="28" w:type="dxa"/>
                    </w:tcMar>
                  </w:tcPr>
                  <w:p>
                    <w:pPr>
                      <w:jc w:val="both"/>
                      <w:rPr>
                        <w:sz w:val="22"/>
                        <w:szCs w:val="22"/>
                      </w:rPr>
                    </w:pPr>
                    <w:r>
                      <w:rPr>
                        <w:color w:val="000000"/>
                        <w:sz w:val="22"/>
                        <w:szCs w:val="22"/>
                      </w:rPr>
                      <w:t>Aplinkos ministerijos Miškų politikos grupė</w:t>
                    </w:r>
                  </w:p>
                </w:tc>
              </w:tr>
              <w:tr>
                <w:trPr>
                  <w:trHeight w:val="511"/>
                </w:trPr>
                <w:tc>
                  <w:tcPr>
                    <w:tcW w:w="1476" w:type="pct"/>
                    <w:tcBorders>
                      <w:top w:val="single" w:sz="4" w:space="0" w:color="auto"/>
                      <w:left w:val="single" w:sz="4" w:space="0" w:color="auto"/>
                      <w:bottom w:val="single" w:sz="4" w:space="0" w:color="auto"/>
                      <w:right w:val="single" w:sz="4" w:space="0" w:color="auto"/>
                    </w:tcBorders>
                    <w:tcMar>
                      <w:top w:w="28" w:type="dxa"/>
                      <w:bottom w:w="28" w:type="dxa"/>
                    </w:tcMar>
                    <w:hideMark/>
                  </w:tcPr>
                  <w:p>
                    <w:pPr>
                      <w:rPr>
                        <w:sz w:val="22"/>
                        <w:szCs w:val="22"/>
                      </w:rPr>
                    </w:pPr>
                    <w:r>
                      <w:rPr>
                        <w:sz w:val="22"/>
                        <w:szCs w:val="22"/>
                      </w:rPr>
                      <w:t>Telefono numeris ir elektroninio pašto adresas</w:t>
                    </w:r>
                  </w:p>
                </w:tc>
                <w:tc>
                  <w:tcPr>
                    <w:tcW w:w="3524" w:type="pct"/>
                    <w:tcBorders>
                      <w:top w:val="single" w:sz="4" w:space="0" w:color="auto"/>
                      <w:left w:val="single" w:sz="4" w:space="0" w:color="auto"/>
                      <w:bottom w:val="single" w:sz="4" w:space="0" w:color="auto"/>
                      <w:right w:val="single" w:sz="4" w:space="0" w:color="auto"/>
                    </w:tcBorders>
                    <w:tcMar>
                      <w:top w:w="28" w:type="dxa"/>
                      <w:bottom w:w="28" w:type="dxa"/>
                    </w:tcMar>
                  </w:tcPr>
                  <w:p>
                    <w:pPr>
                      <w:jc w:val="both"/>
                      <w:rPr>
                        <w:sz w:val="22"/>
                        <w:szCs w:val="22"/>
                      </w:rPr>
                    </w:pPr>
                    <w:r>
                      <w:rPr>
                        <w:sz w:val="22"/>
                        <w:szCs w:val="22"/>
                      </w:rPr>
                      <w:t>8 696 770 66; zbignev.glazko</w:t>
                    </w:r>
                    <w:r>
                      <w:rPr>
                        <w:sz w:val="22"/>
                        <w:szCs w:val="22"/>
                        <w:lang w:val="en-US"/>
                      </w:rPr>
                      <w:t>@am.lt</w:t>
                    </w:r>
                    <w:r>
                      <w:rPr>
                        <w:color w:val="0000FF"/>
                        <w:sz w:val="22"/>
                        <w:szCs w:val="22"/>
                        <w:u w:val="single"/>
                        <w:lang w:val="en-US"/>
                      </w:rPr>
                      <w:t xml:space="preserve"> </w:t>
                    </w:r>
                  </w:p>
                </w:tc>
              </w:tr>
            </w:tbl>
            <w:p/>
          </w:sdtContent>
        </w:sdt>
      </w:sdtContent>
    </w:sdt>
    <w:sectPr>
      <w:pgSz w:w="11906" w:h="16838"/>
      <w:pgMar w:top="1701"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437E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1F6863E-2D97-4A1E-9035-AF5CD5F6115C}"/>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bcc4ae6a80143d481c9371294a61e16" PartId="ba88a7de8045439fb47c486cab0b31cb">
    <Part Type="lentele" Title="Informacija apie asmenį ir instituciją, atsakingą už poveikio vertinimą" DocPartId="caecd02ef1d8440a90ce3e78761edffb" PartId="bc17b851db1f4b1cba0720233def458e"/>
  </Part>
</Parts>
</file>

<file path=customXml/itemProps1.xml><?xml version="1.0" encoding="utf-8"?>
<ds:datastoreItem xmlns:ds="http://schemas.openxmlformats.org/officeDocument/2006/customXml" ds:itemID="{2E289E58-A548-4BCC-8FBC-6A0FA7CE98C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598</Words>
  <Characters>4220</Characters>
  <Application>Microsoft Office Word</Application>
  <DocSecurity>4</DocSecurity>
  <Lines>102</Lines>
  <Paragraphs>44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Hewlett-Packard Company</Company>
  <LinksUpToDate>false</LinksUpToDate>
  <CharactersWithSpaces>4774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2022-10-21T16:17:00Z</dcterms:created>
  <dc:creator>d.anuskevicius</dc:creator>
  <lastModifiedBy>adlibuser</lastModifiedBy>
  <dcterms:modified xsi:type="dcterms:W3CDTF">2022-10-21T16:17:00Z</dcterms:modified>
  <revision>2</revision>
</coreProperties>
</file>