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b12b38b6b0243dd9e768579b5c95cc4"/>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5529"/>
            <w:gridCol w:w="141"/>
            <w:gridCol w:w="1270"/>
            <w:gridCol w:w="565"/>
            <w:gridCol w:w="2133"/>
          </w:tblGrid>
          <w:tr>
            <w:tc>
              <w:tcPr>
                <w:tcW w:w="9638" w:type="dxa"/>
                <w:gridSpan w:val="5"/>
                <w:tcBorders>
                  <w:bottom w:val="single" w:sz="4" w:space="0" w:color="000000"/>
                </w:tcBorders>
              </w:tcPr>
              <w:p>
                <w:pPr>
                  <w:rPr>
                    <w:sz w:val="10"/>
                    <w:szCs w:val="10"/>
                  </w:rPr>
                </w:pPr>
              </w:p>
              <w:p>
                <w:pPr>
                  <w:widowControl w:val="0"/>
                  <w:suppressLineNumbers/>
                  <w:suppressAutoHyphens/>
                  <w:jc w:val="center"/>
                  <w:rPr>
                    <w:rFonts w:eastAsia="Andale Sans UI;Times New Roman" w:cs="Tahoma"/>
                    <w:i/>
                    <w:iCs/>
                    <w:sz w:val="28"/>
                    <w:szCs w:val="28"/>
                    <w:lang w:eastAsia="zh-CN" w:bidi="en-US"/>
                  </w:rPr>
                </w:pPr>
                <w:r>
                  <w:rPr>
                    <w:rFonts w:eastAsia="Andale Sans UI;Times New Roman" w:cs="Tahoma"/>
                    <w:i/>
                    <w:iCs/>
                    <w:sz w:val="20"/>
                    <w:lang w:val="en-US"/>
                  </w:rPr>
                  <w:drawing>
                    <wp:inline distT="0" distB="0" distL="0" distR="0" wp14:anchorId="7CB67DA6" wp14:editId="7CB67DA7">
                      <wp:extent cx="522605" cy="617855"/>
                      <wp:effectExtent l="0" t="0" r="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10"/>
                              <a:srcRect l="-11" t="-9" r="-11" b="-9"/>
                              <a:stretch>
                                <a:fillRect/>
                              </a:stretch>
                            </pic:blipFill>
                            <pic:spPr bwMode="auto">
                              <a:xfrm>
                                <a:off x="0" y="0"/>
                                <a:ext cx="522605" cy="617855"/>
                              </a:xfrm>
                              <a:prstGeom prst="rect">
                                <a:avLst/>
                              </a:prstGeom>
                            </pic:spPr>
                          </pic:pic>
                        </a:graphicData>
                      </a:graphic>
                    </wp:inline>
                  </w:drawing>
                </w:r>
              </w:p>
              <w:p>
                <w:pPr>
                  <w:rPr>
                    <w:sz w:val="10"/>
                    <w:szCs w:val="10"/>
                  </w:rPr>
                </w:pPr>
              </w:p>
              <w:p>
                <w:pPr>
                  <w:widowControl w:val="0"/>
                  <w:suppressLineNumbers/>
                  <w:suppressAutoHyphens/>
                  <w:jc w:val="center"/>
                  <w:rPr>
                    <w:rFonts w:eastAsia="Andale Sans UI;Times New Roman" w:cs="Tahoma"/>
                    <w:b/>
                    <w:bCs/>
                    <w:spacing w:val="20"/>
                    <w:sz w:val="28"/>
                    <w:szCs w:val="28"/>
                    <w:lang w:eastAsia="zh-CN" w:bidi="en-US"/>
                  </w:rPr>
                </w:pPr>
                <w:r>
                  <w:rPr>
                    <w:rFonts w:eastAsia="Andale Sans UI;Times New Roman" w:cs="Tahoma"/>
                    <w:b/>
                    <w:bCs/>
                    <w:spacing w:val="20"/>
                    <w:sz w:val="28"/>
                    <w:szCs w:val="28"/>
                    <w:lang w:eastAsia="zh-CN" w:bidi="en-US"/>
                  </w:rPr>
                  <w:t>LIETUVOS RESPUBLIKOS APLINKOS MINISTERIJA</w:t>
                </w:r>
              </w:p>
              <w:p>
                <w:pPr>
                  <w:rPr>
                    <w:sz w:val="10"/>
                    <w:szCs w:val="10"/>
                  </w:rPr>
                </w:pPr>
              </w:p>
              <w:p>
                <w:pPr>
                  <w:widowControl w:val="0"/>
                  <w:suppressLineNumbers/>
                  <w:suppressAutoHyphens/>
                  <w:jc w:val="center"/>
                  <w:rPr>
                    <w:rFonts w:eastAsia="Andale Sans UI;Times New Roman" w:cs="Tahoma"/>
                    <w:szCs w:val="24"/>
                    <w:lang w:eastAsia="zh-CN" w:bidi="en-US"/>
                  </w:rPr>
                </w:pPr>
                <w:r>
                  <w:rPr>
                    <w:rFonts w:ascii="Arial" w:eastAsia="Andale Sans UI;Times New Roman" w:hAnsi="Arial" w:cs="Arial"/>
                    <w:b/>
                    <w:bCs/>
                    <w:spacing w:val="12"/>
                    <w:sz w:val="14"/>
                    <w:szCs w:val="14"/>
                    <w:lang w:eastAsia="zh-CN" w:bidi="en-US"/>
                  </w:rPr>
                  <w:t>Biudžetinė įstaiga, A. Jakšto g. 4, LT-01105 Vilnius,</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tel. (8~5) 266 3661, el. p. info@am.lt, http://www.am.lt.</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snapToGrid w:val="0"/>
                  <w:rPr>
                    <w:rFonts w:ascii="Arial" w:eastAsia="Andale Sans UI;Times New Roman" w:hAnsi="Arial" w:cs="Arial"/>
                    <w:b/>
                    <w:bCs/>
                    <w:spacing w:val="12"/>
                    <w:sz w:val="14"/>
                    <w:szCs w:val="14"/>
                    <w:lang w:eastAsia="zh-CN" w:bidi="en-US"/>
                  </w:rPr>
                </w:pPr>
              </w:p>
            </w:tc>
          </w:tr>
          <w:tr>
            <w:trPr>
              <w:cantSplit/>
              <w:trHeight w:val="340"/>
            </w:trPr>
            <w:tc>
              <w:tcPr>
                <w:tcW w:w="5529" w:type="dxa"/>
                <w:vMerge w:val="restart"/>
                <w:tcMar>
                  <w:top w:w="0" w:type="dxa"/>
                  <w:left w:w="0" w:type="dxa"/>
                  <w:bottom w:w="0" w:type="dxa"/>
                  <w:right w:w="0" w:type="dxa"/>
                </w:tcMar>
              </w:tcPr>
              <w:p>
                <w:pPr>
                  <w:widowControl w:val="0"/>
                  <w:suppressLineNumbers/>
                  <w:suppressAutoHyphens/>
                  <w:rPr>
                    <w:rFonts w:eastAsia="Andale Sans UI;Times New Roman" w:cs="Tahoma"/>
                    <w:szCs w:val="24"/>
                    <w:lang w:eastAsia="zh-CN" w:bidi="en-US"/>
                  </w:rPr>
                </w:pPr>
                <w:r>
                  <w:rPr>
                    <w:rFonts w:eastAsia="Andale Sans UI;Times New Roman" w:cs="Tahoma"/>
                    <w:szCs w:val="24"/>
                    <w:lang w:eastAsia="zh-CN" w:bidi="en-US"/>
                  </w:rPr>
                  <w:t>Adresatams pagal sąrašą</w:t>
                </w:r>
              </w:p>
              <w:p>
                <w:pPr>
                  <w:widowControl w:val="0"/>
                  <w:suppressLineNumbers/>
                  <w:suppressAutoHyphens/>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suppressAutoHyphens/>
                  <w:snapToGrid w:val="0"/>
                  <w:ind w:right="67"/>
                  <w:jc w:val="right"/>
                  <w:rPr>
                    <w:rFonts w:eastAsia="Andale Sans UI;Times New Roman" w:cs="Tahoma"/>
                    <w:spacing w:val="10"/>
                    <w:szCs w:val="24"/>
                    <w:lang w:eastAsia="zh-CN" w:bidi="en-US"/>
                  </w:rPr>
                </w:pP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r>
                  <w:rPr>
                    <w:rFonts w:eastAsia="Andale Sans UI;Times New Roman" w:cs="Tahoma"/>
                    <w:spacing w:val="10"/>
                    <w:szCs w:val="24"/>
                    <w:lang w:eastAsia="zh-CN" w:bidi="en-US"/>
                  </w:rPr>
                  <w:t>2023-12-</w:t>
                </w:r>
              </w:p>
            </w:tc>
            <w:tc>
              <w:tcPr>
                <w:tcW w:w="565" w:type="dxa"/>
              </w:tcPr>
              <w:p>
                <w:pPr>
                  <w:widowControl w:val="0"/>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Height w:val="340"/>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Į</w:t>
                </w: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p>
            </w:tc>
            <w:tc>
              <w:tcPr>
                <w:tcW w:w="565" w:type="dxa"/>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4109" w:type="dxa"/>
                <w:gridSpan w:val="4"/>
                <w:tcMar>
                  <w:top w:w="0" w:type="dxa"/>
                  <w:left w:w="0" w:type="dxa"/>
                  <w:bottom w:w="0" w:type="dxa"/>
                  <w:right w:w="0" w:type="dxa"/>
                </w:tcMar>
              </w:tcPr>
              <w:p>
                <w:pPr>
                  <w:widowControl w:val="0"/>
                  <w:tabs>
                    <w:tab w:val="left" w:pos="2869"/>
                  </w:tabs>
                  <w:suppressAutoHyphens/>
                  <w:snapToGrid w:val="0"/>
                  <w:ind w:right="67"/>
                  <w:rPr>
                    <w:rFonts w:eastAsia="Andale Sans UI;Times New Roman" w:cs="Tahoma"/>
                    <w:spacing w:val="10"/>
                    <w:szCs w:val="24"/>
                    <w:lang w:eastAsia="zh-CN"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jc w:val="both"/>
                  <w:rPr>
                    <w:rFonts w:eastAsia="Andale Sans UI;Times New Roman" w:cs="Tahoma"/>
                    <w:b/>
                    <w:bCs/>
                    <w:szCs w:val="24"/>
                    <w:lang w:eastAsia="zh-CN" w:bidi="en-US"/>
                  </w:rPr>
                </w:pPr>
                <w:r>
                  <w:rPr>
                    <w:rFonts w:eastAsia="Andale Sans UI;Times New Roman" w:cs="Tahoma"/>
                    <w:b/>
                    <w:bCs/>
                    <w:caps/>
                    <w:szCs w:val="24"/>
                    <w:lang w:eastAsia="zh-CN" w:bidi="en-US"/>
                  </w:rPr>
                  <w:t xml:space="preserve">dėl Lietuvos Respublikos Vyriausybės nutarimo projekto </w:t>
                </w:r>
              </w:p>
            </w:tc>
          </w:tr>
        </w:tbl>
        <w:p>
          <w:pPr>
            <w:widowControl w:val="0"/>
            <w:suppressAutoHyphens/>
            <w:spacing w:line="360" w:lineRule="auto"/>
            <w:ind w:firstLine="567"/>
            <w:jc w:val="both"/>
            <w:rPr>
              <w:rFonts w:eastAsia="Andale Sans UI;Times New Roman" w:cs="Tahoma"/>
              <w:szCs w:val="24"/>
              <w:lang w:eastAsia="zh-CN" w:bidi="en-US"/>
            </w:rPr>
          </w:pPr>
        </w:p>
      </w:sdtContent>
    </w:sdt>
    <w:sdt>
      <w:sdtPr>
        <w:alias w:val="pastraipa"/>
        <w:tag w:val="part_84adac25d7bc40c8a7edb9faa925a2de"/>
        <w:lock w:val="sdtLocked"/>
        <w:richText/>
      </w:sdtPr>
      <w:sdtContent>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Aplinkos ministerija teikia išvadoms gauti Lietuvos Respublikos Vyriausybės nutarimo „Dėl Lietuvos Respublikos Vyriausybės 2018 m. gruodžio 27 d. nutarimo Nr. 1415 „Dėl Žemės valdos projektų valstybinės priežiūros tvarkos aprašo patvirtinimo pakeitimo“ (toliau – Nutarimas) projektą (toliau – Projektas).</w:t>
          </w:r>
        </w:p>
      </w:sdtContent>
    </w:sdt>
    <w:sdt>
      <w:sdtPr>
        <w:alias w:val="pastraipa"/>
        <w:tag w:val="part_257fda98e9ec4978a3e0a4a510461fb9"/>
        <w:lock w:val="sdtLocked"/>
        <w:richText/>
      </w:sdtPr>
      <w:sdtContent>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2022 m. birželio 30 d. priimtas Lietuvos Respublikos žemės įstatymo Nr. I-446 pakeitimo įstatymas Nr. XIV-1311, kuris išdėstytas nauja redakcija. Pasikeitus straipsnių numeracijai, Projekte patikslintos nuorodos į atitinkamus Žemės įstatymo straipsnius.</w:t>
          </w:r>
        </w:p>
      </w:sdtContent>
    </w:sdt>
    <w:sdt>
      <w:sdtPr>
        <w:alias w:val="pastraipa"/>
        <w:tag w:val="part_680d908e1a494344803e57c209af7380"/>
        <w:lock w:val="sdtLocked"/>
        <w:richText/>
      </w:sdtPr>
      <w:sdtContent>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2022 m. lapkričio 17 d. Lietuvos Respublikos Seimo priimtu Žemės įstatymu Nr. XIV-1538</w:t>
          </w:r>
          <w:r>
            <w:rPr>
              <w:rFonts w:eastAsia="Andale Sans UI;Times New Roman" w:cs="Tahoma"/>
              <w:szCs w:val="24"/>
              <w:vertAlign w:val="superscript"/>
              <w:lang w:eastAsia="zh-CN" w:bidi="en-US"/>
            </w:rPr>
            <w:footnoteReference w:id="1"/>
          </w:r>
          <w:r>
            <w:rPr>
              <w:rFonts w:eastAsia="Andale Sans UI;Times New Roman" w:cs="Tahoma"/>
              <w:szCs w:val="24"/>
              <w:lang w:eastAsia="zh-CN" w:bidi="en-US"/>
            </w:rPr>
            <w:t xml:space="preserve"> 37 straipsnio 3 dalies nuostatos pasipildė nauja žemės valdos projektų rūšimi – karinės infrastruktūros projektais, kurie rengiami siekiant pritaikyti ir (ar) sukurti karinę infrastruktūrą, nurodytą Lietuvos Respublikos mobilizacijos ir priimančiosios šalies paramos įstatymo 6 straipsnio 10 punkte nurodytame sąraše.</w:t>
          </w:r>
        </w:p>
      </w:sdtContent>
    </w:sdt>
    <w:sdt>
      <w:sdtPr>
        <w:alias w:val="pastraipa"/>
        <w:tag w:val="part_898cf4eec12647d6882ebf6cb59eb0bd"/>
        <w:lock w:val="sdtLocked"/>
        <w:richText/>
      </w:sdtPr>
      <w:sdtContent>
        <w:p>
          <w:pPr>
            <w:widowControl w:val="0"/>
            <w:suppressAutoHyphens/>
            <w:spacing w:line="276" w:lineRule="auto"/>
            <w:ind w:firstLine="720"/>
            <w:jc w:val="both"/>
            <w:rPr>
              <w:rFonts w:eastAsia="Andale Sans UI;Times New Roman"/>
              <w:szCs w:val="24"/>
              <w:lang w:eastAsia="zh-CN" w:bidi="en-US"/>
            </w:rPr>
          </w:pPr>
          <w:r>
            <w:rPr>
              <w:rFonts w:eastAsia="Andale Sans UI;Times New Roman" w:cs="Tahoma"/>
              <w:szCs w:val="24"/>
              <w:lang w:eastAsia="zh-CN" w:bidi="en-US"/>
            </w:rPr>
            <w:t xml:space="preserve">Lietuvos Respublikos Vyriausybės 2022 m. spalio 5 d. nutarimo Nr. 998 „Dėl Nacionalinės žemės tarnybos prie Žemės ūkio ministerijos statuso ir pavadinimo pakeitimo“ 1 punktu nuspręsta pakeisti Nacionalinės žemės tarnybos prie Žemės ūkio ministerijos statusą – į įstaigą prie Lietuvos Respublikos aplinkos ministerijos – ir pavadinimą – į Nacionalinė žemės tarnyba prie Aplinkos ministerijos (toliau </w:t>
          </w:r>
          <w:r>
            <w:rPr>
              <w:rFonts w:eastAsia="Andale Sans UI;Times New Roman" w:cs="Tahoma"/>
              <w:color w:val="000000"/>
              <w:szCs w:val="24"/>
              <w:lang w:eastAsia="zh-CN" w:bidi="en-US"/>
            </w:rPr>
            <w:t>–</w:t>
          </w:r>
          <w:r>
            <w:rPr>
              <w:rFonts w:eastAsia="Andale Sans UI;Times New Roman" w:cs="Tahoma"/>
              <w:szCs w:val="24"/>
              <w:lang w:eastAsia="zh-CN" w:bidi="en-US"/>
            </w:rPr>
            <w:t xml:space="preserve"> Nacionalinė žemės tarnyba). </w:t>
          </w:r>
        </w:p>
      </w:sdtContent>
    </w:sdt>
    <w:sdt>
      <w:sdtPr>
        <w:alias w:val="pastraipa"/>
        <w:tag w:val="part_5215f8ba78364a28bb1f5d47dd42d835"/>
        <w:lock w:val="sdtLocked"/>
        <w:richText/>
      </w:sdtPr>
      <w:sdtContent>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2023 m. birželio 29 d. Seimas priėmė Lietuvos Respublikos žemės įstatymo Nr. I-446 2, 7, 10, 11, 12, 13, 22, 27, 30, 34, 35, 37, 39, 40, 41, 43, 45, 46, 47, 48, 49, 50, 51, 52 straipsnių pakeitimo ir Įstatymo papildymo 30-1, 35-1, 35-2 ir 66 straipsniais įstatymą Nr. XIV-2114, kurio 43 straipsnio 2 ir 4 dalyse patikslintas v</w:t>
          </w:r>
          <w:r>
            <w:rPr>
              <w:rFonts w:eastAsia="Andale Sans UI;Times New Roman" w:cs="Tahoma"/>
              <w:szCs w:val="24"/>
              <w:lang w:eastAsia="lt-LT" w:bidi="en-US"/>
            </w:rPr>
            <w:t xml:space="preserve">alstybinės </w:t>
          </w:r>
          <w:r>
            <w:rPr>
              <w:rFonts w:eastAsia="Andale Sans UI;Times New Roman" w:cs="Tahoma"/>
              <w:bCs/>
              <w:szCs w:val="24"/>
              <w:lang w:eastAsia="lt-LT" w:bidi="en-US"/>
            </w:rPr>
            <w:t>žemės valdos projektų</w:t>
          </w:r>
          <w:r>
            <w:rPr>
              <w:rFonts w:eastAsia="Andale Sans UI;Times New Roman" w:cs="Tahoma"/>
              <w:szCs w:val="24"/>
              <w:lang w:eastAsia="lt-LT" w:bidi="en-US"/>
            </w:rPr>
            <w:t xml:space="preserve"> ir jų rengimo procesų priežiūros proceso </w:t>
          </w:r>
          <w:r>
            <w:rPr>
              <w:rFonts w:eastAsia="Andale Sans UI;Times New Roman" w:cs="Tahoma"/>
              <w:szCs w:val="24"/>
              <w:lang w:eastAsia="zh-CN" w:bidi="en-US"/>
            </w:rPr>
            <w:t xml:space="preserve">pavadinimas, taip pat 40 straipsnio 13 dalyje nurodyti atvejai, kada žemės valdos projektai nerengiami. </w:t>
          </w:r>
        </w:p>
      </w:sdtContent>
    </w:sdt>
    <w:sdt>
      <w:sdtPr>
        <w:alias w:val="pastraipa"/>
        <w:tag w:val="part_899da790eba94c479a85d48be8a37f8d"/>
        <w:lock w:val="sdtLocked"/>
        <w:richText/>
      </w:sdtPr>
      <w:sdtContent>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Rengti Projektą paskatino Nutarimo nuostatų ir sąvokų neatitiktis žemės tvarkymo srities įstatymų nuostatoms ir juose vartojamoms sąvokoms, taip pat Projektu tvirtinamas Žemės valdos projektų ir jų rengimo procesų valstybinės priežiūros tvarkos aprašas (toliau – Aprašas), kad būtų užtikrintas Žemės įstatymo nuostatų reglamentavimas.</w:t>
          </w:r>
        </w:p>
      </w:sdtContent>
    </w:sdt>
    <w:sdt>
      <w:sdtPr>
        <w:alias w:val="pastraipa"/>
        <w:tag w:val="part_e3ce11f537c3471aadfb04b3b76b17c9"/>
        <w:lock w:val="sdtLocked"/>
        <w:richText/>
      </w:sdtPr>
      <w:sdtContent>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Parengtu Projektu siūloma:</w:t>
          </w:r>
        </w:p>
        <w:sdt>
          <w:sdtPr>
            <w:alias w:val="1 p."/>
            <w:tag w:val="part_9409d2237208459ebf1621a41bd89fd0"/>
            <w:lock w:val="sdtLocked"/>
            <w:richText/>
          </w:sdtPr>
          <w:sdtContent>
            <w:p>
              <w:pPr>
                <w:widowControl w:val="0"/>
                <w:suppressAutoHyphens/>
                <w:spacing w:line="264" w:lineRule="auto"/>
                <w:ind w:firstLine="567"/>
                <w:jc w:val="both"/>
                <w:rPr>
                  <w:rFonts w:eastAsia="Andale Sans UI;Times New Roman" w:cs="Tahoma"/>
                  <w:szCs w:val="24"/>
                  <w:lang w:eastAsia="zh-CN" w:bidi="en-US"/>
                </w:rPr>
              </w:pPr>
              <w:sdt>
                <w:sdtPr>
                  <w:alias w:val="Numeris"/>
                  <w:tag w:val="nr_9409d2237208459ebf1621a41bd89fd0"/>
                  <w:lock w:val="sdtLocked"/>
                  <w:richText/>
                </w:sdtPr>
                <w:sdtContent>
                  <w:r>
                    <w:rPr>
                      <w:rFonts w:eastAsia="Andale Sans UI;Times New Roman" w:cs="Tahoma"/>
                      <w:szCs w:val="24"/>
                      <w:lang w:eastAsia="zh-CN" w:bidi="en-US"/>
                    </w:rPr>
                    <w:t>1</w:t>
                  </w:r>
                </w:sdtContent>
              </w:sdt>
              <w:r>
                <w:rPr>
                  <w:rFonts w:eastAsia="Andale Sans UI;Times New Roman" w:cs="Tahoma"/>
                  <w:szCs w:val="24"/>
                  <w:lang w:eastAsia="zh-CN" w:bidi="en-US"/>
                </w:rPr>
                <w:t>. patikslinti nuorodas į atitinkamus Žemės įstatymo straipsnius;</w:t>
              </w:r>
            </w:p>
          </w:sdtContent>
        </w:sdt>
        <w:sdt>
          <w:sdtPr>
            <w:alias w:val="2 p."/>
            <w:tag w:val="part_07c78600f0c644b6b44c782ed728b5d9"/>
            <w:lock w:val="sdtLocked"/>
            <w:richText/>
          </w:sdtPr>
          <w:sdtContent>
            <w:p>
              <w:pPr>
                <w:widowControl w:val="0"/>
                <w:suppressAutoHyphens/>
                <w:spacing w:line="264" w:lineRule="auto"/>
                <w:ind w:firstLine="567"/>
                <w:jc w:val="both"/>
                <w:rPr>
                  <w:rFonts w:eastAsia="Andale Sans UI;Times New Roman" w:cs="Tahoma"/>
                  <w:szCs w:val="24"/>
                  <w:lang w:eastAsia="zh-CN" w:bidi="en-US"/>
                </w:rPr>
              </w:pPr>
              <w:sdt>
                <w:sdtPr>
                  <w:alias w:val="Numeris"/>
                  <w:tag w:val="nr_07c78600f0c644b6b44c782ed728b5d9"/>
                  <w:lock w:val="sdtLocked"/>
                  <w:richText/>
                </w:sdtPr>
                <w:sdtContent>
                  <w:r>
                    <w:rPr>
                      <w:rFonts w:eastAsia="Andale Sans UI;Times New Roman" w:cs="Tahoma"/>
                      <w:szCs w:val="24"/>
                      <w:lang w:eastAsia="zh-CN" w:bidi="en-US"/>
                    </w:rPr>
                    <w:t>2</w:t>
                  </w:r>
                </w:sdtContent>
              </w:sdt>
              <w:r>
                <w:rPr>
                  <w:rFonts w:eastAsia="Andale Sans UI;Times New Roman" w:cs="Tahoma"/>
                  <w:szCs w:val="24"/>
                  <w:lang w:eastAsia="zh-CN" w:bidi="en-US"/>
                </w:rPr>
                <w:t>. patikslinti v</w:t>
              </w:r>
              <w:r>
                <w:rPr>
                  <w:rFonts w:eastAsia="Andale Sans UI;Times New Roman" w:cs="Tahoma"/>
                  <w:szCs w:val="24"/>
                  <w:lang w:eastAsia="lt-LT" w:bidi="en-US"/>
                </w:rPr>
                <w:t xml:space="preserve">alstybinės </w:t>
              </w:r>
              <w:r>
                <w:rPr>
                  <w:rFonts w:eastAsia="Andale Sans UI;Times New Roman" w:cs="Tahoma"/>
                  <w:bCs/>
                  <w:szCs w:val="24"/>
                  <w:lang w:eastAsia="lt-LT" w:bidi="en-US"/>
                </w:rPr>
                <w:t>žemės valdos projektų</w:t>
              </w:r>
              <w:r>
                <w:rPr>
                  <w:rFonts w:eastAsia="Andale Sans UI;Times New Roman" w:cs="Tahoma"/>
                  <w:szCs w:val="24"/>
                  <w:lang w:eastAsia="lt-LT" w:bidi="en-US"/>
                </w:rPr>
                <w:t xml:space="preserve"> ir jų rengimo procesų priežiūros proceso </w:t>
              </w:r>
              <w:r>
                <w:rPr>
                  <w:rFonts w:eastAsia="Andale Sans UI;Times New Roman" w:cs="Tahoma"/>
                  <w:szCs w:val="24"/>
                  <w:lang w:eastAsia="zh-CN" w:bidi="en-US"/>
                </w:rPr>
                <w:t>pavadinimą;</w:t>
              </w:r>
            </w:p>
          </w:sdtContent>
        </w:sdt>
        <w:sdt>
          <w:sdtPr>
            <w:alias w:val="3 p."/>
            <w:tag w:val="part_7cbd487b38e443289dcab7e743d74844"/>
            <w:lock w:val="sdtLocked"/>
            <w:richText/>
          </w:sdtPr>
          <w:sdtContent>
            <w:p>
              <w:pPr>
                <w:widowControl w:val="0"/>
                <w:suppressAutoHyphens/>
                <w:spacing w:line="264" w:lineRule="auto"/>
                <w:ind w:firstLine="567"/>
                <w:jc w:val="both"/>
                <w:rPr>
                  <w:rFonts w:eastAsia="Andale Sans UI;Times New Roman" w:cs="Tahoma"/>
                  <w:szCs w:val="24"/>
                  <w:lang w:eastAsia="lt-LT" w:bidi="en-US"/>
                </w:rPr>
              </w:pPr>
              <w:sdt>
                <w:sdtPr>
                  <w:alias w:val="Numeris"/>
                  <w:tag w:val="nr_7cbd487b38e443289dcab7e743d74844"/>
                  <w:lock w:val="sdtLocked"/>
                  <w:richText/>
                </w:sdtPr>
                <w:sdtContent>
                  <w:r>
                    <w:rPr>
                      <w:rFonts w:eastAsia="Andale Sans UI;Times New Roman" w:cs="Tahoma"/>
                      <w:szCs w:val="24"/>
                      <w:lang w:eastAsia="zh-CN" w:bidi="en-US"/>
                    </w:rPr>
                    <w:t>3</w:t>
                  </w:r>
                </w:sdtContent>
              </w:sdt>
              <w:r>
                <w:rPr>
                  <w:rFonts w:eastAsia="Andale Sans UI;Times New Roman" w:cs="Tahoma"/>
                  <w:szCs w:val="24"/>
                  <w:lang w:eastAsia="zh-CN" w:bidi="en-US"/>
                </w:rPr>
                <w:t>. patikslinti Projektu tvirtinamą Apra</w:t>
              </w:r>
              <w:r>
                <w:rPr>
                  <w:rFonts w:eastAsia="Andale Sans UI;Times New Roman" w:cs="Tahoma"/>
                  <w:szCs w:val="24"/>
                  <w:lang w:eastAsia="lt-LT" w:bidi="en-US"/>
                </w:rPr>
                <w:t>šą:</w:t>
              </w:r>
            </w:p>
            <w:sdt>
              <w:sdtPr>
                <w:alias w:val="3.1 pp."/>
                <w:tag w:val="part_1bf1508685ac49949cf097d8688e3f2c"/>
                <w:lock w:val="sdtLocked"/>
                <w:richText/>
              </w:sdtPr>
              <w:sdtContent>
                <w:p>
                  <w:pPr>
                    <w:widowControl w:val="0"/>
                    <w:suppressAutoHyphens/>
                    <w:spacing w:line="264" w:lineRule="auto"/>
                    <w:ind w:firstLine="567"/>
                    <w:jc w:val="both"/>
                    <w:rPr>
                      <w:rFonts w:eastAsia="Andale Sans UI;Times New Roman" w:cs="Tahoma"/>
                      <w:szCs w:val="24"/>
                      <w:lang w:eastAsia="lt-LT" w:bidi="en-US"/>
                    </w:rPr>
                  </w:pPr>
                  <w:sdt>
                    <w:sdtPr>
                      <w:alias w:val="Numeris"/>
                      <w:tag w:val="nr_1bf1508685ac49949cf097d8688e3f2c"/>
                      <w:lock w:val="sdtLocked"/>
                      <w:richText/>
                    </w:sdtPr>
                    <w:sdtContent>
                      <w:r>
                        <w:rPr>
                          <w:rFonts w:eastAsia="Andale Sans UI;Times New Roman" w:cs="Tahoma"/>
                          <w:szCs w:val="24"/>
                          <w:lang w:eastAsia="lt-LT" w:bidi="en-US"/>
                        </w:rPr>
                        <w:t>3.1</w:t>
                      </w:r>
                    </w:sdtContent>
                  </w:sdt>
                  <w:r>
                    <w:rPr>
                      <w:rFonts w:eastAsia="Andale Sans UI;Times New Roman" w:cs="Tahoma"/>
                      <w:szCs w:val="24"/>
                      <w:lang w:eastAsia="lt-LT" w:bidi="en-US"/>
                    </w:rPr>
                    <w:t>. numatyti naują žemės valdos projektų rūšį – karinės infrastruktūros projektus;</w:t>
                  </w:r>
                </w:p>
              </w:sdtContent>
            </w:sdt>
            <w:sdt>
              <w:sdtPr>
                <w:alias w:val="3.2 pp."/>
                <w:tag w:val="part_dbb1c87c17d44411904518cca191a051"/>
                <w:lock w:val="sdtLocked"/>
                <w:richText/>
              </w:sdtPr>
              <w:sdtContent>
                <w:p>
                  <w:pPr>
                    <w:widowControl w:val="0"/>
                    <w:suppressAutoHyphens/>
                    <w:spacing w:line="264" w:lineRule="auto"/>
                    <w:ind w:firstLine="567"/>
                    <w:jc w:val="both"/>
                    <w:rPr>
                      <w:rFonts w:eastAsia="Andale Sans UI;Times New Roman" w:cs="Tahoma"/>
                      <w:szCs w:val="24"/>
                      <w:lang w:eastAsia="lt-LT" w:bidi="en-US"/>
                    </w:rPr>
                  </w:pPr>
                  <w:sdt>
                    <w:sdtPr>
                      <w:alias w:val="Numeris"/>
                      <w:tag w:val="nr_dbb1c87c17d44411904518cca191a051"/>
                      <w:lock w:val="sdtLocked"/>
                      <w:richText/>
                    </w:sdtPr>
                    <w:sdtContent>
                      <w:r>
                        <w:rPr>
                          <w:rFonts w:eastAsia="Andale Sans UI;Times New Roman" w:cs="Tahoma"/>
                          <w:szCs w:val="24"/>
                          <w:lang w:eastAsia="lt-LT" w:bidi="en-US"/>
                        </w:rPr>
                        <w:t>3.2</w:t>
                      </w:r>
                    </w:sdtContent>
                  </w:sdt>
                  <w:r>
                    <w:rPr>
                      <w:rFonts w:eastAsia="Andale Sans UI;Times New Roman" w:cs="Tahoma"/>
                      <w:szCs w:val="24"/>
                      <w:lang w:eastAsia="lt-LT" w:bidi="en-US"/>
                    </w:rPr>
                    <w:t>. pakeisti Nacionalinės žemės tarnybos pavadinimą ir nustatyti asmens duomenų apsaugos reikalavimus;</w:t>
                  </w:r>
                </w:p>
              </w:sdtContent>
            </w:sdt>
            <w:sdt>
              <w:sdtPr>
                <w:alias w:val="3.3 pp."/>
                <w:tag w:val="part_f288e5334de84f9a9ac2d906042634ab"/>
                <w:lock w:val="sdtLocked"/>
                <w:richText/>
              </w:sdtPr>
              <w:sdtContent>
                <w:p>
                  <w:pPr>
                    <w:widowControl w:val="0"/>
                    <w:suppressAutoHyphens/>
                    <w:spacing w:line="264" w:lineRule="auto"/>
                    <w:ind w:firstLine="567"/>
                    <w:jc w:val="both"/>
                    <w:rPr>
                      <w:rFonts w:eastAsia="Andale Sans UI;Times New Roman" w:cs="Tahoma"/>
                      <w:szCs w:val="24"/>
                      <w:lang w:eastAsia="zh-CN" w:bidi="en-US"/>
                    </w:rPr>
                  </w:pPr>
                  <w:sdt>
                    <w:sdtPr>
                      <w:alias w:val="Numeris"/>
                      <w:tag w:val="nr_f288e5334de84f9a9ac2d906042634ab"/>
                      <w:lock w:val="sdtLocked"/>
                      <w:richText/>
                    </w:sdtPr>
                    <w:sdtContent>
                      <w:r>
                        <w:rPr>
                          <w:rFonts w:eastAsia="Andale Sans UI;Times New Roman" w:cs="Tahoma"/>
                          <w:szCs w:val="24"/>
                          <w:lang w:eastAsia="lt-LT" w:bidi="en-US"/>
                        </w:rPr>
                        <w:t>3.3</w:t>
                      </w:r>
                    </w:sdtContent>
                  </w:sdt>
                  <w:r>
                    <w:rPr>
                      <w:rFonts w:eastAsia="Andale Sans UI;Times New Roman" w:cs="Tahoma"/>
                      <w:szCs w:val="24"/>
                      <w:lang w:eastAsia="lt-LT" w:bidi="en-US"/>
                    </w:rPr>
                    <w:t>. nustatyti, kad</w:t>
                  </w:r>
                  <w:r>
                    <w:rPr>
                      <w:rFonts w:eastAsia="Andale Sans UI;Times New Roman" w:cs="Tahoma"/>
                      <w:szCs w:val="24"/>
                      <w:lang w:eastAsia="zh-CN" w:bidi="en-US"/>
                    </w:rPr>
                    <w:t xml:space="preserve"> žemės valdos projekto tikrinimas nutraukiamas, kai žemės valdos projektas pateikiamas tikrinti pakartotinai nepašalinus visų akte nurodytų trūkumų;</w:t>
                  </w:r>
                </w:p>
              </w:sdtContent>
            </w:sdt>
            <w:sdt>
              <w:sdtPr>
                <w:alias w:val="3.4 pp."/>
                <w:tag w:val="part_5efef4f4c50c4d1b9c2d0be133ce2b11"/>
                <w:lock w:val="sdtLocked"/>
                <w:richText/>
              </w:sdtPr>
              <w:sdtContent>
                <w:p>
                  <w:pPr>
                    <w:widowControl w:val="0"/>
                    <w:suppressAutoHyphens/>
                    <w:spacing w:line="264" w:lineRule="auto"/>
                    <w:ind w:firstLine="567"/>
                    <w:jc w:val="both"/>
                    <w:rPr>
                      <w:rFonts w:eastAsia="Andale Sans UI;Times New Roman" w:cs="Tahoma"/>
                      <w:szCs w:val="24"/>
                      <w:lang w:eastAsia="zh-CN" w:bidi="en-US"/>
                    </w:rPr>
                  </w:pPr>
                  <w:sdt>
                    <w:sdtPr>
                      <w:alias w:val="Numeris"/>
                      <w:tag w:val="nr_5efef4f4c50c4d1b9c2d0be133ce2b11"/>
                      <w:lock w:val="sdtLocked"/>
                      <w:richText/>
                    </w:sdtPr>
                    <w:sdtContent>
                      <w:r>
                        <w:rPr>
                          <w:rFonts w:eastAsia="Andale Sans UI;Times New Roman" w:cs="Tahoma"/>
                          <w:szCs w:val="24"/>
                          <w:lang w:eastAsia="zh-CN" w:bidi="en-US"/>
                        </w:rPr>
                        <w:t>3.4</w:t>
                      </w:r>
                    </w:sdtContent>
                  </w:sdt>
                  <w:r>
                    <w:rPr>
                      <w:rFonts w:eastAsia="Andale Sans UI;Times New Roman" w:cs="Tahoma"/>
                      <w:szCs w:val="24"/>
                      <w:lang w:eastAsia="zh-CN" w:bidi="en-US"/>
                    </w:rPr>
                    <w:t>. nustatyti, kai žemės valdos projektai nerengiami, teikiant nuorodą į Žemės įstatymo 40 straipsnio 13 dalį;</w:t>
                  </w:r>
                </w:p>
              </w:sdtContent>
            </w:sdt>
            <w:sdt>
              <w:sdtPr>
                <w:alias w:val="3.5 pp."/>
                <w:tag w:val="part_8cf9f8ee61324b6db36a3781105c43d0"/>
                <w:lock w:val="sdtLocked"/>
                <w:richText/>
              </w:sdtPr>
              <w:sdtContent>
                <w:p>
                  <w:pPr>
                    <w:widowControl w:val="0"/>
                    <w:suppressAutoHyphens/>
                    <w:spacing w:line="264" w:lineRule="auto"/>
                    <w:ind w:firstLine="567"/>
                    <w:jc w:val="both"/>
                    <w:rPr>
                      <w:rFonts w:eastAsia="Andale Sans UI;Times New Roman" w:cs="Tahoma"/>
                      <w:szCs w:val="24"/>
                      <w:lang w:eastAsia="zh-CN" w:bidi="en-US"/>
                    </w:rPr>
                  </w:pPr>
                  <w:sdt>
                    <w:sdtPr>
                      <w:alias w:val="Numeris"/>
                      <w:tag w:val="nr_8cf9f8ee61324b6db36a3781105c43d0"/>
                      <w:lock w:val="sdtLocked"/>
                      <w:richText/>
                    </w:sdtPr>
                    <w:sdtContent>
                      <w:r>
                        <w:rPr>
                          <w:rFonts w:eastAsia="Andale Sans UI;Times New Roman" w:cs="Tahoma"/>
                          <w:szCs w:val="24"/>
                          <w:lang w:eastAsia="zh-CN" w:bidi="en-US"/>
                        </w:rPr>
                        <w:t>3.5</w:t>
                      </w:r>
                    </w:sdtContent>
                  </w:sdt>
                  <w:r>
                    <w:rPr>
                      <w:rFonts w:eastAsia="Andale Sans UI;Times New Roman" w:cs="Tahoma"/>
                      <w:szCs w:val="24"/>
                      <w:lang w:eastAsia="zh-CN" w:bidi="en-US"/>
                    </w:rPr>
                    <w:t xml:space="preserve">. reglamentuoti specialistų, atliekančių žemės valdos projektų ir jų rengimo procesų valstybinę priežiūrą, kvalifikacinius reikalavimus pareigybių aprašymuose, atsisakant nuostatos, kad šie reikalavimai būtų nustatyti aplinkos ministro nustatyta tvarka; </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Atsižvelgiant į tai, pagrindinis Projekto tikslas – pakeisti žemės valdos projektų ir jų rengimo procesų valstybinės priežiūros tvarkos aprašą, kad būtų užtikrintas įstatymu Nacionalinei žemės tarnybai perduotos funkcijos vykdymo tęstinumas.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Siūloma Nutarimo pakeitimo įsigaliojimo data – 2024 m. sausio 1 d., kadangi dalis Projekto rengiama pagal 2024 m. sausio 1 d. įsigaliosiančio Žemės įstatymo pakeitimus.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Priėmus Projektą, nuo 2024 m. sausio 1 d. bus užtikrintos valstybinės žemės valdos projektų ir jų rengimo procesų priežiūros procedūros, įgyvendintos Žemės įstatymo 43 straipsnio 3 ir 4 dalių nuostatos.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Projektas įgyvendina Aštuonioliktosios Lietuvos Respublikos Vyriausybės programos, kuriai pritarta Lietuvos Respublikos Seimo 2020 m. gruodžio 11 d. nutarimu Nr. XIV-72 „Dėl Aštuonioliktosios Lietuvos Respublikos Vyriausybės programos“, 157.4 papunktį.</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Projekte neperkeliamos ir neįgyvendinamos Europos Sąjungos teisės aktų nuostatos.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Projektas 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p>
                  <w:pPr>
                    <w:widowControl w:val="0"/>
                    <w:suppressAutoHyphens/>
                    <w:spacing w:line="264" w:lineRule="auto"/>
                    <w:ind w:firstLine="567"/>
                    <w:jc w:val="both"/>
                    <w:rPr>
                      <w:rFonts w:eastAsia="Andale Sans UI" w:cs="Tahoma"/>
                      <w:szCs w:val="24"/>
                      <w:lang w:eastAsia="zh-CN" w:bidi="en-US"/>
                    </w:rPr>
                  </w:pPr>
                  <w:r>
                    <w:rPr>
                      <w:rFonts w:eastAsia="Andale Sans UI" w:cs="Tahoma"/>
                      <w:szCs w:val="24"/>
                      <w:lang w:eastAsia="zh-CN" w:bidi="en-US"/>
                    </w:rPr>
                    <w:t>Atliktas Projekto antikorupcinis vertinimas ir juo siūlomo teisinio reguliavimo poveikio vertinimas kitoms sritims (pažymos pridedamos), grėsmių ar reikšmingo poveikio sritims nenustatyta.</w:t>
                  </w:r>
                </w:p>
                <w:p>
                  <w:pPr>
                    <w:widowControl w:val="0"/>
                    <w:suppressAutoHyphens/>
                    <w:spacing w:line="264" w:lineRule="auto"/>
                    <w:ind w:firstLine="567"/>
                    <w:jc w:val="both"/>
                    <w:rPr>
                      <w:rFonts w:eastAsia="Andale Sans UI" w:cs="Tahoma"/>
                      <w:szCs w:val="24"/>
                      <w:lang w:eastAsia="zh-CN" w:bidi="en-US"/>
                    </w:rPr>
                  </w:pPr>
                  <w:r>
                    <w:rPr>
                      <w:rFonts w:eastAsia="Andale Sans UI;Times New Roman" w:cs="Tahoma"/>
                      <w:szCs w:val="24"/>
                      <w:lang w:eastAsia="zh-CN" w:bidi="en-US"/>
                    </w:rPr>
                    <w:t>Projektas suderintas su duomenų apsaugos pareigūnu. Į duomenų apsaugos pareigūno pastabas atsižvelgta.</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Vadovaujantis Numatomo teisinio reguliavimo poveikio vertinimo metodikos, patvirtintos Vyriausybės 2003 m. vasario 26 d. nutarimu Nr. 276 „Dėl Numatomo teisinio reguliavimo poveikio vertinimo metodikos patvirtinimo“, 4 punktu, Projekto numatomo teisinio reguliavimo poveikio vertinimas neatliekamas, nes Projektu nereglamentuojami iki šiol nereglamentuoti santykiai, taip pat teisinis reguliavimas nėra iš esmės keičiamas.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Projektui įtraukti į teisės sistemą kitų teisės aktų priimti nereikės.</w:t>
                  </w:r>
                </w:p>
                <w:p>
                  <w:pPr>
                    <w:widowControl w:val="0"/>
                    <w:suppressAutoHyphens/>
                    <w:spacing w:line="264" w:lineRule="auto"/>
                    <w:ind w:firstLine="567"/>
                    <w:jc w:val="both"/>
                    <w:rPr>
                      <w:rFonts w:eastAsia="Andale Sans UI;Times New Roman" w:cs="Tahoma"/>
                      <w:szCs w:val="24"/>
                      <w:lang w:eastAsia="zh-CN" w:bidi="en-US"/>
                    </w:rPr>
                  </w:pPr>
                  <w:r>
                    <w:rPr>
                      <w:rFonts w:ascii="Times" w:eastAsia="Andale Sans UI;Times New Roman" w:hAnsi="Times" w:cs="Tahoma"/>
                      <w:szCs w:val="24"/>
                      <w:lang w:eastAsia="zh-CN" w:bidi="en-US"/>
                    </w:rPr>
                    <w:t xml:space="preserve">Projekte naujų sąvokų, vertintinų Lietuvos Respublikos terminų banko įstatymo </w:t>
                  </w:r>
                  <w:r>
                    <w:rPr>
                      <w:rFonts w:eastAsia="Andale Sans UI;Times New Roman" w:cs="Tahoma"/>
                      <w:color w:val="000000"/>
                      <w:szCs w:val="24"/>
                      <w:lang w:eastAsia="zh-CN" w:bidi="en-US"/>
                    </w:rPr>
                    <w:t>ir jo įgyvendinamųjų teisės aktų nustatyta tvarka, nėra</w:t>
                  </w:r>
                  <w:r>
                    <w:rPr>
                      <w:rFonts w:eastAsia="Andale Sans UI;Times New Roman" w:cs="Tahoma"/>
                      <w:szCs w:val="24"/>
                      <w:lang w:eastAsia="zh-CN" w:bidi="en-US"/>
                    </w:rPr>
                    <w:t xml:space="preserve">. </w:t>
                  </w:r>
                </w:p>
                <w:p>
                  <w:pPr>
                    <w:widowControl w:val="0"/>
                    <w:suppressAutoHyphens/>
                    <w:spacing w:line="264" w:lineRule="auto"/>
                    <w:ind w:firstLine="567"/>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Projektas viešosioms konsultacijoms paskelbtas portalo „Mano vyriausybė“ interneto svetainėje „E. pilietis“, kur pastabas ir pasiūlymus gali teikti visi suinteresuoti asmenys. Konsultavimosi tikslas (tikslai) – supažindinti su Projektu siūlomais nuostatų pakeitimais. Pasiūlymus, pastabas ir įžvalgas dėl Projekto galima teikti el. paštu info@am.lt iki 2023 m. gruodžio 20 d., kurie bus vertinami tikslinant Projektą.</w:t>
                  </w:r>
                </w:p>
                <w:p>
                  <w:pPr>
                    <w:widowControl w:val="0"/>
                    <w:suppressAutoHyphens/>
                    <w:spacing w:line="264" w:lineRule="auto"/>
                    <w:ind w:firstLine="567"/>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Administracinė našta neskaičiuojama, nes skaičiavimai atlikti rengiant Žemės įstatymo pakeitimus.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Projektas skelbiamas Lietuvos Respublikos Seimo kanceliarijos teisės aktų informacinėje sistemoje (TAIS).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Išvadas su teisiniais argumentais dėl Projekto prašome pateikti per 10 darbo dienų nuo jo paskelbimo TAIS.</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szCs w:val="24"/>
                      <w:lang w:eastAsia="zh-CN" w:bidi="en-US"/>
                    </w:rPr>
                    <w:t>Per nurodytą terminą negavę pastabų ir pasiūlymų, laikysime, kad Projektui pritariate.</w:t>
                  </w:r>
                </w:p>
                <w:p>
                  <w:pPr>
                    <w:widowControl w:val="0"/>
                    <w:suppressAutoHyphens/>
                    <w:spacing w:line="264" w:lineRule="auto"/>
                    <w:ind w:firstLine="567"/>
                    <w:jc w:val="both"/>
                    <w:rPr>
                      <w:rFonts w:eastAsia="Andale Sans UI;Times New Roman" w:cs="Tahoma"/>
                      <w:szCs w:val="24"/>
                      <w:lang w:eastAsia="zh-CN" w:bidi="en-US"/>
                    </w:rPr>
                  </w:pPr>
                  <w:r>
                    <w:rPr>
                      <w:rFonts w:eastAsia="Andale Sans UI;Times New Roman" w:cs="Tahoma"/>
                      <w:szCs w:val="24"/>
                      <w:lang w:eastAsia="zh-CN" w:bidi="en-US"/>
                    </w:rPr>
                    <w:t>Projektą parengė Aplinkos ministerijos Žemės ir teritorijų planavimo politikos grupės (laikinai vykdanti Žemės ir teritorijų planavimo politikos grupės vadovo funkcijas – Algė Staniūnaitė-Tonkich, tel. 8 695 17 731, el. p. alge.staniunaite-tonkich@am.lt, vyresnioji patarėja – Erika Giedraitienė, tel. 8 696 75 865, el. p. erika.giedraitiene@am.lt) patarėja Jurgita Augutienė, tel. 8 695 50 265, el. p. jurgita.augutiene@am.lt.</w:t>
                  </w:r>
                </w:p>
                <w:p>
                  <w:pPr>
                    <w:widowControl w:val="0"/>
                    <w:suppressAutoHyphens/>
                    <w:spacing w:line="264" w:lineRule="auto"/>
                    <w:ind w:firstLine="540"/>
                    <w:jc w:val="both"/>
                    <w:rPr>
                      <w:rFonts w:eastAsia="Andale Sans UI;Times New Roman" w:cs="Tahoma"/>
                      <w:szCs w:val="24"/>
                      <w:lang w:eastAsia="zh-CN" w:bidi="en-US"/>
                    </w:rPr>
                  </w:pPr>
                  <w:r>
                    <w:rPr>
                      <w:rFonts w:eastAsia="Andale Sans UI;Times New Roman" w:cs="Tahoma"/>
                      <w:szCs w:val="24"/>
                      <w:lang w:eastAsia="zh-CN" w:bidi="en-US"/>
                    </w:rPr>
                    <w:t>PRIDEDAMA:</w:t>
                  </w:r>
                </w:p>
              </w:sdtContent>
            </w:sdt>
          </w:sdtContent>
        </w:sdt>
        <w:sdt>
          <w:sdtPr>
            <w:alias w:val="1 p."/>
            <w:tag w:val="part_1e324c905ca745ed92bba671ca5919d6"/>
            <w:lock w:val="sdtLocked"/>
            <w:richText/>
          </w:sdtPr>
          <w:sdtContent>
            <w:p>
              <w:pPr>
                <w:widowControl w:val="0"/>
                <w:suppressAutoHyphens/>
                <w:spacing w:line="264" w:lineRule="auto"/>
                <w:ind w:firstLine="567"/>
                <w:jc w:val="both"/>
                <w:rPr>
                  <w:rFonts w:eastAsia="Andale Sans UI;Times New Roman" w:cs="Tahoma"/>
                  <w:color w:val="000000"/>
                  <w:szCs w:val="24"/>
                  <w:lang w:eastAsia="zh-CN" w:bidi="en-US"/>
                </w:rPr>
              </w:pPr>
              <w:sdt>
                <w:sdtPr>
                  <w:alias w:val="Numeris"/>
                  <w:tag w:val="nr_1e324c905ca745ed92bba671ca5919d6"/>
                  <w:lock w:val="sdtLocked"/>
                  <w:richText/>
                </w:sdtPr>
                <w:sdtContent>
                  <w:r>
                    <w:rPr>
                      <w:rFonts w:eastAsia="Andale Sans UI;Times New Roman" w:cs="Tahoma"/>
                      <w:color w:val="000000"/>
                      <w:szCs w:val="24"/>
                      <w:lang w:eastAsia="zh-CN" w:bidi="en-US"/>
                    </w:rPr>
                    <w:t>1</w:t>
                  </w:r>
                </w:sdtContent>
              </w:sdt>
              <w:r>
                <w:rPr>
                  <w:rFonts w:eastAsia="Andale Sans UI;Times New Roman" w:cs="Tahoma"/>
                  <w:color w:val="000000"/>
                  <w:szCs w:val="24"/>
                  <w:lang w:eastAsia="zh-CN" w:bidi="en-US"/>
                </w:rPr>
                <w:t>. Projektas, 4 lapai.</w:t>
              </w:r>
            </w:p>
          </w:sdtContent>
        </w:sdt>
        <w:sdt>
          <w:sdtPr>
            <w:alias w:val="2 p."/>
            <w:tag w:val="part_4a95c6a1de8c4baa80b65572938fc383"/>
            <w:lock w:val="sdtLocked"/>
            <w:richText/>
          </w:sdtPr>
          <w:sdtContent>
            <w:p>
              <w:pPr>
                <w:widowControl w:val="0"/>
                <w:suppressAutoHyphens/>
                <w:spacing w:line="264" w:lineRule="auto"/>
                <w:ind w:firstLine="567"/>
                <w:jc w:val="both"/>
                <w:rPr>
                  <w:rFonts w:eastAsia="Andale Sans UI;Times New Roman" w:cs="Tahoma"/>
                  <w:color w:val="000000"/>
                  <w:szCs w:val="24"/>
                  <w:lang w:eastAsia="zh-CN" w:bidi="en-US"/>
                </w:rPr>
              </w:pPr>
              <w:sdt>
                <w:sdtPr>
                  <w:alias w:val="Numeris"/>
                  <w:tag w:val="nr_4a95c6a1de8c4baa80b65572938fc383"/>
                  <w:lock w:val="sdtLocked"/>
                  <w:richText/>
                </w:sdtPr>
                <w:sdtContent>
                  <w:r>
                    <w:rPr>
                      <w:rFonts w:eastAsia="Andale Sans UI;Times New Roman" w:cs="Tahoma"/>
                      <w:color w:val="000000"/>
                      <w:szCs w:val="24"/>
                      <w:lang w:eastAsia="zh-CN" w:bidi="en-US"/>
                    </w:rPr>
                    <w:t>2</w:t>
                  </w:r>
                </w:sdtContent>
              </w:sdt>
              <w:r>
                <w:rPr>
                  <w:rFonts w:eastAsia="Andale Sans UI;Times New Roman" w:cs="Tahoma"/>
                  <w:color w:val="000000"/>
                  <w:szCs w:val="24"/>
                  <w:lang w:eastAsia="zh-CN" w:bidi="en-US"/>
                </w:rPr>
                <w:t>. Projekto lyginamasis variantas, 4 lapai.</w:t>
              </w:r>
            </w:p>
          </w:sdtContent>
        </w:sdt>
        <w:sdt>
          <w:sdtPr>
            <w:alias w:val="3 p."/>
            <w:tag w:val="part_d142e0f8b80e45a38ef9875b9b8f9d64"/>
            <w:lock w:val="sdtLocked"/>
            <w:richText/>
          </w:sdtPr>
          <w:sdtContent>
            <w:p>
              <w:pPr>
                <w:widowControl w:val="0"/>
                <w:suppressAutoHyphens/>
                <w:spacing w:line="264" w:lineRule="auto"/>
                <w:ind w:firstLine="567"/>
                <w:jc w:val="both"/>
                <w:rPr>
                  <w:rFonts w:eastAsia="Andale Sans UI;Times New Roman" w:cs="Tahoma"/>
                  <w:color w:val="000000"/>
                  <w:szCs w:val="24"/>
                  <w:lang w:eastAsia="zh-CN" w:bidi="en-US"/>
                </w:rPr>
              </w:pPr>
              <w:sdt>
                <w:sdtPr>
                  <w:alias w:val="Numeris"/>
                  <w:tag w:val="nr_d142e0f8b80e45a38ef9875b9b8f9d64"/>
                  <w:lock w:val="sdtLocked"/>
                  <w:richText/>
                </w:sdtPr>
                <w:sdtContent>
                  <w:r>
                    <w:rPr>
                      <w:rFonts w:eastAsia="Andale Sans UI;Times New Roman" w:cs="Tahoma"/>
                      <w:color w:val="000000"/>
                      <w:szCs w:val="24"/>
                      <w:lang w:eastAsia="zh-CN" w:bidi="en-US"/>
                    </w:rPr>
                    <w:t>3</w:t>
                  </w:r>
                </w:sdtContent>
              </w:sdt>
              <w:r>
                <w:rPr>
                  <w:rFonts w:eastAsia="Andale Sans UI;Times New Roman" w:cs="Tahoma"/>
                  <w:color w:val="000000"/>
                  <w:szCs w:val="24"/>
                  <w:lang w:eastAsia="zh-CN" w:bidi="en-US"/>
                </w:rPr>
                <w:t>. Antikorupcinio vertinimo pažyma, 6 lapai.</w:t>
              </w:r>
            </w:p>
            <w:p>
              <w:pPr>
                <w:widowControl w:val="0"/>
                <w:suppressAutoHyphens/>
                <w:spacing w:line="264" w:lineRule="auto"/>
                <w:ind w:firstLine="567"/>
                <w:jc w:val="both"/>
                <w:rPr>
                  <w:rFonts w:eastAsia="Andale Sans UI;Times New Roman" w:cs="Tahoma"/>
                  <w:color w:val="000000"/>
                  <w:szCs w:val="24"/>
                  <w:lang w:eastAsia="zh-CN" w:bidi="en-US"/>
                </w:rPr>
              </w:pPr>
            </w:p>
            <w:p>
              <w:pPr>
                <w:widowControl w:val="0"/>
                <w:suppressAutoHyphens/>
                <w:spacing w:line="264" w:lineRule="auto"/>
                <w:ind w:firstLine="567"/>
                <w:jc w:val="both"/>
                <w:rPr>
                  <w:rFonts w:eastAsia="Andale Sans UI;Times New Roman" w:cs="Tahoma"/>
                  <w:color w:val="000000"/>
                  <w:szCs w:val="24"/>
                  <w:lang w:eastAsia="zh-CN"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rPr>
                        <w:sz w:val="8"/>
                        <w:szCs w:val="8"/>
                      </w:rPr>
                    </w:pPr>
                  </w:p>
                  <w:p>
                    <w:pPr>
                      <w:spacing w:line="264" w:lineRule="auto"/>
                      <w:rPr>
                        <w:szCs w:val="24"/>
                        <w:lang w:eastAsia="zh-CN"/>
                      </w:rPr>
                    </w:pPr>
                    <w:r>
                      <w:rPr>
                        <w:color w:val="000000"/>
                        <w:szCs w:val="24"/>
                        <w:lang w:eastAsia="zh-CN"/>
                      </w:rPr>
                      <w:t>Aplinkos viceministrė</w:t>
                      <w:tab/>
                      <w:tab/>
                      <w:tab/>
                      <w:tab/>
                      <w:tab/>
                      <w:tab/>
                      <w:tab/>
                      <w:tab/>
                      <w:tab/>
                      <w:tab/>
                      <w:t xml:space="preserve">      Monika</w:t>
                    </w:r>
                    <w:r>
                      <w:rPr>
                        <w:szCs w:val="24"/>
                        <w:lang w:eastAsia="zh-CN"/>
                      </w:rPr>
                      <w:t xml:space="preserve"> Juodvalkė</w:t>
                    </w: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p>
                  <w:p>
                    <w:pPr>
                      <w:rPr>
                        <w:sz w:val="8"/>
                        <w:szCs w:val="8"/>
                      </w:rPr>
                    </w:pPr>
                  </w:p>
                  <w:p>
                    <w:pPr>
                      <w:spacing w:line="264" w:lineRule="auto"/>
                      <w:rPr>
                        <w:szCs w:val="24"/>
                        <w:lang w:eastAsia="zh-CN"/>
                      </w:rPr>
                    </w:pPr>
                    <w:r>
                      <w:rPr>
                        <w:szCs w:val="24"/>
                        <w:lang w:eastAsia="zh-CN"/>
                      </w:rPr>
                      <w:t>J. Augutienė, 8 695 50 265, el. p. jurgita.augutiene@am.lt</w:t>
                    </w:r>
                  </w:p>
                </w:tc>
              </w:tr>
            </w:tbl>
            <w:p>
              <w:pPr>
                <w:widowControl w:val="0"/>
                <w:suppressAutoHyphens/>
                <w:jc w:val="both"/>
                <w:rPr>
                  <w:rFonts w:eastAsia="Andale Sans UI;Times New Roman" w:cs="Tahoma"/>
                  <w:szCs w:val="24"/>
                  <w:lang w:eastAsia="zh-CN" w:bidi="en-US"/>
                </w:rPr>
                <w:sectPr>
                  <w:headerReference w:type="even" r:id="rId11"/>
                  <w:headerReference w:type="default" r:id="rId12"/>
                  <w:footerReference w:type="even" r:id="rId13"/>
                  <w:footerReference w:type="default" r:id="rId14"/>
                  <w:headerReference w:type="first" r:id="rId15"/>
                  <w:footerReference w:type="first" r:id="rId16"/>
                  <w:pgSz w:w="11906" w:h="16838"/>
                  <w:pgMar w:top="671" w:right="567" w:bottom="851" w:left="1701" w:header="567" w:footer="230" w:gutter="0"/>
                  <w:cols w:space="720"/>
                  <w:formProt w:val="0"/>
                  <w:titlePg/>
                  <w:docGrid w:linePitch="360"/>
                </w:sectPr>
              </w:pPr>
            </w:p>
            <w:p>
              <w:pPr>
                <w:widowControl w:val="0"/>
                <w:suppressAutoHyphens/>
                <w:jc w:val="both"/>
                <w:rPr>
                  <w:rFonts w:eastAsia="Andale Sans UI;Times New Roman" w:cs="Tahoma"/>
                  <w:szCs w:val="24"/>
                  <w:lang w:eastAsia="zh-CN" w:bidi="en-US"/>
                </w:rPr>
              </w:pPr>
            </w:p>
          </w:sdtContent>
        </w:sdt>
        <w:sdt>
          <w:sdtPr>
            <w:alias w:val="signatura"/>
            <w:tag w:val="part_b769b8ebeab04b6dabc852ab6cd46ac4"/>
            <w:lock w:val="sdtLocked"/>
            <w:richText/>
          </w:sdtPr>
          <w:sdtContent>
            <w:p>
              <w:pPr>
                <w:widowControl w:val="0"/>
                <w:suppressAutoHyphens/>
                <w:jc w:val="center"/>
                <w:rPr>
                  <w:rFonts w:eastAsia="Andale Sans UI;Times New Roman" w:cs="Tahoma"/>
                  <w:szCs w:val="24"/>
                  <w:lang w:eastAsia="zh-CN" w:bidi="en-US"/>
                </w:rPr>
              </w:pPr>
              <w:r>
                <w:rPr>
                  <w:rFonts w:eastAsia="Andale Sans UI;Times New Roman" w:cs="Tahoma"/>
                  <w:szCs w:val="24"/>
                  <w:lang w:eastAsia="zh-CN" w:bidi="en-US"/>
                </w:rPr>
                <w:t>Adresatų sąrašas</w:t>
              </w:r>
            </w:p>
            <w:p>
              <w:pPr>
                <w:widowControl w:val="0"/>
                <w:suppressAutoHyphens/>
                <w:jc w:val="both"/>
                <w:rPr>
                  <w:rFonts w:eastAsia="Andale Sans UI;Times New Roman" w:cs="Tahoma"/>
                  <w:szCs w:val="24"/>
                  <w:lang w:eastAsia="zh-CN" w:bidi="en-US"/>
                </w:rPr>
              </w:pP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Lietuvos Respublikos teisingumo ministerija</w:t>
              </w: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Lietuvos Respublikos žemės ūkio ministerija</w:t>
              </w: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Lietuvos Respublikos krašto apsaugos ministerija</w:t>
              </w: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Lietuvos Respublikos ekonomikos ir inovacijų ministerija</w:t>
              </w: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Nacionalinė žemės tarnyba prie Aplinkos ministerijos</w:t>
              </w: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Lietuvos Respublikos specialiųjų tyrimų tarnyba</w:t>
              </w: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Lietuvos savivaldybių asociacija</w:t>
              </w:r>
            </w:p>
            <w:p>
              <w:pPr>
                <w:widowControl w:val="0"/>
                <w:suppressAutoHyphens/>
                <w:spacing w:line="264" w:lineRule="auto"/>
                <w:jc w:val="both"/>
                <w:rPr>
                  <w:rFonts w:eastAsia="Andale Sans UI;Times New Roman" w:cs="Tahoma"/>
                  <w:szCs w:val="24"/>
                  <w:lang w:eastAsia="zh-CN" w:bidi="en-US"/>
                </w:rPr>
              </w:pPr>
              <w:r>
                <w:rPr>
                  <w:rFonts w:eastAsia="Andale Sans UI;Times New Roman" w:cs="Tahoma"/>
                  <w:szCs w:val="24"/>
                  <w:lang w:eastAsia="zh-CN" w:bidi="en-US"/>
                </w:rPr>
                <w:t>Valstybinė duomenų apsaugos inspekcija</w:t>
              </w:r>
            </w:p>
            <w:p>
              <w:pPr>
                <w:widowControl w:val="0"/>
                <w:tabs>
                  <w:tab w:val="left" w:pos="3802"/>
                </w:tabs>
                <w:suppressAutoHyphens/>
                <w:rPr>
                  <w:rFonts w:eastAsia="Andale Sans UI;Times New Roman" w:cs="Tahoma"/>
                  <w:szCs w:val="24"/>
                  <w:lang w:eastAsia="zh-CN" w:bidi="en-US"/>
                </w:rPr>
              </w:pPr>
            </w:p>
          </w:sdtContent>
        </w:sdt>
      </w:sdtContent>
    </w:sdt>
    <w:sectPr>
      <w:footnotePr>
        <w:numRestart w:val="eachPage"/>
      </w:footnotePr>
      <w:pgSz w:w="11906" w:h="16838"/>
      <w:pgMar w:top="671" w:right="567" w:bottom="851" w:left="1701" w:header="567" w:footer="23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Times New Roman" w:cs="Tahoma"/>
          <w:szCs w:val="24"/>
          <w:lang w:eastAsia="zh-CN" w:bidi="en-US"/>
        </w:rPr>
      </w:pPr>
      <w:r>
        <w:rPr>
          <w:rFonts w:eastAsia="Andale Sans UI;Times New Roman" w:cs="Tahoma"/>
          <w:szCs w:val="24"/>
          <w:lang w:eastAsia="zh-CN" w:bidi="en-US"/>
        </w:rPr>
        <w:separator/>
      </w:r>
    </w:p>
  </w:endnote>
  <w:endnote w:type="continuationSeparator" w:id="0">
    <w:p>
      <w:pPr>
        <w:widowControl w:val="0"/>
        <w:suppressAutoHyphens/>
        <w:rPr>
          <w:rFonts w:eastAsia="Andale Sans UI;Times New Roman" w:cs="Tahoma"/>
          <w:szCs w:val="24"/>
          <w:lang w:eastAsia="zh-CN" w:bidi="en-US"/>
        </w:rPr>
      </w:pPr>
      <w:r>
        <w:rPr>
          <w:rFonts w:eastAsia="Andale Sans UI;Times New Roman" w:cs="Tahoma"/>
          <w:szCs w:val="24"/>
          <w:lang w:eastAsia="zh-CN"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Times New Roman">
    <w:altName w:val="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ndale Sans UI">
    <w:altName w:val="Times New Roman"/>
    <w:charset w:val="00"/>
    <w:family w:val="auto"/>
    <w:pitch w:val="variable"/>
  </w:font>
  <w:font w:name="Times">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Times New Roman" w:cs="Tahoma"/>
        <w:szCs w:val="24"/>
        <w:lang w:eastAsia="zh-CN"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separator/>
      </w:r>
    </w:p>
  </w:footnote>
  <w:footnote w:type="continuationSeparator" w:id="0">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continuationSeparator/>
      </w:r>
    </w:p>
  </w:footnote>
  <w:footnote w:id="1">
    <w:p>
      <w:pPr>
        <w:widowControl w:val="0"/>
        <w:suppressAutoHyphens/>
        <w:jc w:val="both"/>
        <w:rPr>
          <w:rFonts w:eastAsia="Andale Sans UI;Times New Roman" w:cs="Tahoma"/>
          <w:sz w:val="20"/>
          <w:lang w:val="en-US" w:eastAsia="zh-CN" w:bidi="en-US"/>
        </w:rPr>
      </w:pPr>
      <w:r>
        <w:rPr>
          <w:rFonts w:eastAsia="Andale Sans UI;Times New Roman" w:cs="Tahoma"/>
          <w:sz w:val="20"/>
          <w:vertAlign w:val="superscript"/>
          <w:lang w:eastAsia="zh-CN" w:bidi="en-US"/>
        </w:rPr>
        <w:footnoteRef/>
      </w:r>
      <w:r>
        <w:rPr>
          <w:rFonts w:eastAsia="Andale Sans UI;Times New Roman" w:cs="Tahoma"/>
          <w:sz w:val="20"/>
          <w:lang w:eastAsia="zh-CN" w:bidi="en-US"/>
        </w:rPr>
        <w:t xml:space="preserve"> Lietuvos Respublikos žemės įstatymo Nr. I-446 pakeitimo įstatymo Nr. XIV-1311 1 ir 2 straipsnių pakeitimo įstatymas Nr. XIV-1538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r>
      <w:rPr>
        <w:rFonts w:eastAsia="Andale Sans UI;Times New Roman" w:cs="Tahoma"/>
        <w:szCs w:val="24"/>
        <w:lang w:val="en-US"/>
      </w:rPr>
      <mc:AlternateContent>
        <mc:Choice Requires="wps">
          <w:drawing>
            <wp:anchor distT="0" distB="0" distL="0" distR="0" simplePos="0" relativeHeight="5" behindDoc="0" locked="0" layoutInCell="0" allowOverlap="1" wp14:anchorId="7CB67DAF" wp14:editId="7CB67DB0">
              <wp:simplePos x="0" y="0"/>
              <wp:positionH relativeFrom="margin">
                <wp:align>center</wp:align>
              </wp:positionH>
              <wp:positionV relativeFrom="paragraph">
                <wp:posOffset>635</wp:posOffset>
              </wp:positionV>
              <wp:extent cx="76835" cy="168910"/>
              <wp:effectExtent l="0" t="0" r="0" b="0"/>
              <wp:wrapSquare wrapText="largest"/>
              <wp:docPr id="2" name="Frame1"/>
              <wp:cNvGraphicFramePr/>
              <a:graphic xmlns:a="http://schemas.openxmlformats.org/drawingml/2006/main">
                <a:graphicData uri="http://schemas.microsoft.com/office/word/2010/wordprocessingShape">
                  <wps:wsp>
                    <wps:cNvSpPr txBox="1"/>
                    <wps:spPr>
                      <a:xfrm>
                        <a:off x="0" y="0"/>
                        <a:ext cx="76835" cy="168910"/>
                      </a:xfrm>
                      <a:prstGeom prst="rect">
                        <a:avLst/>
                      </a:prstGeom>
                      <a:solidFill>
                        <a:srgbClr val="FFFFFF">
                          <a:alpha val="0"/>
                        </a:srgbClr>
                      </a:solidFill>
                    </wps:spPr>
                    <wps:txbx>
                      <w:txbxContent>
                        <w:p>
                          <w:pPr>
                            <w:widowControl w:val="0"/>
                            <w:suppressLineNumbers/>
                            <w:tabs>
                              <w:tab w:val="center" w:pos="4800"/>
                              <w:tab w:val="right" w:pos="9601"/>
                            </w:tabs>
                            <w:suppressAutoHyphens/>
                            <w:rPr>
                              <w:rFonts w:eastAsia="Andale Sans UI;Times New Roman"/>
                              <w:szCs w:val="24"/>
                              <w:lang w:eastAsia="zh-CN" w:bidi="en-US"/>
                            </w:rPr>
                          </w:pPr>
                          <w:r>
                            <w:rPr>
                              <w:rFonts w:eastAsia="Andale Sans UI;Times New Roman"/>
                              <w:szCs w:val="24"/>
                              <w:lang w:eastAsia="zh-CN" w:bidi="en-US"/>
                            </w:rPr>
                            <w:fldChar w:fldCharType="begin"/>
                          </w:r>
                          <w:r>
                            <w:rPr>
                              <w:rFonts w:eastAsia="Andale Sans UI;Times New Roman"/>
                              <w:szCs w:val="24"/>
                              <w:lang w:eastAsia="zh-CN" w:bidi="en-US"/>
                            </w:rPr>
                            <w:instrText xml:space="preserve"> PAGE </w:instrText>
                          </w:r>
                          <w:r>
                            <w:rPr>
                              <w:rFonts w:eastAsia="Andale Sans UI;Times New Roman"/>
                              <w:szCs w:val="24"/>
                              <w:lang w:eastAsia="zh-CN" w:bidi="en-US"/>
                            </w:rPr>
                            <w:fldChar w:fldCharType="separate"/>
                          </w:r>
                          <w:r>
                            <w:rPr>
                              <w:rFonts w:eastAsia="Andale Sans UI;Times New Roman"/>
                              <w:szCs w:val="24"/>
                              <w:lang w:eastAsia="zh-CN" w:bidi="en-US"/>
                            </w:rPr>
                            <w:t>3</w:t>
                          </w:r>
                          <w:r>
                            <w:rPr>
                              <w:rFonts w:eastAsia="Andale Sans UI;Times New Roman"/>
                              <w:szCs w:val="24"/>
                              <w:lang w:eastAsia="zh-CN" w:bidi="en-US"/>
                            </w:rPr>
                            <w:fldChar w:fldCharType="end"/>
                          </w:r>
                        </w:p>
                      </w:txbxContent>
                    </wps:txbx>
                    <wps:bodyPr lIns="0" tIns="0" rIns="0" bIns="0" anchor="t">
                      <a:noAutofit/>
                    </wps:bodyPr>
                  </wps:wsp>
                </a:graphicData>
              </a:graphic>
            </wp:anchor>
          </w:drawing>
        </mc:Choice>
        <mc:Fallback>
          <w:pict>
            <v:shapetype w14:anchorId="7CB67DAF" id="_x0000_t202" coordsize="21600,21600" o:spt="202" path="m,l,21600r21600,l21600,xe">
              <v:stroke joinstyle="miter"/>
              <v:path gradientshapeok="t" o:connecttype="rect"/>
            </v:shapetype>
            <v:shape id="Frame1" o:spid="_x0000_s1026" type="#_x0000_t202" style="position:absolute;margin-left:0;margin-top:.05pt;width:6.05pt;height:13.3pt;z-index:5;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ENswEAAGQDAAAOAAAAZHJzL2Uyb0RvYy54bWysU82O0zAQviPxDpbvNE0RpURNV8CqCAnB SgsP4Dh2Y8n2WGNvk749Y6fpruCGyMGeP38z38xkfzc5y84KowHf8nq15kx5Cb3xp5b/+nl8s+Ms JuF7YcGrll9U5HeH16/2Y2jUBgawvUJGID42Y2j5kFJoqirKQTkRVxCUJ6cGdCKRiqeqRzESurPV Zr3eViNgHxCkipGs97OTHwq+1kqmH1pHlZhtOdWWyonl7PJZHfaiOaEIg5HXMsQ/VOGE8ZT0BnUv kmBPaP6CckYiRNBpJcFVoLWRqnAgNvX6DzaPgwiqcKHmxHBrU/x/sPL7+QGZ6Vu+4cwLRyM6Il11 7swYYkMBj4FC0vQJJprwYo9kzIQnjS7fRIWRn3p8ufVVTYlJMr7f7t6+40ySp97uPtSl7dXz24Ax fVHgWBZajjS10kxx/hYT1UGhS0hOFcGa/misLQqeus8W2VnQhI/lm9/aMIjZuqSLc2jBe4FRZZoz nSylqZuu3DvoL0TdfvXU8bw9i4CL0C2C8HIA2qu5cA8fnxJoU4rPoDMSZc4KjbLUcF27vCsv9RL1 /HMcfgMAAP//AwBQSwMEFAAGAAgAAAAhAGJpG0fYAAAAAwEAAA8AAABkcnMvZG93bnJldi54bWxM j0FvwjAMhe+T+A+RkbiNlCIB65oixrRdp3WTuJrGNFUbp2oCdP9+6Wk7Wc/Peu9zvh9tJ240+Max gtUyAUFcOd1wreD76+1xB8IHZI2dY1LwQx72xewhx0y7O3/SrQy1iCHsM1RgQugzKX1lyKJfup44 ehc3WAxRDrXUA95juO1kmiQbabHh2GCwp6Ohqi2vVsH6I92e/Hv5euxP9NTu/Et7YaPUYj4enkEE GsPfMUz4ER2KyHR2V9ZedAriI2HaislL4zwrSDdbkEUu/7MXvwAAAP//AwBQSwECLQAUAAYACAAA ACEAtoM4kv4AAADhAQAAEwAAAAAAAAAAAAAAAAAAAAAAW0NvbnRlbnRfVHlwZXNdLnhtbFBLAQIt ABQABgAIAAAAIQA4/SH/1gAAAJQBAAALAAAAAAAAAAAAAAAAAC8BAABfcmVscy8ucmVsc1BLAQIt ABQABgAIAAAAIQA6Q6ENswEAAGQDAAAOAAAAAAAAAAAAAAAAAC4CAABkcnMvZTJvRG9jLnhtbFBL AQItABQABgAIAAAAIQBiaRtH2AAAAAMBAAAPAAAAAAAAAAAAAAAAAA0EAABkcnMvZG93bnJldi54 bWxQSwUGAAAAAAQABADzAAAAEgUAAAAA " o:allowincell="f" stroked="f">
              <v:fill opacity="0"/>
              <v:textbox inset="0,0,0,0">
                <w:txbxContent>
                  <w:p w14:paraId="7CB67DB2" w14:textId="77777777">
                    <w:pPr>
                      <w:widowControl w:val="0"/>
                      <w:suppressLineNumbers/>
                      <w:tabs>
                        <w:tab w:val="center" w:leader="none" w:pos="4800"/>
                        <w:tab w:val="right" w:leader="none" w:pos="9601"/>
                      </w:tabs>
                      <w:suppressAutoHyphens w:val="1"/>
                      <w:rPr>
                        <w:rFonts w:ascii="Times New Roman" w:hAnsi="Times New Roman" w:eastAsia="Andale Sans UI;Times New Roman" w:cs="Times New Roman"/>
                        <w:szCs w:val="24"/>
                        <w:lang w:eastAsia="zh-CN" w:bidi="en-US"/>
                      </w:rPr>
                    </w:pPr>
                    <w:r>
                      <w:rPr>
                        <w:rFonts w:ascii="Times New Roman" w:hAnsi="Times New Roman" w:eastAsia="Andale Sans UI;Times New Roman" w:cs="Times New Roman"/>
                        <w:szCs w:val="24"/>
                        <w:lang w:eastAsia="zh-CN" w:bidi="en-US"/>
                      </w:rPr>
                      <w:fldChar w:fldCharType="begin"/>
                    </w:r>
                    <w:r>
                      <w:rPr>
                        <w:rFonts w:ascii="Times New Roman" w:hAnsi="Times New Roman" w:eastAsia="Andale Sans UI;Times New Roman" w:cs="Times New Roman"/>
                        <w:szCs w:val="24"/>
                        <w:lang w:eastAsia="zh-CN" w:bidi="en-US"/>
                      </w:rPr>
                      <w:instrText xml:space="preserve"> PAGE </w:instrText>
                    </w:r>
                    <w:r>
                      <w:rPr>
                        <w:rFonts w:ascii="Times New Roman" w:hAnsi="Times New Roman" w:eastAsia="Andale Sans UI;Times New Roman" w:cs="Times New Roman"/>
                        <w:szCs w:val="24"/>
                        <w:lang w:eastAsia="zh-CN" w:bidi="en-US"/>
                      </w:rPr>
                      <w:fldChar w:fldCharType="separate"/>
                    </w:r>
                    <w:r>
                      <w:rPr>
                        <w:rFonts w:ascii="Times New Roman" w:hAnsi="Times New Roman" w:eastAsia="Andale Sans UI;Times New Roman" w:cs="Times New Roman"/>
                        <w:szCs w:val="24"/>
                        <w:lang w:eastAsia="zh-CN" w:bidi="en-US"/>
                      </w:rPr>
                      <w:t>3</w:t>
                    </w:r>
                    <w:r>
                      <w:rPr>
                        <w:rFonts w:ascii="Times New Roman" w:hAnsi="Times New Roman" w:eastAsia="Andale Sans UI;Times New Roman" w:cs="Times New Roman"/>
                        <w:szCs w:val="24"/>
                        <w:lang w:eastAsia="zh-CN" w:bidi="en-US"/>
                      </w:rPr>
                      <w:fldChar w:fldCharType="end"/>
                    </w:r>
                  </w:p>
                </w:txbxContent>
              </v:textbox>
              <w10:wrap type="square" side="largest" anchorx="margin"/>
            </v:shape>
          </w:pict>
        </mc:Fallback>
      </mc:AlternateContent>
    </w:r>
  </w:p>
  <w:p>
    <w:pPr>
      <w:widowControl w:val="0"/>
      <w:suppressLineNumbers/>
      <w:tabs>
        <w:tab w:val="center" w:pos="4800"/>
        <w:tab w:val="right" w:pos="9601"/>
      </w:tabs>
      <w:suppressAutoHyphens/>
      <w:rPr>
        <w:rFonts w:eastAsia="Andale Sans UI;Times New Roman" w:cs="Tahoma"/>
        <w:szCs w:val="24"/>
        <w:lang w:eastAsia="zh-CN"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67"/>
  <w:hyphenationZone w:val="396"/>
  <w:doNotHyphenateCaps/>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9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7BA30D-A700-4D29-B916-DC1B1A5D14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64049">
      <w:bodyDiv w:val="1"/>
      <w:marLeft w:val="0"/>
      <w:marRight w:val="0"/>
      <w:marTop w:val="0"/>
      <w:marBottom w:val="0"/>
      <w:divBdr>
        <w:top w:val="none" w:sz="0" w:space="0" w:color="auto"/>
        <w:left w:val="none" w:sz="0" w:space="0" w:color="auto"/>
        <w:bottom w:val="none" w:sz="0" w:space="0" w:color="auto"/>
        <w:right w:val="none" w:sz="0" w:space="0" w:color="auto"/>
      </w:divBdr>
    </w:div>
    <w:div w:id="609355708">
      <w:bodyDiv w:val="1"/>
      <w:marLeft w:val="0"/>
      <w:marRight w:val="0"/>
      <w:marTop w:val="0"/>
      <w:marBottom w:val="0"/>
      <w:divBdr>
        <w:top w:val="none" w:sz="0" w:space="0" w:color="auto"/>
        <w:left w:val="none" w:sz="0" w:space="0" w:color="auto"/>
        <w:bottom w:val="none" w:sz="0" w:space="0" w:color="auto"/>
        <w:right w:val="none" w:sz="0" w:space="0" w:color="auto"/>
      </w:divBdr>
    </w:div>
    <w:div w:id="14290390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RatedBy xmlns="http://schemas.microsoft.com/sharepoint/v3">
      <UserInfo>
        <DisplayName/>
        <AccountId xsi:nil="true"/>
        <AccountType/>
      </UserInfo>
    </RatedBy>
    <LikesCount xmlns="http://schemas.microsoft.com/sharepoint/v3" xsi:nil="true"/>
    <Ratings xmlns="http://schemas.microsoft.com/sharepoint/v3" xsi:nil="true"/>
    <LikedBy xmlns="http://schemas.microsoft.com/sharepoint/v3">
      <UserInfo>
        <DisplayName/>
        <AccountId xsi:nil="true"/>
        <AccountType/>
      </UserInfo>
    </LikedBy>
    <SharedWithUsers xmlns="19cf09c5-daa1-4028-a0ff-74a0be4ec5cc">
      <UserInfo>
        <DisplayName>Judita Vaišnorienė</DisplayName>
        <AccountId>206</AccountId>
        <AccountType/>
      </UserInfo>
      <UserInfo>
        <DisplayName>Jurgita Augutienė</DisplayName>
        <AccountId>4080</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61a20dd7d1de4c2da88b93be14dbdb90" PartId="7b12b38b6b0243dd9e768579b5c95cc4"/>
  <Part Type="pastraipa" DocPartId="b639029f75554d5abc6ac32cd9d85a5b" PartId="84adac25d7bc40c8a7edb9faa925a2de"/>
  <Part Type="pastraipa" DocPartId="5daea0e1810b4a77a6fa0e1e57149769" PartId="257fda98e9ec4978a3e0a4a510461fb9"/>
  <Part Type="pastraipa" DocPartId="99583f0d411945daaed9f8d18dd79c83" PartId="680d908e1a494344803e57c209af7380"/>
  <Part Type="pastraipa" DocPartId="fa22e6d277fc4b23a122b5a74fba08b1" PartId="898cf4eec12647d6882ebf6cb59eb0bd"/>
  <Part Type="pastraipa" DocPartId="cac44ba93852482799d74ebd7c7bf875" PartId="5215f8ba78364a28bb1f5d47dd42d835"/>
  <Part Type="pastraipa" DocPartId="2ac2a1da3f87420690c64a72225037ea" PartId="899da790eba94c479a85d48be8a37f8d"/>
  <Part Type="pastraipa" DocPartId="e1672ae5029349abbe010d2753a72fbe" PartId="e3ce11f537c3471aadfb04b3b76b17c9">
    <Part Type="punktas" Nr="1" Abbr="1 p." DocPartId="3098a43585bf4a8596b375372441af52" PartId="9409d2237208459ebf1621a41bd89fd0"/>
    <Part Type="punktas" Nr="2" Abbr="2 p." DocPartId="c9c56e5c00854cbbba2d83776ee37f1c" PartId="07c78600f0c644b6b44c782ed728b5d9"/>
    <Part Type="punktas" Nr="3" Abbr="3 p." DocPartId="7ce08454b9c84092b1e2db7954cf3c03" PartId="7cbd487b38e443289dcab7e743d74844">
      <Part Type="papunktis" Nr="3.1" Abbr="3.1 pp." DocPartId="36440113762946919c55ea1aefa46f71" PartId="1bf1508685ac49949cf097d8688e3f2c"/>
      <Part Type="papunktis" Nr="3.2" Abbr="3.2 pp." DocPartId="945ace429872403882a271ffba5769f4" PartId="dbb1c87c17d44411904518cca191a051"/>
      <Part Type="papunktis" Nr="3.3" Abbr="3.3 pp." DocPartId="d978c53955754144ad5bb386c9dd61e9" PartId="f288e5334de84f9a9ac2d906042634ab"/>
      <Part Type="papunktis" Nr="3.4" Abbr="3.4 pp." DocPartId="97c87ef871804769ab7433aae8d2ea20" PartId="5efef4f4c50c4d1b9c2d0be133ce2b11"/>
      <Part Type="papunktis" Nr="3.5" Abbr="3.5 pp." DocPartId="7add0e0e3385411fada560f48a74c563" PartId="8cf9f8ee61324b6db36a3781105c43d0"/>
    </Part>
    <Part Type="punktas" Nr="1" Abbr="1 p." Notes="Numeris ne iš eilės. Trūksta dalių? [DocDalys]" DocPartId="8e74e9a103f847bf8d385c704beeee1c" PartId="1e324c905ca745ed92bba671ca5919d6"/>
    <Part Type="punktas" Nr="2" Abbr="2 p." DocPartId="ad647b906b0f41e0acd88a92a4f23e1e" PartId="4a95c6a1de8c4baa80b65572938fc383"/>
    <Part Type="punktas" Nr="3" Abbr="3 p." DocPartId="1d3273feb4c94077ae2a0bbe51ca5453" PartId="d142e0f8b80e45a38ef9875b9b8f9d64"/>
    <Part Type="signatura" DocPartId="42fac1d23adf44239837acc9febc2c2c" PartId="b769b8ebeab04b6dabc852ab6cd46ac4"/>
  </Part>
</Parts>
</file>

<file path=customXml/itemProps1.xml><?xml version="1.0" encoding="utf-8"?>
<ds:datastoreItem xmlns:ds="http://schemas.openxmlformats.org/officeDocument/2006/customXml" ds:itemID="{B89FD3E1-C142-456C-A90D-109B65E035BD}">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9F03419-1334-428B-B624-D58BCEAC8BDC}">
  <ds:schemaRefs>
    <ds:schemaRef ds:uri="http://schemas.microsoft.com/sharepoint/v3/contenttype/forms"/>
  </ds:schemaRefs>
</ds:datastoreItem>
</file>

<file path=customXml/itemProps3.xml><?xml version="1.0" encoding="utf-8"?>
<ds:datastoreItem xmlns:ds="http://schemas.openxmlformats.org/officeDocument/2006/customXml" ds:itemID="{916C521C-C72E-42AE-B605-00BF73A8D1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F3A1E2-1FAB-45E6-9715-C0C5608ABE92}">
  <ds:schemaRefs>
    <ds:schemaRef ds:uri="http://schemas.openxmlformats.org/officeDocument/2006/bibliography"/>
  </ds:schemaRefs>
</ds:datastoreItem>
</file>

<file path=customXml/itemProps5.xml><?xml version="1.0" encoding="utf-8"?>
<ds:datastoreItem xmlns:ds="http://schemas.openxmlformats.org/officeDocument/2006/customXml" ds:itemID="{E48793AB-8BE9-4809-BADD-3992CAF3BD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958</Words>
  <Characters>6728</Characters>
  <Application>Microsoft Office Word</Application>
  <DocSecurity>4</DocSecurity>
  <Lines>156</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2023-12-07T13:24:00Z</dcterms:created>
  <dc:creator>i.valunas</dc:creator>
  <dc:language>lt-LT</dc:language>
  <lastModifiedBy>adlibuser</lastModifiedBy>
  <lastPrinted>2019-03-26T10:15:00Z</lastPrinted>
  <dcterms:modified xsi:type="dcterms:W3CDTF">2023-12-07T13:24:00Z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dDocAuthor">
    <vt:lpwstr>j.vaisnoriene</vt:lpwstr>
  </property>
  <property fmtid="{D5CDD505-2E9C-101B-9397-08002B2CF9AE}" pid="3" name="DISProperties">
    <vt:lpwstr>DISidcName,DISdID,DISCdDocAuthor,VDVISDokPavadinimas,VDVISDokTipas,DIScgiUrl,DISTaskPaneUrl,DISdUser,DISdDocName</vt:lpwstr>
  </property>
  <property fmtid="{D5CDD505-2E9C-101B-9397-08002B2CF9AE}" pid="4" name="DISTaskPaneUrl">
    <vt:lpwstr>https://vdvis.am.lt/cs/idcplg?IdcService=DESKTOP_DOC_INFO&amp;dDocName=AM_4223439&amp;dID=4270060&amp;ClientControlled=DocMan,taskpane&amp;coreContentOnly=1</vt:lpwstr>
  </property>
  <property fmtid="{D5CDD505-2E9C-101B-9397-08002B2CF9AE}" pid="5" name="DIScgiUrl">
    <vt:lpwstr>https://vdvis.am.lt/cs/idcplg</vt:lpwstr>
  </property>
  <property fmtid="{D5CDD505-2E9C-101B-9397-08002B2CF9AE}" pid="6" name="DISdDocName">
    <vt:lpwstr>AM_4223439</vt:lpwstr>
  </property>
  <property fmtid="{D5CDD505-2E9C-101B-9397-08002B2CF9AE}" pid="7" name="DISdID">
    <vt:lpwstr>4270060</vt:lpwstr>
  </property>
  <property fmtid="{D5CDD505-2E9C-101B-9397-08002B2CF9AE}" pid="8" name="DISdUser">
    <vt:lpwstr>j.vaisnoriene</vt:lpwstr>
  </property>
  <property fmtid="{D5CDD505-2E9C-101B-9397-08002B2CF9AE}" pid="9" name="DISidcName">
    <vt:lpwstr>vdvis_dev</vt:lpwstr>
  </property>
  <property fmtid="{D5CDD505-2E9C-101B-9397-08002B2CF9AE}" pid="10" name="LikedBy">
    <vt:lpwstr/>
  </property>
  <property fmtid="{D5CDD505-2E9C-101B-9397-08002B2CF9AE}" pid="11" name="LikesCount">
    <vt:lpwstr/>
  </property>
  <property fmtid="{D5CDD505-2E9C-101B-9397-08002B2CF9AE}" pid="12" name="RatedBy">
    <vt:lpwstr/>
  </property>
  <property fmtid="{D5CDD505-2E9C-101B-9397-08002B2CF9AE}" pid="13" name="Ratings">
    <vt:lpwstr/>
  </property>
  <property fmtid="{D5CDD505-2E9C-101B-9397-08002B2CF9AE}" pid="14" name="SharedWithUsers">
    <vt:lpwstr>206;#Judita Vaišnorienė</vt:lpwstr>
  </property>
  <property fmtid="{D5CDD505-2E9C-101B-9397-08002B2CF9AE}" pid="15" name="VDVISDokPavadinimas">
    <vt:lpwstr>DĖL ĮSAKYMŲ PROJEKTŲ DERINIMO</vt:lpwstr>
  </property>
  <property fmtid="{D5CDD505-2E9C-101B-9397-08002B2CF9AE}" pid="16" name="VDVISDokTipas">
    <vt:lpwstr>Raštas</vt:lpwstr>
  </property>
  <property fmtid="{D5CDD505-2E9C-101B-9397-08002B2CF9AE}" pid="17" name="display_urn:schemas-microsoft-com:office:office#SharedWithUsers">
    <vt:lpwstr>Judita Vaišnorienė</vt:lpwstr>
  </property>
  <property fmtid="{D5CDD505-2E9C-101B-9397-08002B2CF9AE}" pid="18" name="ContentTypeId">
    <vt:lpwstr>0x010100AA351E0ECF89C14A900DE8C04996CFDF</vt:lpwstr>
  </property>
</Properties>
</file>