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1b95ea693c47d5960d676bbcc24468"/>
        <w:lock w:val="sdtLocked"/>
        <w:richText/>
      </w:sdtPr>
      <w:sdtContent>
        <w:p w14:paraId="1B9C65A6" w14:textId="77777777">
          <w:pPr>
            <w:tabs>
              <w:tab w:val="center" w:pos="4153"/>
              <w:tab w:val="right" w:pos="8306"/>
            </w:tabs>
            <w:spacing w:line="259" w:lineRule="auto"/>
            <w:jc w:val="center"/>
            <w:rPr>
              <w:kern w:val="2"/>
              <w:sz w:val="20"/>
            </w:rPr>
          </w:pPr>
          <w:r>
            <w:rPr>
              <w:kern w:val="2"/>
              <w:sz w:val="22"/>
              <w:szCs w:val="22"/>
              <w:lang w:val="en-US"/>
            </w:rPr>
            <w:drawing>
              <wp:inline distT="0" distB="0" distL="0" distR="0" wp14:anchorId="39B93E7E" wp14:editId="129F4836">
                <wp:extent cx="624840" cy="6947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14:paraId="59F454AA" w14:textId="77777777">
          <w:pPr>
            <w:tabs>
              <w:tab w:val="center" w:pos="4153"/>
              <w:tab w:val="right" w:pos="8306"/>
            </w:tabs>
            <w:spacing w:line="259" w:lineRule="auto"/>
            <w:jc w:val="center"/>
            <w:rPr>
              <w:kern w:val="2"/>
              <w:sz w:val="20"/>
            </w:rPr>
          </w:pPr>
        </w:p>
        <w:p w14:paraId="0D60E2EA" w14:textId="77777777">
          <w:pPr>
            <w:tabs>
              <w:tab w:val="center" w:pos="4153"/>
              <w:tab w:val="right" w:pos="8306"/>
            </w:tabs>
            <w:spacing w:line="259" w:lineRule="auto"/>
            <w:jc w:val="center"/>
            <w:rPr>
              <w:b/>
              <w:bCs/>
              <w:color w:val="000000"/>
              <w:kern w:val="2"/>
              <w:sz w:val="28"/>
              <w:szCs w:val="28"/>
            </w:rPr>
          </w:pPr>
          <w:r>
            <w:rPr>
              <w:b/>
              <w:bCs/>
              <w:color w:val="000000"/>
              <w:kern w:val="2"/>
              <w:sz w:val="28"/>
              <w:szCs w:val="28"/>
            </w:rPr>
            <w:t>LIETUVOS RESPUBLIKOS SVEIKATOS APSAUGOS MINISTERIJA</w:t>
          </w:r>
        </w:p>
        <w:p w14:paraId="58EDE6B9" w14:textId="77777777">
          <w:pPr>
            <w:tabs>
              <w:tab w:val="center" w:pos="4153"/>
              <w:tab w:val="right" w:pos="8306"/>
            </w:tabs>
            <w:spacing w:line="259" w:lineRule="auto"/>
            <w:jc w:val="center"/>
            <w:rPr>
              <w:color w:val="000000"/>
              <w:kern w:val="2"/>
              <w:szCs w:val="24"/>
            </w:rPr>
          </w:pPr>
        </w:p>
        <w:p w14:paraId="6CDDE64F" w14:textId="77777777">
          <w:pPr>
            <w:spacing w:line="259" w:lineRule="auto"/>
            <w:rPr>
              <w:rFonts w:eastAsia="Calibri"/>
              <w:color w:val="2C3335"/>
              <w:szCs w:val="24"/>
            </w:rPr>
          </w:pPr>
        </w:p>
        <w:tbl>
          <w:tblPr>
            <w:tblW w:w="9639" w:type="dxa"/>
            <w:jc w:val="center"/>
            <w:tblLayout w:type="fixed"/>
            <w:tblCellMar>
              <w:left w:w="0" w:type="dxa"/>
              <w:right w:w="0" w:type="dxa"/>
            </w:tblCellMar>
            <w:tblLook w:val="0000" w:firstRow="0" w:lastRow="0" w:firstColumn="0" w:lastColumn="0" w:noHBand="0" w:noVBand="0"/>
          </w:tblPr>
          <w:tblGrid>
            <w:gridCol w:w="5538"/>
            <w:gridCol w:w="1425"/>
            <w:gridCol w:w="426"/>
            <w:gridCol w:w="2250"/>
          </w:tblGrid>
          <w:tr w14:paraId="0638ECBC" w14:textId="77777777">
            <w:trPr>
              <w:cantSplit/>
              <w:trHeight w:val="270"/>
              <w:jc w:val="center"/>
            </w:trPr>
            <w:tc>
              <w:tcPr>
                <w:tcW w:w="5529" w:type="dxa"/>
                <w:vMerge w:val="restart"/>
              </w:tcPr>
              <w:p w14:paraId="0BE5EC06" w14:textId="66C8E9F1">
                <w:pPr>
                  <w:ind w:right="708"/>
                  <w:rPr>
                    <w:rFonts w:eastAsia="Calibri"/>
                    <w:color w:val="000000"/>
                    <w:szCs w:val="24"/>
                  </w:rPr>
                </w:pPr>
                <w:r>
                  <w:rPr>
                    <w:color w:val="000000"/>
                    <w:kern w:val="2"/>
                    <w:szCs w:val="24"/>
                  </w:rPr>
                  <w:t>Pagal adresatų sąrašą</w:t>
                </w:r>
              </w:p>
            </w:tc>
            <w:tc>
              <w:tcPr>
                <w:tcW w:w="1422" w:type="dxa"/>
              </w:tcPr>
              <w:p w14:paraId="0E9C518A" w14:textId="42AE9B31">
                <w:pPr>
                  <w:rPr>
                    <w:rFonts w:eastAsia="Calibri"/>
                    <w:color w:val="000000"/>
                    <w:szCs w:val="24"/>
                  </w:rPr>
                </w:pPr>
                <w:r>
                  <w:rPr>
                    <w:rFonts w:eastAsia="Calibri"/>
                    <w:color w:val="000000"/>
                    <w:szCs w:val="24"/>
                  </w:rPr>
                  <w:t>2026-07-</w:t>
                </w:r>
              </w:p>
            </w:tc>
            <w:tc>
              <w:tcPr>
                <w:tcW w:w="425" w:type="dxa"/>
              </w:tcPr>
              <w:p w14:paraId="1DF0C6D2" w14:textId="77777777">
                <w:pPr>
                  <w:rPr>
                    <w:rFonts w:eastAsia="Calibri"/>
                    <w:color w:val="000000"/>
                    <w:szCs w:val="24"/>
                  </w:rPr>
                </w:pPr>
                <w:r>
                  <w:rPr>
                    <w:rFonts w:eastAsia="Calibri"/>
                    <w:color w:val="000000"/>
                    <w:szCs w:val="24"/>
                  </w:rPr>
                  <w:t>Nr.</w:t>
                </w:r>
              </w:p>
            </w:tc>
            <w:tc>
              <w:tcPr>
                <w:tcW w:w="2246" w:type="dxa"/>
              </w:tcPr>
              <w:p w14:paraId="390815CB" w14:textId="35A995DB">
                <w:pPr>
                  <w:rPr>
                    <w:rFonts w:eastAsia="Calibri"/>
                    <w:color w:val="000000"/>
                    <w:szCs w:val="24"/>
                  </w:rPr>
                </w:pPr>
                <w:r>
                  <w:rPr>
                    <w:kern w:val="2"/>
                    <w:szCs w:val="24"/>
                  </w:rPr>
                  <w:t>(1.1.9E-411) 10-</w:t>
                </w:r>
              </w:p>
            </w:tc>
          </w:tr>
          <w:tr w14:paraId="6A150433" w14:textId="77777777">
            <w:trPr>
              <w:cantSplit/>
              <w:trHeight w:val="270"/>
              <w:jc w:val="center"/>
            </w:trPr>
            <w:tc>
              <w:tcPr>
                <w:tcW w:w="5529" w:type="dxa"/>
                <w:vMerge/>
              </w:tcPr>
              <w:p w14:paraId="50DE8F8F" w14:textId="77777777">
                <w:pPr>
                  <w:ind w:right="708"/>
                  <w:rPr>
                    <w:rFonts w:eastAsia="Calibri"/>
                    <w:color w:val="000000"/>
                    <w:szCs w:val="24"/>
                  </w:rPr>
                </w:pPr>
              </w:p>
            </w:tc>
            <w:tc>
              <w:tcPr>
                <w:tcW w:w="1422" w:type="dxa"/>
              </w:tcPr>
              <w:p w14:paraId="053641B0" w14:textId="1182ABAC">
                <w:pPr>
                  <w:ind w:right="-142"/>
                  <w:rPr>
                    <w:rFonts w:eastAsia="Calibri"/>
                    <w:color w:val="000000"/>
                    <w:szCs w:val="24"/>
                  </w:rPr>
                </w:pPr>
              </w:p>
            </w:tc>
            <w:tc>
              <w:tcPr>
                <w:tcW w:w="425" w:type="dxa"/>
              </w:tcPr>
              <w:p w14:paraId="0D829D29" w14:textId="29F75B9F">
                <w:pPr>
                  <w:rPr>
                    <w:rFonts w:eastAsia="Calibri"/>
                    <w:color w:val="000000"/>
                    <w:szCs w:val="24"/>
                  </w:rPr>
                </w:pPr>
              </w:p>
            </w:tc>
            <w:tc>
              <w:tcPr>
                <w:tcW w:w="2246" w:type="dxa"/>
              </w:tcPr>
              <w:p w14:paraId="66D3E56A" w14:textId="0F14BF30">
                <w:pPr>
                  <w:rPr>
                    <w:rFonts w:eastAsia="Calibri"/>
                    <w:color w:val="000000"/>
                    <w:szCs w:val="24"/>
                  </w:rPr>
                </w:pPr>
              </w:p>
            </w:tc>
          </w:tr>
        </w:tbl>
        <w:p w14:paraId="434EF98F" w14:textId="77777777">
          <w:pPr>
            <w:jc w:val="both"/>
            <w:rPr>
              <w:rFonts w:eastAsia="Calibri"/>
              <w:color w:val="2C3335"/>
              <w:szCs w:val="24"/>
            </w:rPr>
          </w:pPr>
        </w:p>
        <w:p w14:paraId="66710197" w14:textId="77777777">
          <w:pPr>
            <w:jc w:val="both"/>
            <w:rPr>
              <w:rFonts w:eastAsia="Calibri"/>
              <w:color w:val="2C3335"/>
              <w:szCs w:val="24"/>
            </w:rPr>
          </w:pPr>
        </w:p>
        <w:sdt>
          <w:sdtPr>
            <w:alias w:val="skirsnis"/>
            <w:tag w:val="part_c1a3f22b9b314c82a03150ce163ffabd"/>
            <w:lock w:val="sdtLocked"/>
            <w:richText/>
          </w:sdtPr>
          <w:sdtContent>
            <w:p w14:paraId="091C9E4B" w14:textId="3C81AFF7">
              <w:pPr>
                <w:jc w:val="both"/>
                <w:rPr>
                  <w:b/>
                  <w:bCs/>
                  <w:szCs w:val="24"/>
                </w:rPr>
              </w:pPr>
              <w:sdt>
                <w:sdtPr>
                  <w:alias w:val="Pavadinimas"/>
                  <w:tag w:val="title_c1a3f22b9b314c82a03150ce163ffabd"/>
                  <w:lock w:val="sdtLocked"/>
                  <w:richText/>
                </w:sdtPr>
                <w:sdtContent>
                  <w:r>
                    <w:rPr>
                      <w:b/>
                      <w:bCs/>
                      <w:szCs w:val="24"/>
                    </w:rPr>
                    <w:t>DĖL ĮSAKYMŲ PROJEKTŲ DERINIMO</w:t>
                  </w:r>
                </w:sdtContent>
              </w:sdt>
            </w:p>
            <w:p w14:paraId="29F15BE5" w14:textId="77777777">
              <w:pPr>
                <w:jc w:val="both"/>
                <w:rPr>
                  <w:szCs w:val="24"/>
                </w:rPr>
              </w:pPr>
            </w:p>
            <w:p w14:paraId="2B5F1FF5" w14:textId="77777777">
              <w:pPr>
                <w:jc w:val="both"/>
                <w:rPr>
                  <w:szCs w:val="24"/>
                </w:rPr>
              </w:pPr>
            </w:p>
            <w:p w14:paraId="7B59C395" w14:textId="0B10FAD6">
              <w:pPr>
                <w:spacing w:line="281" w:lineRule="auto"/>
                <w:ind w:firstLine="720"/>
                <w:jc w:val="both"/>
                <w:rPr>
                  <w:szCs w:val="24"/>
                </w:rPr>
              </w:pPr>
              <w:r>
                <w:rPr>
                  <w:szCs w:val="24"/>
                </w:rPr>
                <w:t xml:space="preserve">Lietuvos Respublikos sveikatos apsaugos ministerija teikia derinti Lietuvos Respublikos sveikatos apsaugos ministro įsakymo „Dėl Lietuvos Respublikos sveikatos apsaugos ministro 2011 m. rugpjūčio 10 d. įsakymo Nr. V-773 „Dėl Lietuvos higienos normos HN 21:2017 „Mokykla, vykdanti bendrojo ugdymo programas. Bendrieji sveikatos saugos reikalavimai“ patvirtinimo“ pakeitimo“ (toliau – Įsakymo projektas 1) ir Lietuvos Respublikos sveikatos apsaugos ministro įsakymo „Dėl </w:t>
              </w:r>
              <w:r>
                <w:rPr>
                  <w:szCs w:val="24"/>
                  <w:lang w:eastAsia="lt-LT"/>
                </w:rPr>
                <w:t>Lietuvos Respublikos sveikatos apsaugos ministro 2011 m. balandžio 7 d. įsakymo Nr. V-326 „Dėl Lietuvos higienos normos HN 102:2011 „Įstaiga, vykdanti formaliojo profesinio mokymo programą. Bendrieji sveikatos saugos reikalavimai“ patvirtinimo“ pakeitimo“ projektus (toliau – Įsakymo projektas 2, kartu – Įsakymų projektai).</w:t>
              </w:r>
            </w:p>
            <w:p w14:paraId="245D1FC6" w14:textId="3E9BFEDF">
              <w:pPr>
                <w:spacing w:line="281" w:lineRule="auto"/>
                <w:ind w:firstLine="720"/>
                <w:jc w:val="both"/>
                <w:rPr>
                  <w:szCs w:val="24"/>
                  <w:lang w:eastAsia="lt-LT"/>
                </w:rPr>
              </w:pPr>
              <w:r>
                <w:rPr>
                  <w:szCs w:val="24"/>
                </w:rPr>
                <w:t>Įsakymų projektų tikslas – įgyvendinti Lietuvos Respublikos švietimo įstatymo Nr. I-1489 40, 43, 46 ir 48 straipsnių pakeitimo įstatymo Nr. XV-1014 nuostatas, kuriomis mokinių, kurie mokosi pagal priešmokyklinio, bendrojo ugdymo ir formaliojo profesinio mokymo programas, mokymosi krūvio (per vieną dieną mokiniui tenkančių ugdomųjų veiklų apimties) reglamentavimas nuo 2026 m. rugsėjo 1 d. perduodamas švietimo, mokslo ir sporto ministro kompetencijai. Iki 2026 m. rugsėjo 1 d. galiojusioje Švietimo įstatymo redakcijoje buvo numatyta, kad mokinių mokymosi krūvis reglamentuojamas higienos normose. Atsižvelgiant į tai, kas išdėstyta Įsakymų projektais Lietuvos higienos normos HN 21:2017 „Mokykla, vykdanti bendrojo ugdymo programas. Bendrieji sveikatos saugos reikalavimai“</w:t>
              </w:r>
              <w:r>
                <w:rPr>
                  <w:szCs w:val="24"/>
                  <w:vertAlign w:val="superscript"/>
                </w:rPr>
                <w:footnoteReference w:id="1"/>
              </w:r>
              <w:r>
                <w:rPr>
                  <w:szCs w:val="24"/>
                </w:rPr>
                <w:t xml:space="preserve"> ir </w:t>
              </w:r>
              <w:r>
                <w:rPr>
                  <w:szCs w:val="24"/>
                  <w:lang w:eastAsia="lt-LT"/>
                </w:rPr>
                <w:t>Lietuvos higienos normos HN 102:2011 „Įstaiga, vykdanti formaliojo profesinio mokymo programą. Bendrieji sveikatos saugos reikalavimai“ (toliau – higienos norma HN 102:2011)</w:t>
              </w:r>
              <w:r>
                <w:rPr>
                  <w:szCs w:val="24"/>
                  <w:vertAlign w:val="superscript"/>
                  <w:lang w:eastAsia="lt-LT"/>
                </w:rPr>
                <w:footnoteReference w:id="2"/>
              </w:r>
              <w:r>
                <w:rPr>
                  <w:szCs w:val="24"/>
                  <w:lang w:eastAsia="lt-LT"/>
                </w:rPr>
                <w:t xml:space="preserve"> nuostatos, reglamentuojančios mokinių mokymosi krūvį, pripažįstamos netekusiomis galios. </w:t>
              </w:r>
            </w:p>
            <w:p w14:paraId="3309DA27" w14:textId="60F10891">
              <w:pPr>
                <w:spacing w:line="281" w:lineRule="auto"/>
                <w:ind w:firstLine="720"/>
                <w:jc w:val="both"/>
                <w:rPr>
                  <w:szCs w:val="24"/>
                  <w:lang w:eastAsia="lt-LT"/>
                </w:rPr>
              </w:pPr>
              <w:r>
                <w:rPr>
                  <w:szCs w:val="24"/>
                  <w:lang w:eastAsia="lt-LT"/>
                </w:rPr>
                <w:t xml:space="preserve">Įsakymo projektu 2 taip pat </w:t>
              </w:r>
              <w:r>
                <w:rPr>
                  <w:szCs w:val="24"/>
                </w:rPr>
                <w:t xml:space="preserve">atnaujinami teisės aktai, į kuriuos </w:t>
              </w:r>
              <w:r>
                <w:rPr>
                  <w:szCs w:val="24"/>
                  <w:lang w:eastAsia="lt-LT"/>
                </w:rPr>
                <w:t xml:space="preserve">higienos normoje HN 102:2011 pateikiamos </w:t>
              </w:r>
              <w:r>
                <w:rPr>
                  <w:szCs w:val="24"/>
                </w:rPr>
                <w:t xml:space="preserve">nuorodos, </w:t>
              </w:r>
              <w:r>
                <w:rPr>
                  <w:szCs w:val="24"/>
                  <w:lang w:eastAsia="lt-LT"/>
                </w:rPr>
                <w:t xml:space="preserve">higienos normos HN 102:2011 nuostatos patikslinamos </w:t>
              </w:r>
              <w:r>
                <w:rPr>
                  <w:szCs w:val="24"/>
                </w:rPr>
                <w:t>a</w:t>
              </w:r>
              <w:r>
                <w:rPr>
                  <w:bCs/>
                  <w:szCs w:val="24"/>
                </w:rPr>
                <w:t>tsižvelgiant į pasikeitusį teisinį reglamentavimą, siekiant, kad reikalavimai būti aiškesni patikslinamos jų formuluotės,</w:t>
              </w:r>
              <w:r>
                <w:rPr>
                  <w:szCs w:val="24"/>
                  <w:lang w:eastAsia="lt-LT"/>
                </w:rPr>
                <w:t xml:space="preserve"> atsisakoma perteklinių, neaktualių teisės akto nuostatų, reikalavimų nesuderinamų su kitų teisės aktų nuostatomis (pvz., apribojimų įstaigos patalpose vykdomai veiklai,  apribojimo įrengti kūno kultūros zoną iš tos pastato pusės, kurioje yra mokymo klasių kabinetų, kadangi gali būti taikomi kiti sprendimai nepageidaujamam poveikiui išvengti, reikalavimo apšvietimui naudoti tik </w:t>
              </w:r>
              <w:r>
                <w:rPr>
                  <w:szCs w:val="24"/>
                </w:rPr>
                <w:t xml:space="preserve">liuminescencines ar kaitrines lempas). </w:t>
              </w:r>
              <w:r>
                <w:rPr>
                  <w:bCs/>
                  <w:szCs w:val="24"/>
                </w:rPr>
                <w:t xml:space="preserve">Atsižvelgiant į Teisės aktų projektų rengimo rekomendacijas, patvirtintas Lietuvos Respublikos teisingumo ministro 2013 m. gruodžio 23 d. įsakymu Nr. Nr. 1R-298 „Dėl Teisės aktų projektų rengimo rekomendacijų patvirtinimo“, </w:t>
              </w:r>
              <w:r>
                <w:rPr>
                  <w:szCs w:val="24"/>
                  <w:lang w:eastAsia="lt-LT"/>
                </w:rPr>
                <w:t>higienos normos HN 102:2011</w:t>
              </w:r>
              <w:r>
                <w:rPr>
                  <w:bCs/>
                  <w:szCs w:val="24"/>
                </w:rPr>
                <w:t xml:space="preserve"> nuostatos koreguojamos dėl juridinės technikos. Atsižvelgiant į atliktų pakeitimų apimtį </w:t>
              </w:r>
              <w:r>
                <w:rPr>
                  <w:szCs w:val="24"/>
                  <w:lang w:eastAsia="lt-LT"/>
                </w:rPr>
                <w:t>higienos norma HN 102:2011</w:t>
              </w:r>
              <w:r>
                <w:rPr>
                  <w:bCs/>
                  <w:szCs w:val="24"/>
                </w:rPr>
                <w:t xml:space="preserve"> išdėstoma nauja redakcija.</w:t>
              </w:r>
            </w:p>
            <w:p w14:paraId="00854D7C" w14:textId="271638C4">
              <w:pPr>
                <w:spacing w:line="281" w:lineRule="auto"/>
                <w:ind w:firstLine="720"/>
                <w:jc w:val="both"/>
                <w:rPr>
                  <w:szCs w:val="24"/>
                </w:rPr>
              </w:pPr>
              <w:r>
                <w:rPr>
                  <w:szCs w:val="24"/>
                </w:rPr>
                <w:t>Įsakymų projektai skelbiami Lietuvos Respublikos Seimo teisės aktų informacinės sistemos Projektų registravimo posistemėje.</w:t>
              </w:r>
            </w:p>
            <w:p w14:paraId="14FA2E58" w14:textId="45489AEF">
              <w:pPr>
                <w:spacing w:line="281" w:lineRule="auto"/>
                <w:ind w:firstLine="720"/>
                <w:jc w:val="both"/>
                <w:rPr>
                  <w:szCs w:val="24"/>
                </w:rPr>
              </w:pPr>
              <w:r>
                <w:rPr>
                  <w:szCs w:val="24"/>
                </w:rPr>
                <w:t xml:space="preserve">Pastabas ir pasiūlymus dėl Įsakymų projektų prašome pateikti Lietuvos Respublikos sveikatos apsaugos ministerijai per </w:t>
              </w:r>
              <w:r>
                <w:rPr>
                  <w:szCs w:val="24"/>
                  <w:lang w:val="en-US"/>
                </w:rPr>
                <w:t>10</w:t>
              </w:r>
              <w:r>
                <w:rPr>
                  <w:szCs w:val="24"/>
                </w:rPr>
                <w:t xml:space="preserve"> darbo dienų nuo Įsakymo projekto gavimo dienos.</w:t>
              </w:r>
            </w:p>
            <w:p w14:paraId="5CD0A475" w14:textId="77777777">
              <w:pPr>
                <w:spacing w:line="281" w:lineRule="auto"/>
                <w:ind w:firstLine="720"/>
                <w:jc w:val="both"/>
                <w:rPr>
                  <w:szCs w:val="24"/>
                </w:rPr>
              </w:pPr>
              <w:r>
                <w:rPr>
                  <w:szCs w:val="24"/>
                </w:rPr>
                <w:t>PRIDEDAMA:</w:t>
              </w:r>
            </w:p>
            <w:sdt>
              <w:sdtPr>
                <w:alias w:val="1 p."/>
                <w:tag w:val="part_3ac4dd8d72bf4135b3069c7e78f2d2cc"/>
                <w:lock w:val="sdtLocked"/>
                <w:richText/>
              </w:sdtPr>
              <w:sdtContent>
                <w:p w14:paraId="4B421493" w14:textId="680A337B">
                  <w:pPr>
                    <w:spacing w:line="281" w:lineRule="auto"/>
                    <w:ind w:firstLine="720"/>
                    <w:jc w:val="both"/>
                    <w:rPr>
                      <w:szCs w:val="24"/>
                    </w:rPr>
                  </w:pPr>
                  <w:sdt>
                    <w:sdtPr>
                      <w:alias w:val="Numeris"/>
                      <w:tag w:val="nr_3ac4dd8d72bf4135b3069c7e78f2d2cc"/>
                      <w:lock w:val="sdtLocked"/>
                      <w:richText/>
                    </w:sdtPr>
                    <w:sdtContent>
                      <w:r>
                        <w:rPr>
                          <w:szCs w:val="24"/>
                        </w:rPr>
                        <w:t>1</w:t>
                      </w:r>
                    </w:sdtContent>
                  </w:sdt>
                  <w:r>
                    <w:rPr>
                      <w:szCs w:val="24"/>
                    </w:rPr>
                    <w:t>. Įsakymo projektas 1, 1 lapas.</w:t>
                  </w:r>
                </w:p>
              </w:sdtContent>
            </w:sdt>
            <w:sdt>
              <w:sdtPr>
                <w:alias w:val="2 p."/>
                <w:tag w:val="part_9496ee21f684499787bf989a1f0c6b11"/>
                <w:lock w:val="sdtLocked"/>
                <w:richText/>
              </w:sdtPr>
              <w:sdtContent>
                <w:p w14:paraId="4D5FCA14" w14:textId="169253C3">
                  <w:pPr>
                    <w:spacing w:line="281" w:lineRule="auto"/>
                    <w:ind w:firstLine="720"/>
                    <w:jc w:val="both"/>
                    <w:rPr>
                      <w:szCs w:val="24"/>
                    </w:rPr>
                  </w:pPr>
                  <w:sdt>
                    <w:sdtPr>
                      <w:alias w:val="Numeris"/>
                      <w:tag w:val="nr_9496ee21f684499787bf989a1f0c6b11"/>
                      <w:lock w:val="sdtLocked"/>
                      <w:richText/>
                    </w:sdtPr>
                    <w:sdtContent>
                      <w:r>
                        <w:rPr>
                          <w:szCs w:val="24"/>
                        </w:rPr>
                        <w:t>2</w:t>
                      </w:r>
                    </w:sdtContent>
                  </w:sdt>
                  <w:r>
                    <w:rPr>
                      <w:szCs w:val="24"/>
                    </w:rPr>
                    <w:t>. Įsakymo projekto 1 lyginamasis variantas, 1 lapas.</w:t>
                  </w:r>
                </w:p>
              </w:sdtContent>
            </w:sdt>
            <w:sdt>
              <w:sdtPr>
                <w:alias w:val="3 p."/>
                <w:tag w:val="part_2b608de600ee4a2fab01aee15663afd8"/>
                <w:lock w:val="sdtLocked"/>
                <w:richText/>
              </w:sdtPr>
              <w:sdtContent>
                <w:p w14:paraId="411C3B7F" w14:textId="04F05CD2">
                  <w:pPr>
                    <w:spacing w:line="281" w:lineRule="auto"/>
                    <w:ind w:firstLine="720"/>
                    <w:jc w:val="both"/>
                    <w:rPr>
                      <w:szCs w:val="24"/>
                    </w:rPr>
                  </w:pPr>
                  <w:sdt>
                    <w:sdtPr>
                      <w:alias w:val="Numeris"/>
                      <w:tag w:val="nr_2b608de600ee4a2fab01aee15663afd8"/>
                      <w:lock w:val="sdtLocked"/>
                      <w:richText/>
                    </w:sdtPr>
                    <w:sdtContent>
                      <w:r>
                        <w:rPr>
                          <w:szCs w:val="24"/>
                        </w:rPr>
                        <w:t>3</w:t>
                      </w:r>
                    </w:sdtContent>
                  </w:sdt>
                  <w:r>
                    <w:rPr>
                      <w:szCs w:val="24"/>
                    </w:rPr>
                    <w:t>. Įsakymo projektas 2, 8 lapai.</w:t>
                  </w:r>
                </w:p>
              </w:sdtContent>
            </w:sdt>
            <w:sdt>
              <w:sdtPr>
                <w:alias w:val="4 p."/>
                <w:tag w:val="part_f1e55ed135cd481d8c92028b206f2f4f"/>
                <w:lock w:val="sdtLocked"/>
                <w:richText/>
              </w:sdtPr>
              <w:sdtContent>
                <w:p w14:paraId="564F1465" w14:textId="2B21B0EA">
                  <w:pPr>
                    <w:spacing w:line="281" w:lineRule="auto"/>
                    <w:ind w:firstLine="720"/>
                    <w:jc w:val="both"/>
                    <w:rPr>
                      <w:szCs w:val="24"/>
                    </w:rPr>
                  </w:pPr>
                  <w:sdt>
                    <w:sdtPr>
                      <w:alias w:val="Numeris"/>
                      <w:tag w:val="nr_f1e55ed135cd481d8c92028b206f2f4f"/>
                      <w:lock w:val="sdtLocked"/>
                      <w:richText/>
                    </w:sdtPr>
                    <w:sdtContent>
                      <w:r>
                        <w:rPr>
                          <w:szCs w:val="24"/>
                        </w:rPr>
                        <w:t>4</w:t>
                      </w:r>
                    </w:sdtContent>
                  </w:sdt>
                  <w:r>
                    <w:rPr>
                      <w:szCs w:val="24"/>
                    </w:rPr>
                    <w:t>. Adresatų sąrašas, 1 lapas.</w:t>
                  </w:r>
                </w:p>
                <w:p w14:paraId="67AC750B" w14:textId="77777777">
                  <w:pPr>
                    <w:tabs>
                      <w:tab w:val="right" w:pos="9498"/>
                    </w:tabs>
                    <w:jc w:val="both"/>
                    <w:rPr>
                      <w:rFonts w:eastAsia="Calibri"/>
                      <w:szCs w:val="24"/>
                    </w:rPr>
                  </w:pPr>
                </w:p>
                <w:p w14:paraId="7E704C13" w14:textId="77777777">
                  <w:pPr>
                    <w:tabs>
                      <w:tab w:val="right" w:pos="9498"/>
                    </w:tabs>
                    <w:jc w:val="both"/>
                    <w:rPr>
                      <w:rFonts w:eastAsia="Calibri"/>
                      <w:szCs w:val="24"/>
                    </w:rPr>
                  </w:pPr>
                </w:p>
                <w:p w14:paraId="14D22D97" w14:textId="77777777">
                  <w:pPr>
                    <w:tabs>
                      <w:tab w:val="right" w:pos="9498"/>
                    </w:tabs>
                    <w:jc w:val="both"/>
                    <w:rPr>
                      <w:rFonts w:eastAsia="Calibri"/>
                      <w:szCs w:val="24"/>
                    </w:rPr>
                  </w:pPr>
                </w:p>
                <w:p w14:paraId="469E79DA" w14:textId="77777777">
                  <w:pPr>
                    <w:jc w:val="both"/>
                    <w:rPr>
                      <w:kern w:val="2"/>
                      <w:szCs w:val="24"/>
                    </w:rPr>
                  </w:pPr>
                  <w:r>
                    <w:rPr>
                      <w:kern w:val="2"/>
                      <w:szCs w:val="24"/>
                    </w:rPr>
                    <w:t>Sveikatos apsaugos viceministrė</w:t>
                    <w:tab/>
                    <w:tab/>
                    <w:tab/>
                    <w:t xml:space="preserve">                     Laimutė Vaidelienė</w:t>
                  </w:r>
                </w:p>
                <w:p w14:paraId="7C892A36" w14:textId="77777777">
                  <w:pPr>
                    <w:jc w:val="both"/>
                    <w:rPr>
                      <w:rFonts w:eastAsia="Calibri"/>
                      <w:szCs w:val="24"/>
                    </w:rPr>
                  </w:pPr>
                </w:p>
                <w:p w14:paraId="35254DFB" w14:textId="77777777">
                  <w:pPr>
                    <w:jc w:val="both"/>
                    <w:rPr>
                      <w:rFonts w:eastAsia="Calibri"/>
                      <w:szCs w:val="24"/>
                    </w:rPr>
                  </w:pPr>
                </w:p>
                <w:p w14:paraId="2BF0D339" w14:textId="77777777">
                  <w:pPr>
                    <w:jc w:val="both"/>
                    <w:rPr>
                      <w:rFonts w:eastAsia="Calibri"/>
                      <w:szCs w:val="24"/>
                    </w:rPr>
                  </w:pPr>
                </w:p>
                <w:p w14:paraId="2ACC4FF1" w14:textId="77777777">
                  <w:pPr>
                    <w:jc w:val="both"/>
                    <w:rPr>
                      <w:rFonts w:eastAsia="Calibri"/>
                      <w:szCs w:val="24"/>
                    </w:rPr>
                  </w:pPr>
                </w:p>
                <w:p w14:paraId="1F5E51C2" w14:textId="77777777">
                  <w:pPr>
                    <w:jc w:val="both"/>
                    <w:rPr>
                      <w:rFonts w:eastAsia="Calibri"/>
                      <w:szCs w:val="24"/>
                    </w:rPr>
                  </w:pPr>
                </w:p>
                <w:p w14:paraId="5E9ECA80" w14:textId="77777777">
                  <w:pPr>
                    <w:jc w:val="both"/>
                    <w:rPr>
                      <w:rFonts w:eastAsia="Calibri"/>
                      <w:szCs w:val="24"/>
                    </w:rPr>
                  </w:pPr>
                </w:p>
                <w:p w14:paraId="758448AA" w14:textId="77777777">
                  <w:pPr>
                    <w:jc w:val="both"/>
                    <w:rPr>
                      <w:rFonts w:eastAsia="Calibri"/>
                      <w:szCs w:val="24"/>
                    </w:rPr>
                  </w:pPr>
                </w:p>
                <w:p w14:paraId="6D6D297B" w14:textId="77777777">
                  <w:pPr>
                    <w:jc w:val="both"/>
                    <w:rPr>
                      <w:rFonts w:eastAsia="Calibri"/>
                      <w:szCs w:val="24"/>
                    </w:rPr>
                  </w:pPr>
                </w:p>
                <w:p w14:paraId="36F3D3B7" w14:textId="77777777">
                  <w:pPr>
                    <w:jc w:val="both"/>
                    <w:rPr>
                      <w:rFonts w:eastAsia="Calibri"/>
                      <w:szCs w:val="24"/>
                    </w:rPr>
                  </w:pPr>
                </w:p>
                <w:p w14:paraId="078A1DA6" w14:textId="77777777">
                  <w:pPr>
                    <w:jc w:val="both"/>
                    <w:rPr>
                      <w:rFonts w:eastAsia="Calibri"/>
                      <w:szCs w:val="24"/>
                    </w:rPr>
                  </w:pPr>
                </w:p>
                <w:p w14:paraId="0F46AFCF" w14:textId="77777777">
                  <w:pPr>
                    <w:jc w:val="both"/>
                    <w:rPr>
                      <w:rFonts w:eastAsia="Calibri"/>
                      <w:szCs w:val="24"/>
                    </w:rPr>
                  </w:pPr>
                </w:p>
                <w:p w14:paraId="36E85390" w14:textId="77777777">
                  <w:pPr>
                    <w:jc w:val="both"/>
                    <w:rPr>
                      <w:rFonts w:eastAsia="Calibri"/>
                      <w:szCs w:val="24"/>
                    </w:rPr>
                  </w:pPr>
                </w:p>
                <w:p w14:paraId="1FF7FD98" w14:textId="77777777">
                  <w:pPr>
                    <w:jc w:val="both"/>
                    <w:rPr>
                      <w:rFonts w:eastAsia="Calibri"/>
                      <w:szCs w:val="24"/>
                    </w:rPr>
                  </w:pPr>
                </w:p>
                <w:p w14:paraId="30E42FF6" w14:textId="77777777">
                  <w:pPr>
                    <w:jc w:val="both"/>
                    <w:rPr>
                      <w:rFonts w:eastAsia="Calibri"/>
                      <w:szCs w:val="24"/>
                    </w:rPr>
                  </w:pPr>
                </w:p>
                <w:p w14:paraId="47D6C8AD" w14:textId="77777777">
                  <w:pPr>
                    <w:jc w:val="both"/>
                    <w:rPr>
                      <w:rFonts w:eastAsia="Calibri"/>
                      <w:szCs w:val="24"/>
                    </w:rPr>
                  </w:pPr>
                </w:p>
                <w:p w14:paraId="6B8480C1" w14:textId="77777777">
                  <w:pPr>
                    <w:jc w:val="both"/>
                    <w:rPr>
                      <w:rFonts w:eastAsia="Calibri"/>
                      <w:szCs w:val="24"/>
                    </w:rPr>
                  </w:pPr>
                </w:p>
                <w:p w14:paraId="6BD67FEF" w14:textId="77777777">
                  <w:pPr>
                    <w:jc w:val="both"/>
                    <w:rPr>
                      <w:rFonts w:eastAsia="Calibri"/>
                      <w:szCs w:val="24"/>
                    </w:rPr>
                  </w:pPr>
                </w:p>
                <w:p w14:paraId="7DFD5BE9" w14:textId="77777777">
                  <w:pPr>
                    <w:jc w:val="both"/>
                    <w:rPr>
                      <w:rFonts w:eastAsia="Calibri"/>
                      <w:szCs w:val="24"/>
                    </w:rPr>
                  </w:pPr>
                </w:p>
                <w:p w14:paraId="6BA88773" w14:textId="77777777">
                  <w:pPr>
                    <w:jc w:val="both"/>
                    <w:rPr>
                      <w:rFonts w:eastAsia="Calibri"/>
                      <w:szCs w:val="24"/>
                    </w:rPr>
                  </w:pPr>
                </w:p>
                <w:p w14:paraId="1E1ADADD" w14:textId="77777777">
                  <w:pPr>
                    <w:jc w:val="both"/>
                    <w:rPr>
                      <w:rFonts w:eastAsia="Calibri"/>
                      <w:szCs w:val="24"/>
                    </w:rPr>
                  </w:pPr>
                </w:p>
                <w:p w14:paraId="77CD299F" w14:textId="77777777">
                  <w:pPr>
                    <w:tabs>
                      <w:tab w:val="center" w:pos="4819"/>
                      <w:tab w:val="right" w:pos="9638"/>
                    </w:tabs>
                    <w:jc w:val="both"/>
                    <w:rPr>
                      <w:kern w:val="2"/>
                      <w:szCs w:val="24"/>
                    </w:rPr>
                  </w:pPr>
                </w:p>
                <w:p w14:paraId="42562306" w14:textId="17E91A8F">
                  <w:pPr>
                    <w:tabs>
                      <w:tab w:val="center" w:pos="4819"/>
                      <w:tab w:val="right" w:pos="9638"/>
                    </w:tabs>
                    <w:jc w:val="both"/>
                    <w:rPr>
                      <w:color w:val="467886"/>
                      <w:kern w:val="2"/>
                      <w:szCs w:val="24"/>
                      <w:u w:val="single"/>
                    </w:rPr>
                  </w:pPr>
                  <w:r>
                    <w:rPr>
                      <w:kern w:val="2"/>
                      <w:szCs w:val="24"/>
                    </w:rPr>
                    <w:t xml:space="preserve">G. Namajūnaitė-Barborinienė, tel. +370 679 26530, el. p. </w:t>
                  </w:r>
                  <w:r>
                    <w:rPr>
                      <w:color w:val="467886"/>
                      <w:kern w:val="2"/>
                      <w:szCs w:val="24"/>
                      <w:u w:val="single"/>
                    </w:rPr>
                    <w:t>giedre.namajunaite@sam.lt</w:t>
                  </w:r>
                </w:p>
              </w:sdtContent>
            </w:sdt>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1134" w:footer="1134"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C3D5B7" w14:textId="77777777">
      <w:pPr>
        <w:rPr>
          <w:kern w:val="2"/>
          <w:sz w:val="22"/>
          <w:szCs w:val="22"/>
        </w:rPr>
      </w:pPr>
      <w:r>
        <w:rPr>
          <w:kern w:val="2"/>
          <w:sz w:val="22"/>
          <w:szCs w:val="22"/>
        </w:rPr>
        <w:separator/>
      </w:r>
    </w:p>
  </w:endnote>
  <w:endnote w:type="continuationSeparator" w:id="0">
    <w:p w14:paraId="12CF1841"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venir Next">
    <w:altName w:val="Calibri"/>
    <w:charset w:val="00"/>
    <w:family w:val="swiss"/>
    <w:pitch w:val="variable"/>
    <w:sig w:usb0="8000002F" w:usb1="5000204A" w:usb2="00000000" w:usb3="00000000" w:csb0="0000009B"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2CA45"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675C6C"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E2BA4" w14:textId="77777777">
    <w:pPr>
      <w:tabs>
        <w:tab w:val="right" w:pos="9638"/>
      </w:tabs>
      <w:spacing w:line="360" w:lineRule="auto"/>
      <w:rPr>
        <w:rFonts w:ascii="Avenir Next" w:eastAsia="Calibri" w:hAnsi="Avenir Next"/>
        <w:kern w:val="2"/>
        <w:sz w:val="2"/>
        <w:szCs w:val="2"/>
        <w:lang w:eastAsia="lt-LT"/>
      </w:rPr>
    </w:pPr>
  </w:p>
  <w:tbl>
    <w:tblPr>
      <w:tblW w:w="0" w:type="auto"/>
      <w:tblBorders>
        <w:top w:val="single" w:sz="4" w:space="0" w:color="auto"/>
      </w:tblBorders>
      <w:tblLook w:val="04A0" w:firstRow="1" w:lastRow="0" w:firstColumn="1" w:lastColumn="0" w:noHBand="0" w:noVBand="1"/>
    </w:tblPr>
    <w:tblGrid>
      <w:gridCol w:w="1555"/>
      <w:gridCol w:w="1842"/>
      <w:gridCol w:w="3686"/>
      <w:gridCol w:w="2545"/>
    </w:tblGrid>
    <w:tr w14:paraId="48908C71" w14:textId="77777777">
      <w:tc>
        <w:tcPr>
          <w:tcW w:w="1555" w:type="dxa"/>
          <w:vAlign w:val="center"/>
        </w:tcPr>
        <w:p w14:paraId="08ED059A" w14:textId="77777777">
          <w:pPr>
            <w:rPr>
              <w:sz w:val="10"/>
              <w:szCs w:val="10"/>
            </w:rPr>
          </w:pPr>
        </w:p>
        <w:p w14:paraId="07FCA251" w14:textId="77777777">
          <w:pPr>
            <w:rPr>
              <w:sz w:val="22"/>
              <w:szCs w:val="22"/>
            </w:rPr>
          </w:pPr>
          <w:r>
            <w:rPr>
              <w:sz w:val="22"/>
              <w:szCs w:val="22"/>
              <w:lang w:val="en-US"/>
            </w:rPr>
            <w:drawing>
              <wp:inline distT="0" distB="0" distL="0" distR="0" wp14:anchorId="739CD5E7" wp14:editId="62C6FC32">
                <wp:extent cx="533400" cy="628608"/>
                <wp:effectExtent l="0" t="0" r="0" b="635"/>
                <wp:docPr id="3"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14:paraId="01EBA7D7" w14:textId="77777777">
          <w:pPr>
            <w:rPr>
              <w:rFonts w:eastAsia="Calibri"/>
              <w:color w:val="000000"/>
              <w:sz w:val="18"/>
              <w:szCs w:val="18"/>
              <w:lang w:eastAsia="lt-LT"/>
            </w:rPr>
          </w:pPr>
          <w:r>
            <w:rPr>
              <w:rFonts w:eastAsia="Calibri"/>
              <w:color w:val="000000"/>
              <w:sz w:val="18"/>
              <w:szCs w:val="18"/>
              <w:lang w:eastAsia="lt-LT"/>
            </w:rPr>
            <w:t>Biudžetinė įstaiga</w:t>
          </w:r>
        </w:p>
        <w:p w14:paraId="48928F3D" w14:textId="77777777">
          <w:pPr>
            <w:rPr>
              <w:rFonts w:eastAsia="Calibri"/>
              <w:color w:val="000000"/>
              <w:sz w:val="18"/>
              <w:szCs w:val="18"/>
              <w:lang w:eastAsia="lt-LT"/>
            </w:rPr>
          </w:pPr>
          <w:r>
            <w:rPr>
              <w:rFonts w:eastAsia="Calibri"/>
              <w:color w:val="000000"/>
              <w:sz w:val="18"/>
              <w:szCs w:val="18"/>
              <w:lang w:eastAsia="lt-LT"/>
            </w:rPr>
            <w:t>Vilniaus g. 33</w:t>
          </w:r>
        </w:p>
        <w:p w14:paraId="398DF07A" w14:textId="77777777">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14:paraId="154F5695" w14:textId="573C868C">
          <w:pPr>
            <w:rPr>
              <w:rFonts w:eastAsia="Calibri"/>
              <w:color w:val="000000"/>
              <w:sz w:val="18"/>
              <w:szCs w:val="18"/>
              <w:lang w:eastAsia="lt-LT"/>
            </w:rPr>
          </w:pPr>
          <w:r>
            <w:rPr>
              <w:rFonts w:eastAsia="Calibri"/>
              <w:color w:val="000000"/>
              <w:sz w:val="18"/>
              <w:szCs w:val="18"/>
              <w:lang w:eastAsia="lt-LT"/>
            </w:rPr>
            <w:t>Tel. +370 800 66 004</w:t>
          </w:r>
        </w:p>
        <w:p w14:paraId="1FB958F0" w14:textId="77777777">
          <w:pPr>
            <w:rPr>
              <w:rFonts w:eastAsia="Calibri"/>
              <w:sz w:val="18"/>
              <w:szCs w:val="18"/>
              <w:lang w:eastAsia="lt-LT"/>
            </w:rPr>
          </w:pPr>
          <w:r>
            <w:rPr>
              <w:rFonts w:eastAsia="Calibri"/>
              <w:color w:val="000000"/>
              <w:sz w:val="18"/>
              <w:szCs w:val="18"/>
              <w:lang w:eastAsia="lt-LT"/>
            </w:rPr>
            <w:t xml:space="preserve">El. p. </w:t>
          </w:r>
          <w:r>
            <w:rPr>
              <w:rFonts w:eastAsia="Calibri"/>
              <w:sz w:val="18"/>
              <w:szCs w:val="18"/>
              <w:lang w:eastAsia="lt-LT"/>
            </w:rPr>
            <w:t>ministerija@sam.lt</w:t>
          </w:r>
          <w:r>
            <w:rPr>
              <w:rFonts w:eastAsia="Calibri"/>
              <w:color w:val="000000"/>
              <w:sz w:val="18"/>
              <w:szCs w:val="18"/>
              <w:lang w:eastAsia="lt-LT"/>
            </w:rPr>
            <w:t xml:space="preserve">, </w:t>
          </w:r>
          <w:r>
            <w:rPr>
              <w:rFonts w:eastAsia="Calibri"/>
              <w:sz w:val="18"/>
              <w:szCs w:val="18"/>
              <w:lang w:eastAsia="lt-LT"/>
            </w:rPr>
            <w:t>https://sam.lrv.lt</w:t>
          </w:r>
        </w:p>
        <w:p w14:paraId="2495BB9E" w14:textId="77777777">
          <w:pPr>
            <w:rPr>
              <w:sz w:val="22"/>
              <w:szCs w:val="22"/>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14:paraId="1F4B5A5E" w14:textId="77777777">
          <w:pPr>
            <w:rPr>
              <w:rFonts w:eastAsia="Calibri"/>
              <w:color w:val="000000"/>
              <w:sz w:val="18"/>
              <w:szCs w:val="18"/>
              <w:lang w:eastAsia="lt-LT"/>
            </w:rPr>
          </w:pPr>
          <w:r>
            <w:rPr>
              <w:rFonts w:eastAsia="Calibri"/>
              <w:color w:val="000000"/>
              <w:sz w:val="18"/>
              <w:szCs w:val="18"/>
              <w:lang w:eastAsia="lt-LT"/>
            </w:rPr>
            <w:t>Duomenys kaupiami ir saugomi Juridinių asmenų registre</w:t>
          </w:r>
        </w:p>
        <w:p w14:paraId="28D683F1" w14:textId="77777777">
          <w:pPr>
            <w:rPr>
              <w:sz w:val="22"/>
              <w:szCs w:val="22"/>
            </w:rPr>
          </w:pPr>
          <w:r>
            <w:rPr>
              <w:rFonts w:eastAsia="Calibri"/>
              <w:color w:val="000000"/>
              <w:sz w:val="18"/>
              <w:szCs w:val="18"/>
              <w:lang w:eastAsia="lt-LT"/>
            </w:rPr>
            <w:t>Kodas 188603472</w:t>
          </w:r>
        </w:p>
      </w:tc>
    </w:tr>
  </w:tbl>
  <w:p w14:paraId="6C68A75C" w14:textId="77777777">
    <w:pPr>
      <w:tabs>
        <w:tab w:val="right" w:pos="9638"/>
      </w:tabs>
      <w:spacing w:line="360" w:lineRule="auto"/>
      <w:rPr>
        <w:rFonts w:ascii="Avenir Next" w:eastAsia="Calibri" w:hAnsi="Avenir Next"/>
        <w:kern w:val="2"/>
        <w:sz w:val="2"/>
        <w:szCs w:val="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B7D00C" w14:textId="77777777">
      <w:pPr>
        <w:rPr>
          <w:kern w:val="2"/>
          <w:sz w:val="22"/>
          <w:szCs w:val="22"/>
        </w:rPr>
      </w:pPr>
      <w:r>
        <w:rPr>
          <w:kern w:val="2"/>
          <w:sz w:val="22"/>
          <w:szCs w:val="22"/>
        </w:rPr>
        <w:separator/>
      </w:r>
    </w:p>
  </w:footnote>
  <w:footnote w:type="continuationSeparator" w:id="0">
    <w:p w14:paraId="1AA48965" w14:textId="77777777">
      <w:pPr>
        <w:rPr>
          <w:kern w:val="2"/>
          <w:sz w:val="22"/>
          <w:szCs w:val="22"/>
        </w:rPr>
      </w:pPr>
      <w:r>
        <w:rPr>
          <w:kern w:val="2"/>
          <w:sz w:val="22"/>
          <w:szCs w:val="22"/>
        </w:rPr>
        <w:continuationSeparator/>
      </w:r>
    </w:p>
  </w:footnote>
  <w:footnote w:id="1">
    <w:p w14:paraId="688916B8" w14:textId="7974E0D0">
      <w:pPr>
        <w:jc w:val="both"/>
        <w:rPr>
          <w:kern w:val="2"/>
          <w:sz w:val="20"/>
        </w:rPr>
      </w:pPr>
      <w:r>
        <w:rPr>
          <w:kern w:val="2"/>
          <w:sz w:val="20"/>
          <w:vertAlign w:val="superscript"/>
        </w:rPr>
        <w:footnoteRef/>
      </w:r>
      <w:r>
        <w:rPr>
          <w:kern w:val="2"/>
          <w:sz w:val="20"/>
        </w:rPr>
        <w:t xml:space="preserve"> Lietuvos higienos norma HN 21:2017 „Mokykla, vykdanti bendrojo ugdymo programas. Bendrieji sveikatos saugos reikalavimai“, patvirtinta Lietuvos Respublikos sveikatos apsaugos ministro 2011 m. rugpjūčio 10 d. įsakymu Nr. V-773 „Dėl Lietuvos higienos normos HN 21:2017 „Mokykla, vykdanti bendrojo ugdymo programas. Bendrieji sveikatos saugos reikalavimai“ patvirtinimo“</w:t>
      </w:r>
    </w:p>
  </w:footnote>
  <w:footnote w:id="2">
    <w:p w14:paraId="3B54626C" w14:textId="4FAD2516">
      <w:pPr>
        <w:jc w:val="both"/>
        <w:rPr>
          <w:kern w:val="2"/>
          <w:sz w:val="20"/>
        </w:rPr>
      </w:pPr>
      <w:r>
        <w:rPr>
          <w:kern w:val="2"/>
          <w:sz w:val="20"/>
          <w:vertAlign w:val="superscript"/>
        </w:rPr>
        <w:footnoteRef/>
      </w:r>
      <w:r>
        <w:rPr>
          <w:kern w:val="2"/>
          <w:sz w:val="20"/>
        </w:rPr>
        <w:t xml:space="preserve"> </w:t>
      </w:r>
      <w:r>
        <w:rPr>
          <w:kern w:val="2"/>
          <w:sz w:val="20"/>
          <w:szCs w:val="24"/>
          <w:lang w:eastAsia="lt-LT"/>
        </w:rPr>
        <w:t xml:space="preserve">Lietuvos higienos norma HN 102:2011 „Įstaiga, vykdanti formaliojo profesinio mokymo programą. Bendrieji sveikatos saugos reikalavimai“, patvirtinta </w:t>
      </w:r>
      <w:r>
        <w:rPr>
          <w:kern w:val="2"/>
          <w:sz w:val="20"/>
        </w:rPr>
        <w:t xml:space="preserve">Lietuvos Respublikos sveikatos apsaugos ministro įsakymo „Dėl </w:t>
      </w:r>
      <w:r>
        <w:rPr>
          <w:kern w:val="2"/>
          <w:sz w:val="20"/>
          <w:szCs w:val="24"/>
          <w:lang w:eastAsia="lt-LT"/>
        </w:rPr>
        <w:t>Lietuvos Respublikos sveikatos apsaugos ministro 2011 m. balandžio 7 d. įsakym</w:t>
      </w:r>
      <w:r>
        <w:rPr>
          <w:kern w:val="2"/>
          <w:sz w:val="20"/>
          <w:lang w:eastAsia="lt-LT"/>
        </w:rPr>
        <w:t>o</w:t>
      </w:r>
      <w:r>
        <w:rPr>
          <w:kern w:val="2"/>
          <w:sz w:val="20"/>
          <w:szCs w:val="24"/>
          <w:lang w:eastAsia="lt-LT"/>
        </w:rPr>
        <w:t xml:space="preserve"> Nr. V-326 „Dėl Lietuvos higienos normos HN 102:2011 „Įstaiga, vykdanti formaliojo profesinio mokymo programą. Bendrieji sveikatos saugos reikalavimai“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25DBB" w14:textId="77777777">
    <w:pPr>
      <w:framePr w:wrap="auto" w:vAnchor="text" w:hAnchor="margin" w:xAlign="center" w:y="1"/>
      <w:tabs>
        <w:tab w:val="center" w:pos="4819"/>
        <w:tab w:val="right" w:pos="9638"/>
      </w:tabs>
      <w:rPr>
        <w:kern w:val="2"/>
        <w:sz w:val="22"/>
        <w:szCs w:val="22"/>
      </w:rPr>
    </w:pPr>
    <w:r>
      <w:rPr>
        <w:kern w:val="2"/>
        <w:sz w:val="22"/>
        <w:szCs w:val="22"/>
      </w:rPr>
      <w:fldChar w:fldCharType="begin"/>
    </w:r>
    <w:r>
      <w:rPr>
        <w:kern w:val="2"/>
        <w:sz w:val="22"/>
        <w:szCs w:val="22"/>
      </w:rPr>
      <w:instrText xml:space="preserve">PAGE  </w:instrText>
    </w:r>
    <w:r>
      <w:rPr>
        <w:kern w:val="2"/>
        <w:sz w:val="22"/>
        <w:szCs w:val="22"/>
      </w:rPr>
      <w:fldChar w:fldCharType="end"/>
    </w:r>
  </w:p>
  <w:p w14:paraId="34F28B67"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D1931" w14:textId="77777777">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491C67FC" w14:textId="77777777">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41833" w14:textId="13DBCF15">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2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0306C"/>
  <w15:chartTrackingRefBased/>
  <w15:docId w15:val="{92BA4070-3436-4698-B9A3-85B8BF2579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image" TargetMode="External" Target="cid:image010.jpg@01DA495F.B01CF720"/>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12" ma:contentTypeDescription="Kurkite naują dokumentą." ma:contentTypeScope="" ma:versionID="e798c655c011fb6cf360004fe5b585d1">
  <xsd:schema xmlns:xsd="http://www.w3.org/2001/XMLSchema" xmlns:xs="http://www.w3.org/2001/XMLSchema" xmlns:p="http://schemas.microsoft.com/office/2006/metadata/properties" xmlns:ns2="1f08f849-cb30-4d50-b098-b22668634d80" xmlns:ns3="7f216368-8434-4da0-b8c5-4172b9ea0f9c" targetNamespace="http://schemas.microsoft.com/office/2006/metadata/properties" ma:root="true" ma:fieldsID="e952587b1a52d42881050b11b502339c" ns2:_="" ns3:_="">
    <xsd:import namespace="1f08f849-cb30-4d50-b098-b22668634d80"/>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08f849-cb30-4d50-b098-b22668634d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070f44a9e47a403199b16f38b2fcce77" PartId="1e1b95ea693c47d5960d676bbcc24468">
    <Part Type="skirsnis" Title="DĖL ĮSAKYMŲ PROJEKTŲ DERINIMO" DocPartId="af5f27f079a243cd91158581ae4ba58f" PartId="c1a3f22b9b314c82a03150ce163ffabd">
      <Part Type="punktas" Nr="1" Abbr="1 p." DocPartId="218fd92a64154465a229c596ba71c124" PartId="3ac4dd8d72bf4135b3069c7e78f2d2cc"/>
      <Part Type="punktas" Nr="2" Abbr="2 p." DocPartId="3879cdf7457348c8b79ac9b0162e5420" PartId="9496ee21f684499787bf989a1f0c6b11"/>
      <Part Type="punktas" Nr="3" Abbr="3 p." DocPartId="a569a54b9dd644a2967007dc93b3a234" PartId="2b608de600ee4a2fab01aee15663afd8"/>
      <Part Type="punktas" Nr="4" Abbr="4 p." DocPartId="53e4be3bf79d4dd0b0d7b7b29ca43fb9" PartId="f1e55ed135cd481d8c92028b206f2f4f"/>
    </Part>
  </Part>
</Parts>
</file>

<file path=customXml/itemProps1.xml><?xml version="1.0" encoding="utf-8"?>
<ds:datastoreItem xmlns:ds="http://schemas.openxmlformats.org/officeDocument/2006/customXml" ds:itemID="{D3CDB3CB-A468-46B7-8011-C3EDCC0E797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6E75706-80F1-41B3-94C7-17331CA386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08f849-cb30-4d50-b098-b22668634d80"/>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D3A51A-3CCD-4D44-B486-C2806117CA24}">
  <ds:schemaRefs>
    <ds:schemaRef ds:uri="http://schemas.microsoft.com/sharepoint/v3/contenttype/forms"/>
  </ds:schemaRefs>
</ds:datastoreItem>
</file>

<file path=customXml/itemProps4.xml><?xml version="1.0" encoding="utf-8"?>
<ds:datastoreItem xmlns:ds="http://schemas.openxmlformats.org/officeDocument/2006/customXml" ds:itemID="{9551E324-0582-4273-BCB4-296CF08D3571}">
  <ds:schemaRefs>
    <ds:schemaRef ds:uri="http://schemas.openxmlformats.org/officeDocument/2006/bibliography"/>
  </ds:schemaRefs>
</ds:datastoreItem>
</file>

<file path=customXml/itemProps5.xml><?xml version="1.0" encoding="utf-8"?>
<ds:datastoreItem xmlns:ds="http://schemas.openxmlformats.org/officeDocument/2006/customXml" ds:itemID="{DB03D34F-105C-4CD8-89CD-962880EBE9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462</Words>
  <Characters>3311</Characters>
  <Application>Microsoft Office Word</Application>
  <DocSecurity>4</DocSecurity>
  <Lines>87</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2026-07-03T18:43:00Z</dcterms:created>
  <dc:creator>Oksana Kavaliauskienė</dc:creator>
  <lastModifiedBy>adlibuser</lastModifiedBy>
  <dcterms:modified xsi:type="dcterms:W3CDTF">2026-07-03T18:43:00Z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0x010100958BDF1B7149A445B634534142DB2BA2</vt:lpwstr>
  </property>
</Properties>
</file>