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f986cbb51f44f75803194b42c64119e"/>
        <w:lock w:val="sdtLocked"/>
        <w:richText/>
      </w:sdtPr>
      <w:sdtContent>
        <w:p>
          <w:pPr>
            <w:tabs>
              <w:tab w:val="center" w:pos="4153"/>
              <w:tab w:val="right" w:pos="8306"/>
            </w:tabs>
            <w:spacing w:line="259" w:lineRule="auto"/>
            <w:jc w:val="center"/>
            <w:rPr>
              <w:rFonts w:ascii="Avenir Next Medium" w:hAnsi="Avenir Next Medium"/>
              <w:sz w:val="20"/>
            </w:rPr>
          </w:pPr>
          <w:r>
            <w:rPr>
              <w:sz w:val="22"/>
              <w:szCs w:val="22"/>
              <w:lang w:val="en-US"/>
            </w:rPr>
            <w:drawing>
              <wp:inline distT="0" distB="0" distL="0" distR="0" wp14:anchorId="61EAF7C0" wp14:editId="0E2F5F17">
                <wp:extent cx="624840" cy="694785"/>
                <wp:effectExtent l="0" t="0" r="381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 r:link="rId11" cstate="print">
                          <a:extLst>
                            <a:ext uri="{28A0092B-C50C-407E-A947-70E740481C1C}">
                              <a14:useLocalDpi xmlns:a14="http://schemas.microsoft.com/office/drawing/2010/main" val="0"/>
                            </a:ext>
                          </a:extLst>
                        </a:blip>
                        <a:srcRect/>
                        <a:stretch>
                          <a:fillRect/>
                        </a:stretch>
                      </pic:blipFill>
                      <pic:spPr bwMode="auto">
                        <a:xfrm>
                          <a:off x="0" y="0"/>
                          <a:ext cx="644570" cy="716724"/>
                        </a:xfrm>
                        <a:prstGeom prst="rect">
                          <a:avLst/>
                        </a:prstGeom>
                        <a:noFill/>
                        <a:ln>
                          <a:noFill/>
                        </a:ln>
                      </pic:spPr>
                    </pic:pic>
                  </a:graphicData>
                </a:graphic>
              </wp:inline>
            </w:drawing>
          </w:r>
        </w:p>
        <w:p>
          <w:pPr>
            <w:tabs>
              <w:tab w:val="center" w:pos="4153"/>
              <w:tab w:val="right" w:pos="8306"/>
            </w:tabs>
            <w:spacing w:line="259" w:lineRule="auto"/>
            <w:jc w:val="center"/>
            <w:rPr>
              <w:rFonts w:ascii="Avenir Next Medium" w:hAnsi="Avenir Next Medium"/>
              <w:sz w:val="20"/>
            </w:rPr>
          </w:pPr>
        </w:p>
        <w:p>
          <w:pPr>
            <w:tabs>
              <w:tab w:val="center" w:pos="4153"/>
              <w:tab w:val="right" w:pos="8306"/>
            </w:tabs>
            <w:spacing w:line="259" w:lineRule="auto"/>
            <w:jc w:val="center"/>
            <w:rPr>
              <w:color w:val="000000"/>
              <w:sz w:val="18"/>
              <w:szCs w:val="18"/>
            </w:rPr>
          </w:pPr>
          <w:r>
            <w:rPr>
              <w:b/>
              <w:bCs/>
              <w:color w:val="000000"/>
              <w:sz w:val="28"/>
              <w:szCs w:val="28"/>
            </w:rPr>
            <w:t>LIETUVOS RESPUBLIKOS SVEIKATOS APSAUGOS MINISTERIJA</w:t>
            <w:br/>
          </w:r>
        </w:p>
        <w:p>
          <w:pPr>
            <w:rPr>
              <w:color w:val="2C3335"/>
              <w:szCs w:val="24"/>
            </w:rPr>
          </w:pPr>
        </w:p>
        <w:tbl>
          <w:tblPr>
            <w:tblW w:w="9901" w:type="dxa"/>
            <w:jc w:val="center"/>
            <w:tblLayout w:type="fixed"/>
            <w:tblCellMar>
              <w:left w:w="0" w:type="dxa"/>
              <w:right w:w="0" w:type="dxa"/>
            </w:tblCellMar>
            <w:tblLook w:val="0000" w:firstRow="0" w:lastRow="0" w:firstColumn="0" w:lastColumn="0" w:noHBand="0" w:noVBand="0"/>
          </w:tblPr>
          <w:tblGrid>
            <w:gridCol w:w="5954"/>
            <w:gridCol w:w="1276"/>
            <w:gridCol w:w="425"/>
            <w:gridCol w:w="2246"/>
          </w:tblGrid>
          <w:tr>
            <w:trPr>
              <w:cantSplit/>
              <w:trHeight w:val="270"/>
              <w:jc w:val="center"/>
            </w:trPr>
            <w:tc>
              <w:tcPr>
                <w:tcW w:w="5954" w:type="dxa"/>
                <w:vMerge w:val="restart"/>
              </w:tcPr>
              <w:p>
                <w:pPr>
                  <w:ind w:right="708" w:firstLine="180"/>
                  <w:rPr>
                    <w:rFonts w:eastAsia="Calibri"/>
                    <w:color w:val="000000"/>
                    <w:szCs w:val="24"/>
                  </w:rPr>
                </w:pPr>
                <w:r>
                  <w:rPr>
                    <w:rFonts w:eastAsia="Calibri"/>
                    <w:color w:val="000000"/>
                    <w:szCs w:val="24"/>
                  </w:rPr>
                  <w:t>Pagal adresatų sąrašą</w:t>
                </w:r>
              </w:p>
              <w:p>
                <w:pPr>
                  <w:ind w:right="708"/>
                  <w:rPr>
                    <w:rFonts w:eastAsia="Calibri"/>
                    <w:color w:val="000000"/>
                    <w:szCs w:val="24"/>
                  </w:rPr>
                </w:pPr>
              </w:p>
              <w:p>
                <w:pPr>
                  <w:ind w:right="708"/>
                  <w:rPr>
                    <w:rFonts w:eastAsia="Calibri"/>
                    <w:color w:val="000000"/>
                    <w:szCs w:val="24"/>
                  </w:rPr>
                </w:pPr>
              </w:p>
            </w:tc>
            <w:tc>
              <w:tcPr>
                <w:tcW w:w="1276" w:type="dxa"/>
              </w:tcPr>
              <w:p>
                <w:pPr>
                  <w:rPr>
                    <w:rFonts w:eastAsia="Calibri"/>
                    <w:color w:val="000000"/>
                    <w:szCs w:val="24"/>
                  </w:rPr>
                </w:pPr>
                <w:r>
                  <w:rPr>
                    <w:rFonts w:eastAsia="Calibri"/>
                    <w:color w:val="000000"/>
                    <w:szCs w:val="24"/>
                  </w:rPr>
                  <w:t>202</w:t>
                </w:r>
                <w:r>
                  <w:rPr>
                    <w:rFonts w:eastAsia="Calibri"/>
                    <w:color w:val="000000"/>
                    <w:szCs w:val="24"/>
                    <w:lang w:val="en-US"/>
                  </w:rPr>
                  <w:t>6</w:t>
                </w:r>
                <w:r>
                  <w:rPr>
                    <w:rFonts w:eastAsia="Calibri"/>
                    <w:color w:val="000000"/>
                    <w:szCs w:val="24"/>
                  </w:rPr>
                  <w:t>-</w:t>
                </w:r>
              </w:p>
            </w:tc>
            <w:tc>
              <w:tcPr>
                <w:tcW w:w="425" w:type="dxa"/>
              </w:tcPr>
              <w:p>
                <w:pPr>
                  <w:ind w:firstLine="62"/>
                  <w:rPr>
                    <w:rFonts w:eastAsia="Calibri"/>
                    <w:color w:val="000000"/>
                    <w:szCs w:val="24"/>
                  </w:rPr>
                </w:pPr>
                <w:r>
                  <w:rPr>
                    <w:rFonts w:eastAsia="Calibri"/>
                    <w:color w:val="000000"/>
                    <w:szCs w:val="24"/>
                  </w:rPr>
                  <w:t>Nr.</w:t>
                </w:r>
              </w:p>
            </w:tc>
            <w:tc>
              <w:tcPr>
                <w:tcW w:w="2246" w:type="dxa"/>
              </w:tcPr>
              <w:p>
                <w:pPr>
                  <w:rPr>
                    <w:rFonts w:eastAsia="Calibri"/>
                    <w:color w:val="000000"/>
                    <w:szCs w:val="24"/>
                  </w:rPr>
                </w:pPr>
                <w:r>
                  <w:rPr>
                    <w:color w:val="000000"/>
                    <w:szCs w:val="24"/>
                  </w:rPr>
                  <w:t>(</w:t>
                </w:r>
                <w:r>
                  <w:rPr>
                    <w:szCs w:val="24"/>
                  </w:rPr>
                  <w:t>1.1.9E-422)10-</w:t>
                </w:r>
              </w:p>
            </w:tc>
          </w:tr>
          <w:tr>
            <w:trPr>
              <w:cantSplit/>
              <w:trHeight w:val="270"/>
              <w:jc w:val="center"/>
            </w:trPr>
            <w:tc>
              <w:tcPr>
                <w:tcW w:w="5954" w:type="dxa"/>
                <w:vMerge/>
              </w:tcPr>
              <w:p>
                <w:pPr>
                  <w:ind w:right="708"/>
                  <w:rPr>
                    <w:rFonts w:eastAsia="Calibri"/>
                    <w:color w:val="000000"/>
                    <w:szCs w:val="24"/>
                  </w:rPr>
                </w:pPr>
              </w:p>
            </w:tc>
            <w:tc>
              <w:tcPr>
                <w:tcW w:w="1276" w:type="dxa"/>
              </w:tcPr>
              <w:p>
                <w:pPr>
                  <w:ind w:right="-142"/>
                  <w:rPr>
                    <w:rFonts w:eastAsia="Calibri"/>
                    <w:color w:val="000000"/>
                    <w:szCs w:val="24"/>
                  </w:rPr>
                </w:pPr>
              </w:p>
            </w:tc>
            <w:tc>
              <w:tcPr>
                <w:tcW w:w="425" w:type="dxa"/>
              </w:tcPr>
              <w:p>
                <w:pPr>
                  <w:rPr>
                    <w:rFonts w:eastAsia="Calibri"/>
                    <w:color w:val="000000"/>
                    <w:szCs w:val="24"/>
                  </w:rPr>
                </w:pPr>
              </w:p>
            </w:tc>
            <w:tc>
              <w:tcPr>
                <w:tcW w:w="2246" w:type="dxa"/>
              </w:tcPr>
              <w:p>
                <w:pPr>
                  <w:rPr>
                    <w:rFonts w:eastAsia="Calibri"/>
                    <w:color w:val="000000"/>
                    <w:szCs w:val="24"/>
                  </w:rPr>
                </w:pPr>
              </w:p>
            </w:tc>
          </w:tr>
        </w:tbl>
        <w:sdt>
          <w:sdtPr>
            <w:alias w:val="skirsnis"/>
            <w:tag w:val="part_b0f3c4078e13413ca3896188253bc5fa"/>
            <w:lock w:val="sdtLocked"/>
            <w:richText/>
          </w:sdtPr>
          <w:sdtContent>
            <w:p>
              <w:pPr>
                <w:tabs>
                  <w:tab w:val="left" w:pos="567"/>
                </w:tabs>
                <w:spacing w:line="276" w:lineRule="auto"/>
                <w:jc w:val="both"/>
                <w:rPr>
                  <w:b/>
                  <w:bCs/>
                  <w:szCs w:val="24"/>
                </w:rPr>
              </w:pPr>
              <w:sdt>
                <w:sdtPr>
                  <w:alias w:val="Pavadinimas"/>
                  <w:tag w:val="title_b0f3c4078e13413ca3896188253bc5fa"/>
                  <w:lock w:val="sdtLocked"/>
                  <w:richText/>
                </w:sdtPr>
                <w:sdtContent>
                  <w:r>
                    <w:rPr>
                      <w:b/>
                      <w:bCs/>
                      <w:szCs w:val="24"/>
                    </w:rPr>
                    <w:t>DĖL LIETUVOS RESPUBLIKOS SVEIKATOS APSAUGOS MINISTRO 2014 M. VASARIO 28 D. ĮSAKYMO Nr. V-288 „DĖL ILGALAIKIO PACIENTŲ, SERGANČIŲ LĖTINĖMIS LIGOMIS, SVEIKATOS BŪKLĖS STEBĖJIMO TVARKOS APRAŠO PATVIRTINIMO“ PAKEITIMO</w:t>
                  </w:r>
                </w:sdtContent>
              </w:sdt>
            </w:p>
            <w:p>
              <w:pPr>
                <w:tabs>
                  <w:tab w:val="left" w:pos="567"/>
                </w:tabs>
                <w:spacing w:line="276" w:lineRule="auto"/>
                <w:jc w:val="both"/>
                <w:rPr>
                  <w:szCs w:val="24"/>
                </w:rPr>
              </w:pPr>
            </w:p>
            <w:p>
              <w:pPr>
                <w:tabs>
                  <w:tab w:val="left" w:pos="567"/>
                </w:tabs>
                <w:spacing w:line="276" w:lineRule="auto"/>
                <w:ind w:firstLine="567"/>
                <w:jc w:val="both"/>
                <w:rPr>
                  <w:szCs w:val="24"/>
                </w:rPr>
              </w:pPr>
              <w:r>
                <w:rPr>
                  <w:szCs w:val="24"/>
                </w:rPr>
                <w:t xml:space="preserve">Lietuvos Respublikos sveikatos apsaugos ministerija (toliau – Sveikatos apsaugos ministerija) parengė ir teikia derinti </w:t>
              </w:r>
              <w:r>
                <w:rPr>
                  <w:rFonts w:eastAsia="Arial Unicode MS"/>
                  <w:szCs w:val="24"/>
                </w:rPr>
                <w:t xml:space="preserve">Lietuvos Respublikos </w:t>
              </w:r>
              <w:r>
                <w:rPr>
                  <w:szCs w:val="24"/>
                </w:rPr>
                <w:t xml:space="preserve">sveikatos apsaugos ministro 2014 m. vasario 28 d. įsakymo Nr. V-288 „Dėl Ilgalaikio pacientų, sergančių lėtinėmis ligomis, sveikatos būklės stebėjimo tvarkos aprašo patvirtinimo“ (toliau – Aprašas) pakeitimo projektą (toliau – Įsakymo projektas). </w:t>
              </w:r>
            </w:p>
            <w:p>
              <w:pPr>
                <w:spacing w:line="276" w:lineRule="auto"/>
                <w:ind w:firstLine="567"/>
                <w:jc w:val="both"/>
                <w:rPr>
                  <w:szCs w:val="24"/>
                </w:rPr>
              </w:pPr>
              <w:r>
                <w:rPr>
                  <w:szCs w:val="24"/>
                </w:rPr>
                <w:t>Įsakymo projektu atnaujinamas Aprašo 1 priedas „Ilgalaikio suaugusiųjų, sergančių lėtinėmis nervų sistemos ligomis, sveikatos būklės stebėjimo sąlygos ir ligų sąrašas“.</w:t>
              </w:r>
            </w:p>
            <w:p>
              <w:pPr>
                <w:shd w:val="clear" w:color="auto" w:fill="FFFFFF"/>
                <w:spacing w:line="276" w:lineRule="auto"/>
                <w:ind w:firstLine="567"/>
                <w:jc w:val="both"/>
                <w:rPr>
                  <w:szCs w:val="24"/>
                </w:rPr>
              </w:pPr>
              <w:r>
                <w:rPr>
                  <w:szCs w:val="24"/>
                </w:rPr>
                <w:t xml:space="preserve">Įsakymo projektas rengiamas siekiant užtikrinti, kad ilgalaikio stebėjimo tvarka atitiktų šiuolaikines nervų sistemos ligų diagnostikos, gydymo ir pacientų priežiūros praktikas bei aktualias klinikines rekomendacijas. Atnaujinant suaugusiųjų, sergančių lėtinėmis nervų sistemos ligomis ilgalaikio stebėjimo periodiškumus, diagnozių sąrašą ir stebėjimo indikacijas, siekiama užtikrinti racionalų ir pacientų poreikius atitinkantį sveikatos priežiūros paslaugų teikimą, suderinti stebėjimo dažnį su konkrečių nervų ligų eiga, komplikacijų rizika ir gydymo ypatumais, į ilgalaikio stebėjimo sistemą įtraukti diagnozes ir klinikines būkles, kurioms būtina tęstinė specialistų priežiūra, užtikrinti ankstyvesnį ligos progresavimo, komplikacijų ir gydymo nepageidaujamų reiškinių nustatymą. Siūlomi pakeitimai sudarys sąlygas gerinti lėtinėmis nervų sistemos ligomis sergančių suaugusiųjų pacientų priežiūros kokybę, užtikrins nuoseklesnį ir aiškesnį ilgalaikio stebėjimo reglamentavimą bei prisidės prie geresnių pacientų sveikatos rezultatų. </w:t>
              </w:r>
            </w:p>
            <w:p>
              <w:pPr>
                <w:shd w:val="clear" w:color="auto" w:fill="FFFFFF"/>
                <w:spacing w:line="276" w:lineRule="auto"/>
                <w:ind w:firstLine="567"/>
                <w:jc w:val="both"/>
                <w:rPr>
                  <w:szCs w:val="24"/>
                </w:rPr>
              </w:pPr>
              <w:r>
                <w:rPr>
                  <w:szCs w:val="24"/>
                </w:rPr>
                <w:t>Atsižvelgiant į Valstybinės ligonių kasos prie Sveikatos apsaugos ministerijos gautus pasiūlymus taip pat patikslinami Aprašo 18 priede „Ilgalaikio vaikų, sergančių lėtinėmis lyties ir šlapimo sistemos ligomis, sveikatos būklės stebėjimo sąlygos ir ligų sąrašas“ ir Aprašo 23 priede „Ilgalaikio suaugusiųjų, sergančių lėtinėmis lyties ir šlapimo sistemos ligomis, sveikatos būklės stebėjimo sąlygos ir ligų sąrašas“ nurodyti ligų pavadinimai ir jų kodai pagal Tarptautinės statistinės ligų ir sveikatos sutrikimų klasifikacijos dešimtąjį pataisytą ir papildytą leidimą „Sisteminis ligų sąrašas“ (Australijos modifikacija, TLK-10-AM), įdiegtą Lietuvos Respublikos sveikatos apsaugos ministro 2011 m. vasario 23 d. įsakymu Nr. V-164 „Dėl Tarptautinės statistinės ligų ir sveikatos sutrikimų klasifikacijos dešimtojo pataisyto ir papildyto leidimo „Sisteminis ligų sąrašas“ (Australijos modifikacija, TLK-10-AM) įdiegimo“ klasifikaciją.</w:t>
              </w:r>
            </w:p>
            <w:p>
              <w:pPr>
                <w:shd w:val="clear" w:color="auto" w:fill="FFFFFF"/>
                <w:spacing w:line="276" w:lineRule="auto"/>
                <w:ind w:firstLine="567"/>
                <w:jc w:val="both"/>
                <w:rPr>
                  <w:szCs w:val="24"/>
                </w:rPr>
              </w:pPr>
              <w:r>
                <w:rPr>
                  <w:szCs w:val="24"/>
                </w:rPr>
                <w:t>Įsakymo pakeitimu numatomas poveikis sveikatos sistemai – bus užtikrintas aktualesnis ir klinikine praktika pagrįstas lėtinėmis nervų sistemos ligomis sergančių pacientų ilgalaikis stebėjimas, racionalesnis sveikatos priežiūros išteklių naudojimas, aiškesnis paslaugų organizavimas bei geresnė teikiamų paslaugų kokybė ir prieinamumas pacientams.</w:t>
              </w:r>
            </w:p>
            <w:p>
              <w:pPr>
                <w:shd w:val="clear" w:color="auto" w:fill="FFFFFF"/>
                <w:spacing w:line="276" w:lineRule="auto"/>
                <w:ind w:firstLine="567"/>
                <w:jc w:val="both"/>
                <w:rPr>
                  <w:szCs w:val="24"/>
                </w:rPr>
              </w:pPr>
              <w:r>
                <w:rPr>
                  <w:szCs w:val="24"/>
                </w:rPr>
                <w:t>Numatomo teisinio reguliavimo poveikio vertinimas neatliekamas, nes Įsakymo projektu nėra nustatomos naujos sveikatos priežiūros paslaugos ar nauji pacientų įsipareigojimai – tikslinamos ilgalaikio stebėjimo sąlygos pagal aktualius medicinos mokslo duomenis ir praktinius paslaugų organizavimo poreikius.</w:t>
              </w:r>
            </w:p>
            <w:p>
              <w:pPr>
                <w:tabs>
                  <w:tab w:val="left" w:pos="567"/>
                </w:tabs>
                <w:ind w:firstLine="567"/>
                <w:jc w:val="both"/>
                <w:rPr>
                  <w:szCs w:val="24"/>
                </w:rPr>
              </w:pPr>
              <w:r>
                <w:rPr>
                  <w:szCs w:val="24"/>
                </w:rPr>
                <w:t>Įsakymo projektas parengtas bendradarbiaujant su VšĮ Vilniaus universiteto ligoninės Santaros klinikų gydytoja neurologe Justine Liutkiene ir gydytoja neurologe Egle Navickiene.</w:t>
              </w:r>
            </w:p>
            <w:p>
              <w:pPr>
                <w:tabs>
                  <w:tab w:val="left" w:pos="567"/>
                </w:tabs>
                <w:ind w:right="-46" w:firstLine="567"/>
                <w:jc w:val="both"/>
                <w:rPr>
                  <w:szCs w:val="24"/>
                </w:rPr>
              </w:pPr>
              <w:r>
                <w:rPr>
                  <w:szCs w:val="24"/>
                  <w:lang w:eastAsia="lt-LT"/>
                </w:rPr>
                <w:t xml:space="preserve">Įsakymo projektas skelbiamas Lietuvos Respublikos Seimo kanceliarijos teisės aktų informacinėje sistemoje ir pakartotinai teikiamas derinti suinteresuotoms institucijoms ir visuomenei. </w:t>
              </w:r>
            </w:p>
            <w:p>
              <w:pPr>
                <w:tabs>
                  <w:tab w:val="left" w:pos="567"/>
                </w:tabs>
                <w:ind w:right="-46" w:firstLine="567"/>
                <w:jc w:val="both"/>
                <w:rPr>
                  <w:szCs w:val="24"/>
                </w:rPr>
              </w:pPr>
              <w:r>
                <w:rPr>
                  <w:szCs w:val="24"/>
                </w:rPr>
                <w:t xml:space="preserve">Maloniai prašome </w:t>
              </w:r>
              <w:r>
                <w:rPr>
                  <w:b/>
                  <w:bCs/>
                  <w:szCs w:val="24"/>
                </w:rPr>
                <w:t>per 10 darbo dienų nuo Įsakymo pakeitimo projekto Jūsų įstaigoje gavimo dienos</w:t>
              </w:r>
              <w:r>
                <w:rPr>
                  <w:szCs w:val="24"/>
                </w:rPr>
                <w:t xml:space="preserve"> pateikti siūlymus įsakymo pakeitimo projektui tobulinti. Negavę pastabų laikysime, kad įsakymo pakeitimo projektui pritariate.</w:t>
              </w:r>
            </w:p>
            <w:p>
              <w:pPr>
                <w:tabs>
                  <w:tab w:val="left" w:pos="567"/>
                </w:tabs>
                <w:ind w:right="-46" w:firstLine="567"/>
                <w:jc w:val="both"/>
                <w:rPr>
                  <w:szCs w:val="24"/>
                </w:rPr>
              </w:pPr>
              <w:r>
                <w:rPr>
                  <w:szCs w:val="24"/>
                </w:rPr>
                <w:t>PRIDEDAMA:</w:t>
                <w:tab/>
              </w:r>
            </w:p>
            <w:sdt>
              <w:sdtPr>
                <w:alias w:val="1 p."/>
                <w:tag w:val="part_47458f31bf03414fb96ac03fa6fdd94f"/>
                <w:lock w:val="sdtLocked"/>
                <w:richText/>
              </w:sdtPr>
              <w:sdtContent>
                <w:p>
                  <w:pPr>
                    <w:tabs>
                      <w:tab w:val="left" w:pos="851"/>
                    </w:tabs>
                    <w:ind w:left="567" w:right="-755"/>
                    <w:jc w:val="both"/>
                    <w:rPr>
                      <w:szCs w:val="24"/>
                    </w:rPr>
                  </w:pPr>
                  <w:sdt>
                    <w:sdtPr>
                      <w:alias w:val="Numeris"/>
                      <w:tag w:val="nr_47458f31bf03414fb96ac03fa6fdd94f"/>
                      <w:lock w:val="sdtLocked"/>
                      <w:richText/>
                    </w:sdtPr>
                    <w:sdtContent>
                      <w:r>
                        <w:rPr>
                          <w:szCs w:val="24"/>
                        </w:rPr>
                        <w:t>1</w:t>
                      </w:r>
                    </w:sdtContent>
                  </w:sdt>
                  <w:r>
                    <w:rPr>
                      <w:szCs w:val="24"/>
                    </w:rPr>
                    <w:t>.</w:t>
                    <w:tab/>
                    <w:t>Įsakymo projektas, 5 lapai.</w:t>
                  </w:r>
                </w:p>
              </w:sdtContent>
            </w:sdt>
            <w:sdt>
              <w:sdtPr>
                <w:alias w:val="2 p."/>
                <w:tag w:val="part_e259a862a6464aa58aa409295f55298a"/>
                <w:lock w:val="sdtLocked"/>
                <w:richText/>
              </w:sdtPr>
              <w:sdtContent>
                <w:p>
                  <w:pPr>
                    <w:tabs>
                      <w:tab w:val="left" w:pos="851"/>
                    </w:tabs>
                    <w:ind w:left="567" w:right="-755"/>
                    <w:jc w:val="both"/>
                    <w:rPr>
                      <w:szCs w:val="24"/>
                    </w:rPr>
                  </w:pPr>
                  <w:sdt>
                    <w:sdtPr>
                      <w:alias w:val="Numeris"/>
                      <w:tag w:val="nr_e259a862a6464aa58aa409295f55298a"/>
                      <w:lock w:val="sdtLocked"/>
                      <w:richText/>
                    </w:sdtPr>
                    <w:sdtContent>
                      <w:r>
                        <w:rPr>
                          <w:szCs w:val="24"/>
                        </w:rPr>
                        <w:t>2</w:t>
                      </w:r>
                    </w:sdtContent>
                  </w:sdt>
                  <w:r>
                    <w:rPr>
                      <w:szCs w:val="24"/>
                    </w:rPr>
                    <w:t>.</w:t>
                    <w:tab/>
                    <w:t>Įsakymo projekto lyginamasis variantas, 1 lapas.</w:t>
                  </w:r>
                </w:p>
                <w:p>
                  <w:pPr>
                    <w:tabs>
                      <w:tab w:val="left" w:pos="851"/>
                    </w:tabs>
                    <w:ind w:left="567" w:right="-755"/>
                    <w:jc w:val="both"/>
                    <w:rPr>
                      <w:szCs w:val="24"/>
                    </w:rPr>
                  </w:pPr>
                </w:p>
                <w:p>
                  <w:pPr>
                    <w:tabs>
                      <w:tab w:val="left" w:pos="567"/>
                    </w:tabs>
                    <w:ind w:right="-755"/>
                    <w:jc w:val="both"/>
                    <w:rPr>
                      <w:szCs w:val="24"/>
                    </w:rPr>
                  </w:pPr>
                </w:p>
                <w:p>
                  <w:pPr>
                    <w:tabs>
                      <w:tab w:val="left" w:pos="567"/>
                    </w:tabs>
                    <w:ind w:right="-1" w:firstLine="62"/>
                    <w:jc w:val="both"/>
                    <w:rPr>
                      <w:szCs w:val="24"/>
                    </w:rPr>
                  </w:pPr>
                </w:p>
                <w:p>
                  <w:pPr>
                    <w:tabs>
                      <w:tab w:val="left" w:pos="567"/>
                    </w:tabs>
                    <w:ind w:right="-1"/>
                    <w:jc w:val="both"/>
                    <w:rPr>
                      <w:szCs w:val="24"/>
                    </w:rPr>
                  </w:pPr>
                  <w:r>
                    <w:rPr>
                      <w:szCs w:val="24"/>
                    </w:rPr>
                    <w:t>Viceministrė</w:t>
                    <w:tab/>
                    <w:tab/>
                    <w:tab/>
                    <w:tab/>
                    <w:tab/>
                    <w:t xml:space="preserve">                     Laimutė Vaidelienė</w:t>
                  </w:r>
                </w:p>
                <w:p>
                  <w:pPr>
                    <w:tabs>
                      <w:tab w:val="left" w:pos="567"/>
                    </w:tabs>
                    <w:ind w:right="-1"/>
                    <w:jc w:val="both"/>
                    <w:rPr>
                      <w:szCs w:val="24"/>
                    </w:rPr>
                  </w:pPr>
                </w:p>
                <w:p>
                  <w:pPr>
                    <w:tabs>
                      <w:tab w:val="left" w:pos="567"/>
                    </w:tabs>
                    <w:ind w:right="-1"/>
                    <w:jc w:val="both"/>
                    <w:rPr>
                      <w:szCs w:val="24"/>
                    </w:rPr>
                  </w:pPr>
                </w:p>
                <w:p>
                  <w:pPr>
                    <w:tabs>
                      <w:tab w:val="left" w:pos="567"/>
                    </w:tabs>
                    <w:ind w:right="-1"/>
                    <w:jc w:val="both"/>
                    <w:rPr>
                      <w:color w:val="000000"/>
                      <w:szCs w:val="24"/>
                      <w:lang w:eastAsia="lt-LT"/>
                    </w:rPr>
                  </w:pPr>
                </w:p>
                <w:p>
                  <w:pPr>
                    <w:tabs>
                      <w:tab w:val="left" w:pos="567"/>
                    </w:tabs>
                    <w:ind w:right="-1"/>
                    <w:jc w:val="both"/>
                    <w:rPr>
                      <w:color w:val="000000"/>
                      <w:szCs w:val="24"/>
                      <w:lang w:eastAsia="lt-LT"/>
                    </w:rPr>
                  </w:pPr>
                </w:p>
                <w:p>
                  <w:pPr>
                    <w:tabs>
                      <w:tab w:val="right" w:pos="9498"/>
                    </w:tabs>
                    <w:spacing w:line="259" w:lineRule="auto"/>
                    <w:rPr>
                      <w:szCs w:val="24"/>
                    </w:rPr>
                  </w:pPr>
                </w:p>
                <w:p>
                  <w:pPr>
                    <w:tabs>
                      <w:tab w:val="right" w:pos="9498"/>
                    </w:tabs>
                    <w:spacing w:line="259" w:lineRule="auto"/>
                    <w:rPr>
                      <w:szCs w:val="24"/>
                    </w:rPr>
                  </w:pPr>
                </w:p>
                <w:p>
                  <w:pPr>
                    <w:tabs>
                      <w:tab w:val="right" w:pos="9498"/>
                    </w:tabs>
                    <w:spacing w:line="259" w:lineRule="auto"/>
                    <w:rPr>
                      <w:szCs w:val="24"/>
                    </w:rPr>
                  </w:pPr>
                </w:p>
                <w:p>
                  <w:pPr>
                    <w:tabs>
                      <w:tab w:val="right" w:pos="9498"/>
                    </w:tabs>
                    <w:spacing w:line="259" w:lineRule="auto"/>
                    <w:rPr>
                      <w:szCs w:val="24"/>
                    </w:rPr>
                  </w:pPr>
                </w:p>
                <w:p>
                  <w:pPr>
                    <w:tabs>
                      <w:tab w:val="right" w:pos="9498"/>
                    </w:tabs>
                    <w:spacing w:line="259" w:lineRule="auto"/>
                    <w:rPr>
                      <w:szCs w:val="24"/>
                    </w:rPr>
                  </w:pPr>
                </w:p>
                <w:p>
                  <w:pPr>
                    <w:tabs>
                      <w:tab w:val="right" w:pos="9498"/>
                    </w:tabs>
                    <w:spacing w:line="259" w:lineRule="auto"/>
                    <w:rPr>
                      <w:szCs w:val="24"/>
                    </w:rPr>
                  </w:pPr>
                </w:p>
                <w:p>
                  <w:pPr>
                    <w:tabs>
                      <w:tab w:val="right" w:pos="9498"/>
                    </w:tabs>
                    <w:spacing w:line="259" w:lineRule="auto"/>
                    <w:rPr>
                      <w:szCs w:val="24"/>
                    </w:rPr>
                  </w:pPr>
                </w:p>
                <w:p>
                  <w:pPr>
                    <w:tabs>
                      <w:tab w:val="right" w:pos="9498"/>
                    </w:tabs>
                    <w:spacing w:line="259" w:lineRule="auto"/>
                    <w:rPr>
                      <w:szCs w:val="24"/>
                    </w:rPr>
                  </w:pPr>
                </w:p>
                <w:p>
                  <w:pPr>
                    <w:tabs>
                      <w:tab w:val="right" w:pos="9498"/>
                    </w:tabs>
                    <w:spacing w:line="259" w:lineRule="auto"/>
                    <w:rPr>
                      <w:szCs w:val="24"/>
                    </w:rPr>
                  </w:pPr>
                </w:p>
                <w:p>
                  <w:pPr>
                    <w:tabs>
                      <w:tab w:val="right" w:pos="9498"/>
                    </w:tabs>
                    <w:spacing w:line="259" w:lineRule="auto"/>
                    <w:rPr>
                      <w:szCs w:val="24"/>
                    </w:rPr>
                  </w:pPr>
                </w:p>
                <w:p>
                  <w:pPr>
                    <w:tabs>
                      <w:tab w:val="right" w:pos="9498"/>
                    </w:tabs>
                    <w:spacing w:line="259" w:lineRule="auto"/>
                    <w:rPr>
                      <w:szCs w:val="24"/>
                    </w:rPr>
                  </w:pPr>
                </w:p>
                <w:p>
                  <w:pPr>
                    <w:tabs>
                      <w:tab w:val="right" w:pos="9498"/>
                    </w:tabs>
                    <w:spacing w:line="259" w:lineRule="auto"/>
                    <w:rPr>
                      <w:szCs w:val="24"/>
                    </w:rPr>
                  </w:pPr>
                </w:p>
                <w:p>
                  <w:pPr>
                    <w:tabs>
                      <w:tab w:val="right" w:pos="9498"/>
                    </w:tabs>
                    <w:spacing w:line="259" w:lineRule="auto"/>
                    <w:rPr>
                      <w:szCs w:val="24"/>
                    </w:rPr>
                  </w:pPr>
                </w:p>
                <w:p>
                  <w:pPr>
                    <w:tabs>
                      <w:tab w:val="right" w:pos="9498"/>
                    </w:tabs>
                    <w:spacing w:line="259" w:lineRule="auto"/>
                    <w:rPr>
                      <w:szCs w:val="24"/>
                    </w:rPr>
                  </w:pPr>
                </w:p>
                <w:p>
                  <w:pPr>
                    <w:tabs>
                      <w:tab w:val="right" w:pos="9498"/>
                    </w:tabs>
                    <w:spacing w:line="259" w:lineRule="auto"/>
                    <w:rPr>
                      <w:szCs w:val="24"/>
                    </w:rPr>
                  </w:pPr>
                </w:p>
                <w:p>
                  <w:pPr>
                    <w:tabs>
                      <w:tab w:val="right" w:pos="9498"/>
                    </w:tabs>
                    <w:spacing w:line="259" w:lineRule="auto"/>
                    <w:rPr>
                      <w:szCs w:val="24"/>
                    </w:rPr>
                  </w:pPr>
                </w:p>
                <w:p>
                  <w:pPr>
                    <w:tabs>
                      <w:tab w:val="right" w:pos="9498"/>
                    </w:tabs>
                    <w:spacing w:line="259" w:lineRule="auto"/>
                    <w:rPr>
                      <w:szCs w:val="24"/>
                    </w:rPr>
                  </w:pPr>
                </w:p>
                <w:p>
                  <w:pPr>
                    <w:tabs>
                      <w:tab w:val="right" w:pos="9498"/>
                    </w:tabs>
                    <w:spacing w:line="259" w:lineRule="auto"/>
                    <w:rPr>
                      <w:sz w:val="22"/>
                      <w:szCs w:val="22"/>
                    </w:rPr>
                  </w:pPr>
                  <w:r>
                    <w:rPr>
                      <w:szCs w:val="24"/>
                    </w:rPr>
                    <w:t xml:space="preserve">M. Noreikaitė, tel. +370 5 219 3334, el. p. </w:t>
                  </w:r>
                  <w:r>
                    <w:rPr>
                      <w:color w:val="0563C1"/>
                      <w:szCs w:val="24"/>
                      <w:u w:val="single"/>
                    </w:rPr>
                    <w:t>migle.noreikaite@sam.lt</w:t>
                  </w:r>
                </w:p>
              </w:sdtContent>
            </w:sdt>
          </w:sdtContent>
        </w:sdt>
        <w:sdt>
          <w:sdtPr>
            <w:alias w:val="skirsnis"/>
            <w:tag w:val="part_6e15d2b219ad4c139f93880e804ff58a"/>
            <w:lock w:val="sdtLocked"/>
            <w:richText/>
          </w:sdtPr>
          <w:sdtContent>
            <w:p>
              <w:pPr>
                <w:spacing w:line="360" w:lineRule="auto"/>
                <w:jc w:val="center"/>
                <w:rPr>
                  <w:rFonts w:eastAsia="Calibri"/>
                  <w:b/>
                  <w:bCs/>
                  <w:szCs w:val="24"/>
                </w:rPr>
              </w:pPr>
              <w:r>
                <w:rPr>
                  <w:sz w:val="22"/>
                  <w:szCs w:val="22"/>
                </w:rPr>
                <w:br w:type="page"/>
              </w:r>
              <w:sdt>
                <w:sdtPr>
                  <w:alias w:val="Pavadinimas"/>
                  <w:tag w:val="title_6e15d2b219ad4c139f93880e804ff58a"/>
                  <w:lock w:val="sdtLocked"/>
                  <w:richText/>
                </w:sdtPr>
                <w:sdtContent>
                  <w:r>
                    <w:rPr>
                      <w:rFonts w:eastAsia="Calibri"/>
                      <w:b/>
                      <w:bCs/>
                      <w:szCs w:val="24"/>
                    </w:rPr>
                    <w:t xml:space="preserve">LR SVEIKATOS APSAUGOS MINISTERIJOS 2026 M.        D. RAŠTO NR.</w:t>
                    <w:br/>
                    <w:t>ADRESATŲ SĄRAŠAS</w:t>
                  </w:r>
                </w:sdtContent>
              </w:sdt>
            </w:p>
            <w:p>
              <w:pPr>
                <w:rPr>
                  <w:sz w:val="14"/>
                  <w:szCs w:val="14"/>
                </w:rPr>
              </w:pPr>
            </w:p>
            <w:p>
              <w:pPr>
                <w:spacing w:line="360" w:lineRule="auto"/>
                <w:rPr>
                  <w:rFonts w:eastAsia="Calibri"/>
                  <w:szCs w:val="24"/>
                </w:rPr>
              </w:pPr>
              <w:r>
                <w:rPr>
                  <w:rFonts w:eastAsia="Calibri"/>
                  <w:szCs w:val="24"/>
                </w:rPr>
                <w:t>Valstybinė ligonių kasa prie Sveikatos apsaugos ministerijos;</w:t>
              </w:r>
            </w:p>
            <w:p>
              <w:pPr>
                <w:spacing w:line="360" w:lineRule="auto"/>
                <w:rPr>
                  <w:rFonts w:eastAsia="Calibri"/>
                  <w:szCs w:val="24"/>
                </w:rPr>
              </w:pPr>
              <w:r>
                <w:rPr>
                  <w:rFonts w:eastAsia="Calibri"/>
                  <w:szCs w:val="24"/>
                </w:rPr>
                <w:t>VšĮ Vilniaus universiteto ligoninė Santaros klinikos;</w:t>
              </w:r>
            </w:p>
            <w:p>
              <w:pPr>
                <w:spacing w:line="360" w:lineRule="auto"/>
                <w:rPr>
                  <w:rFonts w:eastAsia="Calibri"/>
                  <w:szCs w:val="24"/>
                </w:rPr>
              </w:pPr>
              <w:r>
                <w:rPr>
                  <w:rFonts w:eastAsia="Calibri"/>
                  <w:szCs w:val="24"/>
                </w:rPr>
                <w:t>VšĮ Respublikinė Vilniaus universitetinė ligoninė;</w:t>
                <w:br/>
                <w:t>Lietuvos sveikatos mokslų universiteto ligoninė Kauno klinikos;</w:t>
                <w:br/>
                <w:t>VšĮ Klaipėdos universiteto ligoninė;</w:t>
                <w:br/>
                <w:t>VšĮ Respublikinė Šiaulių ligoninė;</w:t>
                <w:br/>
                <w:t>VšĮ Respublikinė Panevėžio ligoninė;</w:t>
                <w:br/>
                <w:t>Lietuvos neurologų asociacija;</w:t>
              </w:r>
            </w:p>
            <w:p>
              <w:pPr>
                <w:spacing w:line="360" w:lineRule="auto"/>
                <w:rPr>
                  <w:rFonts w:eastAsia="Calibri"/>
                  <w:szCs w:val="24"/>
                </w:rPr>
              </w:pPr>
              <w:r>
                <w:rPr>
                  <w:rFonts w:eastAsia="Calibri"/>
                  <w:szCs w:val="24"/>
                </w:rPr>
                <w:t>Lietuvos nefrologijos, dializės ir inkstų transplantacijos asociacija;</w:t>
              </w:r>
            </w:p>
          </w:sdtContent>
        </w:sdt>
        <w:sdt>
          <w:sdtPr>
            <w:alias w:val="signatura"/>
            <w:tag w:val="part_50d7cfd0b6c94d96a4c8cffe12821643"/>
            <w:lock w:val="sdtLocked"/>
            <w:richText/>
          </w:sdtPr>
          <w:sdtContent>
            <w:p>
              <w:pPr>
                <w:spacing w:line="360" w:lineRule="auto"/>
                <w:rPr>
                  <w:rFonts w:eastAsia="Calibri"/>
                  <w:szCs w:val="24"/>
                </w:rPr>
              </w:pPr>
              <w:r>
                <w:rPr>
                  <w:rFonts w:eastAsia="Calibri"/>
                  <w:szCs w:val="24"/>
                </w:rPr>
                <w:t>Lietuvos inkstų fondas.</w:t>
              </w:r>
            </w:p>
          </w:sdtContent>
        </w:sdt>
      </w:sdtContent>
    </w:sdt>
    <w:sectPr>
      <w:headerReference w:type="even" r:id="rId13"/>
      <w:headerReference w:type="default" r:id="rId14"/>
      <w:footerReference w:type="even" r:id="rId15"/>
      <w:footerReference w:type="default" r:id="rId16"/>
      <w:headerReference w:type="first" r:id="rId17"/>
      <w:footerReference w:type="first" r:id="rId18"/>
      <w:pgSz w:w="11906" w:h="16838" w:code="9"/>
      <w:pgMar w:top="1985" w:right="567" w:bottom="2410" w:left="1701" w:header="510" w:footer="354" w:gutter="0"/>
      <w:cols w:space="1296"/>
      <w:titlePg/>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venir Next Medium">
    <w:altName w:val="Calibri"/>
    <w:charset w:val="00"/>
    <w:family w:val="swiss"/>
    <w:pitch w:val="variable"/>
    <w:sig w:usb0="8000002F" w:usb1="5000204A" w:usb2="00000000" w:usb3="00000000" w:csb0="0000009B" w:csb1="00000000"/>
  </w:font>
  <w:font w:name="Calibri">
    <w:panose1 w:val="020F0502020204030204"/>
    <w:charset w:val="BA"/>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venir Next">
    <w:altName w:val="Calibri"/>
    <w:charset w:val="00"/>
    <w:family w:val="swiss"/>
    <w:pitch w:val="variable"/>
    <w:sig w:usb0="8000002F" w:usb1="5000204A" w:usb2="00000000" w:usb3="00000000" w:csb0="0000009B"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trPr>
        <w:trHeight w:val="300"/>
      </w:trPr>
      <w:tc>
        <w:tcPr>
          <w:tcW w:w="3210" w:type="dxa"/>
        </w:tcPr>
        <w:p>
          <w:pPr>
            <w:tabs>
              <w:tab w:val="center" w:pos="4819"/>
              <w:tab w:val="right" w:pos="9638"/>
            </w:tabs>
            <w:ind w:left="-115"/>
            <w:rPr>
              <w:sz w:val="22"/>
              <w:szCs w:val="22"/>
            </w:rPr>
          </w:pPr>
        </w:p>
      </w:tc>
      <w:tc>
        <w:tcPr>
          <w:tcW w:w="3210" w:type="dxa"/>
        </w:tcPr>
        <w:p>
          <w:pPr>
            <w:tabs>
              <w:tab w:val="center" w:pos="4819"/>
              <w:tab w:val="right" w:pos="9638"/>
            </w:tabs>
            <w:jc w:val="center"/>
            <w:rPr>
              <w:sz w:val="22"/>
              <w:szCs w:val="22"/>
            </w:rPr>
          </w:pPr>
        </w:p>
      </w:tc>
      <w:tc>
        <w:tcPr>
          <w:tcW w:w="3210" w:type="dxa"/>
        </w:tcPr>
        <w:p>
          <w:pPr>
            <w:tabs>
              <w:tab w:val="center" w:pos="4819"/>
              <w:tab w:val="right" w:pos="9638"/>
            </w:tabs>
            <w:ind w:right="-115"/>
            <w:jc w:val="right"/>
            <w:rPr>
              <w:sz w:val="22"/>
              <w:szCs w:val="22"/>
            </w:rPr>
          </w:pPr>
        </w:p>
      </w:tc>
    </w:tr>
  </w:tbl>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tblBorders>
      <w:tblLook w:val="04A0" w:firstRow="1" w:lastRow="0" w:firstColumn="1" w:lastColumn="0" w:noHBand="0" w:noVBand="1"/>
    </w:tblPr>
    <w:tblGrid>
      <w:gridCol w:w="1555"/>
      <w:gridCol w:w="1842"/>
      <w:gridCol w:w="3686"/>
      <w:gridCol w:w="2545"/>
    </w:tblGrid>
    <w:tr>
      <w:tc>
        <w:tcPr>
          <w:tcW w:w="1555" w:type="dxa"/>
          <w:vAlign w:val="center"/>
        </w:tcPr>
        <w:p>
          <w:pPr>
            <w:rPr>
              <w:sz w:val="10"/>
              <w:szCs w:val="10"/>
            </w:rPr>
          </w:pPr>
        </w:p>
        <w:p>
          <w:pPr>
            <w:rPr>
              <w:sz w:val="22"/>
              <w:szCs w:val="22"/>
            </w:rPr>
          </w:pPr>
          <w:r>
            <w:rPr>
              <w:sz w:val="22"/>
              <w:szCs w:val="22"/>
              <w:lang w:val="en-US"/>
            </w:rPr>
            <w:drawing>
              <wp:inline distT="0" distB="0" distL="0" distR="0" wp14:anchorId="432CAE8F" wp14:editId="2431739A">
                <wp:extent cx="533400" cy="628608"/>
                <wp:effectExtent l="0" t="0" r="0" b="635"/>
                <wp:docPr id="446821588" name="Paveikslėlis 1" descr="Paveikslėlis, kuriame yra logotipas, varinis kastetas, dizain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logotipas, varinis kastetas, dizainas  Automatiškai sugeneruotas aprašym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5239" cy="642560"/>
                        </a:xfrm>
                        <a:prstGeom prst="rect">
                          <a:avLst/>
                        </a:prstGeom>
                        <a:noFill/>
                        <a:ln>
                          <a:noFill/>
                        </a:ln>
                      </pic:spPr>
                    </pic:pic>
                  </a:graphicData>
                </a:graphic>
              </wp:inline>
            </w:drawing>
          </w:r>
        </w:p>
      </w:tc>
      <w:tc>
        <w:tcPr>
          <w:tcW w:w="1842" w:type="dxa"/>
          <w:vAlign w:val="center"/>
        </w:tcPr>
        <w:p>
          <w:pPr>
            <w:rPr>
              <w:rFonts w:eastAsia="Calibri"/>
              <w:color w:val="000000"/>
              <w:sz w:val="18"/>
              <w:szCs w:val="18"/>
              <w:lang w:eastAsia="lt-LT"/>
            </w:rPr>
          </w:pPr>
          <w:r>
            <w:rPr>
              <w:rFonts w:eastAsia="Calibri"/>
              <w:color w:val="000000"/>
              <w:sz w:val="18"/>
              <w:szCs w:val="18"/>
              <w:lang w:eastAsia="lt-LT"/>
            </w:rPr>
            <w:t>Biudžetinė įstaiga</w:t>
          </w:r>
        </w:p>
        <w:p>
          <w:pPr>
            <w:rPr>
              <w:rFonts w:eastAsia="Calibri"/>
              <w:color w:val="000000"/>
              <w:sz w:val="18"/>
              <w:szCs w:val="18"/>
              <w:lang w:eastAsia="lt-LT"/>
            </w:rPr>
          </w:pPr>
          <w:r>
            <w:rPr>
              <w:rFonts w:eastAsia="Calibri"/>
              <w:color w:val="000000"/>
              <w:sz w:val="18"/>
              <w:szCs w:val="18"/>
              <w:lang w:eastAsia="lt-LT"/>
            </w:rPr>
            <w:t>Vilniaus g. 33</w:t>
          </w:r>
        </w:p>
        <w:p>
          <w:pPr>
            <w:rPr>
              <w:rFonts w:eastAsia="Calibri"/>
              <w:color w:val="000000"/>
              <w:sz w:val="18"/>
              <w:szCs w:val="18"/>
              <w:lang w:eastAsia="lt-LT"/>
            </w:rPr>
          </w:pPr>
          <w:r>
            <w:rPr>
              <w:rFonts w:eastAsia="Calibri"/>
              <w:color w:val="000000"/>
              <w:sz w:val="18"/>
              <w:szCs w:val="18"/>
              <w:lang w:eastAsia="lt-LT"/>
            </w:rPr>
            <w:t>LT-01402 Vilnius</w:t>
          </w:r>
        </w:p>
      </w:tc>
      <w:tc>
        <w:tcPr>
          <w:tcW w:w="3686" w:type="dxa"/>
          <w:vAlign w:val="center"/>
        </w:tcPr>
        <w:p>
          <w:pPr>
            <w:rPr>
              <w:rFonts w:eastAsia="Calibri"/>
              <w:color w:val="000000"/>
              <w:sz w:val="18"/>
              <w:szCs w:val="18"/>
              <w:lang w:eastAsia="lt-LT"/>
            </w:rPr>
          </w:pPr>
          <w:r>
            <w:rPr>
              <w:rFonts w:eastAsia="Calibri"/>
              <w:color w:val="000000"/>
              <w:sz w:val="18"/>
              <w:szCs w:val="18"/>
              <w:lang w:eastAsia="lt-LT"/>
            </w:rPr>
            <w:t>Tel. +370 800 66 004</w:t>
          </w:r>
        </w:p>
        <w:p>
          <w:pPr>
            <w:rPr>
              <w:rFonts w:eastAsia="Calibri"/>
              <w:color w:val="0563C1"/>
              <w:sz w:val="18"/>
              <w:szCs w:val="18"/>
              <w:u w:val="single"/>
              <w:lang w:eastAsia="lt-LT"/>
            </w:rPr>
          </w:pPr>
          <w:r>
            <w:rPr>
              <w:rFonts w:eastAsia="Calibri"/>
              <w:color w:val="000000"/>
              <w:sz w:val="18"/>
              <w:szCs w:val="18"/>
              <w:lang w:eastAsia="lt-LT"/>
            </w:rPr>
            <w:t xml:space="preserve">El. p. </w:t>
          </w:r>
          <w:r>
            <w:rPr>
              <w:rFonts w:eastAsia="Calibri"/>
              <w:color w:val="0563C1"/>
              <w:sz w:val="18"/>
              <w:szCs w:val="18"/>
              <w:u w:val="single"/>
              <w:lang w:eastAsia="lt-LT"/>
            </w:rPr>
            <w:t>ministerija@sam.lt</w:t>
          </w:r>
          <w:r>
            <w:rPr>
              <w:rFonts w:eastAsia="Calibri"/>
              <w:color w:val="000000"/>
              <w:sz w:val="18"/>
              <w:szCs w:val="18"/>
              <w:lang w:eastAsia="lt-LT"/>
            </w:rPr>
            <w:t xml:space="preserve">, </w:t>
          </w:r>
          <w:r>
            <w:rPr>
              <w:rFonts w:eastAsia="Calibri"/>
              <w:color w:val="0563C1"/>
              <w:sz w:val="18"/>
              <w:szCs w:val="18"/>
              <w:u w:val="single"/>
              <w:lang w:eastAsia="lt-LT"/>
            </w:rPr>
            <w:t>https://sam.lrv.lt</w:t>
          </w:r>
        </w:p>
        <w:p>
          <w:pPr>
            <w:rPr>
              <w:sz w:val="22"/>
              <w:szCs w:val="22"/>
              <w:lang w:val="pt-BR"/>
            </w:rPr>
          </w:pPr>
          <w:r>
            <w:rPr>
              <w:rFonts w:eastAsia="Calibri"/>
              <w:color w:val="000000"/>
              <w:sz w:val="18"/>
              <w:szCs w:val="18"/>
              <w:lang w:eastAsia="lt-LT"/>
            </w:rPr>
            <w:t>E. pristatymo dėžutės adresas 18860347</w:t>
          </w:r>
          <w:r>
            <w:rPr>
              <w:rFonts w:eastAsia="Calibri"/>
              <w:color w:val="000000"/>
              <w:sz w:val="18"/>
              <w:szCs w:val="18"/>
              <w:lang w:val="pt-BR" w:eastAsia="lt-LT"/>
            </w:rPr>
            <w:t>2</w:t>
          </w:r>
        </w:p>
      </w:tc>
      <w:tc>
        <w:tcPr>
          <w:tcW w:w="2545" w:type="dxa"/>
          <w:vAlign w:val="center"/>
        </w:tcPr>
        <w:p>
          <w:pPr>
            <w:rPr>
              <w:rFonts w:eastAsia="Calibri"/>
              <w:color w:val="000000"/>
              <w:sz w:val="18"/>
              <w:szCs w:val="18"/>
              <w:lang w:eastAsia="lt-LT"/>
            </w:rPr>
          </w:pPr>
          <w:r>
            <w:rPr>
              <w:rFonts w:eastAsia="Calibri"/>
              <w:color w:val="000000"/>
              <w:sz w:val="18"/>
              <w:szCs w:val="18"/>
              <w:lang w:eastAsia="lt-LT"/>
            </w:rPr>
            <w:t>Duomenys kaupiami ir saugomi Juridinių asmenų registre</w:t>
          </w:r>
        </w:p>
        <w:p>
          <w:pPr>
            <w:rPr>
              <w:sz w:val="22"/>
              <w:szCs w:val="22"/>
            </w:rPr>
          </w:pPr>
          <w:r>
            <w:rPr>
              <w:rFonts w:eastAsia="Calibri"/>
              <w:color w:val="000000"/>
              <w:sz w:val="18"/>
              <w:szCs w:val="18"/>
              <w:lang w:eastAsia="lt-LT"/>
            </w:rPr>
            <w:t>Kodas 188603472</w:t>
          </w:r>
        </w:p>
      </w:tc>
    </w:tr>
  </w:tbl>
  <w:p>
    <w:pPr>
      <w:tabs>
        <w:tab w:val="right" w:pos="9638"/>
      </w:tabs>
      <w:spacing w:line="360" w:lineRule="auto"/>
      <w:rPr>
        <w:rFonts w:ascii="Avenir Next" w:eastAsia="Calibri" w:hAnsi="Avenir Next"/>
        <w:sz w:val="18"/>
        <w:szCs w:val="18"/>
        <w:lang w:eastAsia="lt-LT"/>
      </w:rPr>
    </w:pPr>
    <w:r>
      <w:rPr>
        <w:rFonts w:ascii="Avenir Next" w:eastAsia="Calibri" w:hAnsi="Avenir Next"/>
        <w:szCs w:val="24"/>
        <w:lang w:eastAsia="lt-LT"/>
      </w:rPr>
      <w:t xml:space="preserve">       </w: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 w:val="22"/>
        <w:szCs w:val="22"/>
      </w:rPr>
    </w:pPr>
    <w:r>
      <w:rPr>
        <w:sz w:val="22"/>
        <w:szCs w:val="22"/>
      </w:rPr>
      <w:fldChar w:fldCharType="begin"/>
    </w:r>
    <w:r>
      <w:rPr>
        <w:sz w:val="22"/>
        <w:szCs w:val="22"/>
      </w:rPr>
      <w:instrText xml:space="preserve">PAGE  </w:instrText>
    </w:r>
    <w:r>
      <w:rPr>
        <w:sz w:val="22"/>
        <w:szCs w:val="22"/>
      </w:rPr>
      <w:fldChar w:fldCharType="separate"/>
    </w:r>
    <w:r>
      <w:rPr>
        <w:sz w:val="22"/>
        <w:szCs w:val="22"/>
      </w:rPr>
      <w:t>1</w:t>
    </w:r>
    <w:r>
      <w:rPr>
        <w:sz w:val="22"/>
        <w:szCs w:val="22"/>
      </w:rPr>
      <w:fldChar w:fldCharType="end"/>
    </w:r>
  </w:p>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4D0B"/>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3E153E24-C153-40FB-A7D6-D3CAA660ABC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3510879">
      <w:bodyDiv w:val="1"/>
      <w:marLeft w:val="0"/>
      <w:marRight w:val="0"/>
      <w:marTop w:val="0"/>
      <w:marBottom w:val="0"/>
      <w:divBdr>
        <w:top w:val="none" w:sz="0" w:space="0" w:color="auto"/>
        <w:left w:val="none" w:sz="0" w:space="0" w:color="auto"/>
        <w:bottom w:val="none" w:sz="0" w:space="0" w:color="auto"/>
        <w:right w:val="none" w:sz="0" w:space="0" w:color="auto"/>
      </w:divBdr>
    </w:div>
    <w:div w:id="426463164">
      <w:bodyDiv w:val="1"/>
      <w:marLeft w:val="0"/>
      <w:marRight w:val="0"/>
      <w:marTop w:val="0"/>
      <w:marBottom w:val="0"/>
      <w:divBdr>
        <w:top w:val="none" w:sz="0" w:space="0" w:color="auto"/>
        <w:left w:val="none" w:sz="0" w:space="0" w:color="auto"/>
        <w:bottom w:val="none" w:sz="0" w:space="0" w:color="auto"/>
        <w:right w:val="none" w:sz="0" w:space="0" w:color="auto"/>
      </w:divBdr>
    </w:div>
    <w:div w:id="593823828">
      <w:bodyDiv w:val="1"/>
      <w:marLeft w:val="0"/>
      <w:marRight w:val="0"/>
      <w:marTop w:val="0"/>
      <w:marBottom w:val="0"/>
      <w:divBdr>
        <w:top w:val="none" w:sz="0" w:space="0" w:color="auto"/>
        <w:left w:val="none" w:sz="0" w:space="0" w:color="auto"/>
        <w:bottom w:val="none" w:sz="0" w:space="0" w:color="auto"/>
        <w:right w:val="none" w:sz="0" w:space="0" w:color="auto"/>
      </w:divBdr>
    </w:div>
    <w:div w:id="605624261">
      <w:bodyDiv w:val="1"/>
      <w:marLeft w:val="0"/>
      <w:marRight w:val="0"/>
      <w:marTop w:val="0"/>
      <w:marBottom w:val="0"/>
      <w:divBdr>
        <w:top w:val="none" w:sz="0" w:space="0" w:color="auto"/>
        <w:left w:val="none" w:sz="0" w:space="0" w:color="auto"/>
        <w:bottom w:val="none" w:sz="0" w:space="0" w:color="auto"/>
        <w:right w:val="none" w:sz="0" w:space="0" w:color="auto"/>
      </w:divBdr>
    </w:div>
    <w:div w:id="842234750">
      <w:bodyDiv w:val="1"/>
      <w:marLeft w:val="0"/>
      <w:marRight w:val="0"/>
      <w:marTop w:val="0"/>
      <w:marBottom w:val="0"/>
      <w:divBdr>
        <w:top w:val="none" w:sz="0" w:space="0" w:color="auto"/>
        <w:left w:val="none" w:sz="0" w:space="0" w:color="auto"/>
        <w:bottom w:val="none" w:sz="0" w:space="0" w:color="auto"/>
        <w:right w:val="none" w:sz="0" w:space="0" w:color="auto"/>
      </w:divBdr>
    </w:div>
    <w:div w:id="1233354055">
      <w:bodyDiv w:val="1"/>
      <w:marLeft w:val="0"/>
      <w:marRight w:val="0"/>
      <w:marTop w:val="0"/>
      <w:marBottom w:val="0"/>
      <w:divBdr>
        <w:top w:val="none" w:sz="0" w:space="0" w:color="auto"/>
        <w:left w:val="none" w:sz="0" w:space="0" w:color="auto"/>
        <w:bottom w:val="none" w:sz="0" w:space="0" w:color="auto"/>
        <w:right w:val="none" w:sz="0" w:space="0" w:color="auto"/>
      </w:divBdr>
    </w:div>
    <w:div w:id="1365330391">
      <w:bodyDiv w:val="1"/>
      <w:marLeft w:val="0"/>
      <w:marRight w:val="0"/>
      <w:marTop w:val="0"/>
      <w:marBottom w:val="0"/>
      <w:divBdr>
        <w:top w:val="none" w:sz="0" w:space="0" w:color="auto"/>
        <w:left w:val="none" w:sz="0" w:space="0" w:color="auto"/>
        <w:bottom w:val="none" w:sz="0" w:space="0" w:color="auto"/>
        <w:right w:val="none" w:sz="0" w:space="0" w:color="auto"/>
      </w:divBdr>
    </w:div>
    <w:div w:id="1490752212">
      <w:bodyDiv w:val="1"/>
      <w:marLeft w:val="0"/>
      <w:marRight w:val="0"/>
      <w:marTop w:val="0"/>
      <w:marBottom w:val="0"/>
      <w:divBdr>
        <w:top w:val="none" w:sz="0" w:space="0" w:color="auto"/>
        <w:left w:val="none" w:sz="0" w:space="0" w:color="auto"/>
        <w:bottom w:val="none" w:sz="0" w:space="0" w:color="auto"/>
        <w:right w:val="none" w:sz="0" w:space="0" w:color="auto"/>
      </w:divBdr>
    </w:div>
    <w:div w:id="1957368799">
      <w:bodyDiv w:val="1"/>
      <w:marLeft w:val="0"/>
      <w:marRight w:val="0"/>
      <w:marTop w:val="0"/>
      <w:marBottom w:val="0"/>
      <w:divBdr>
        <w:top w:val="none" w:sz="0" w:space="0" w:color="auto"/>
        <w:left w:val="none" w:sz="0" w:space="0" w:color="auto"/>
        <w:bottom w:val="none" w:sz="0" w:space="0" w:color="auto"/>
        <w:right w:val="none" w:sz="0" w:space="0" w:color="auto"/>
      </w:divBdr>
    </w:div>
    <w:div w:id="2018576137">
      <w:bodyDiv w:val="1"/>
      <w:marLeft w:val="0"/>
      <w:marRight w:val="0"/>
      <w:marTop w:val="0"/>
      <w:marBottom w:val="0"/>
      <w:divBdr>
        <w:top w:val="none" w:sz="0" w:space="0" w:color="auto"/>
        <w:left w:val="none" w:sz="0" w:space="0" w:color="auto"/>
        <w:bottom w:val="none" w:sz="0" w:space="0" w:color="auto"/>
        <w:right w:val="none" w:sz="0" w:space="0" w:color="auto"/>
      </w:divBdr>
      <w:divsChild>
        <w:div w:id="1562793357">
          <w:marLeft w:val="0"/>
          <w:marRight w:val="0"/>
          <w:marTop w:val="0"/>
          <w:marBottom w:val="0"/>
          <w:divBdr>
            <w:top w:val="none" w:sz="0" w:space="0" w:color="auto"/>
            <w:left w:val="none" w:sz="0" w:space="0" w:color="auto"/>
            <w:bottom w:val="none" w:sz="0" w:space="0" w:color="auto"/>
            <w:right w:val="none" w:sz="0" w:space="0" w:color="auto"/>
          </w:divBdr>
        </w:div>
        <w:div w:id="479467739">
          <w:marLeft w:val="0"/>
          <w:marRight w:val="0"/>
          <w:marTop w:val="0"/>
          <w:marBottom w:val="0"/>
          <w:divBdr>
            <w:top w:val="none" w:sz="0" w:space="0" w:color="auto"/>
            <w:left w:val="none" w:sz="0" w:space="0" w:color="auto"/>
            <w:bottom w:val="none" w:sz="0" w:space="0" w:color="auto"/>
            <w:right w:val="none" w:sz="0" w:space="0" w:color="auto"/>
          </w:divBdr>
        </w:div>
        <w:div w:id="433064267">
          <w:marLeft w:val="0"/>
          <w:marRight w:val="0"/>
          <w:marTop w:val="0"/>
          <w:marBottom w:val="0"/>
          <w:divBdr>
            <w:top w:val="none" w:sz="0" w:space="0" w:color="auto"/>
            <w:left w:val="none" w:sz="0" w:space="0" w:color="auto"/>
            <w:bottom w:val="none" w:sz="0" w:space="0" w:color="auto"/>
            <w:right w:val="none" w:sz="0" w:space="0" w:color="auto"/>
          </w:divBdr>
        </w:div>
        <w:div w:id="143205143">
          <w:marLeft w:val="0"/>
          <w:marRight w:val="0"/>
          <w:marTop w:val="0"/>
          <w:marBottom w:val="0"/>
          <w:divBdr>
            <w:top w:val="none" w:sz="0" w:space="0" w:color="auto"/>
            <w:left w:val="none" w:sz="0" w:space="0" w:color="auto"/>
            <w:bottom w:val="none" w:sz="0" w:space="0" w:color="auto"/>
            <w:right w:val="none" w:sz="0" w:space="0" w:color="auto"/>
          </w:divBdr>
        </w:div>
        <w:div w:id="1267350107">
          <w:marLeft w:val="0"/>
          <w:marRight w:val="0"/>
          <w:marTop w:val="0"/>
          <w:marBottom w:val="0"/>
          <w:divBdr>
            <w:top w:val="none" w:sz="0" w:space="0" w:color="auto"/>
            <w:left w:val="none" w:sz="0" w:space="0" w:color="auto"/>
            <w:bottom w:val="none" w:sz="0" w:space="0" w:color="auto"/>
            <w:right w:val="none" w:sz="0" w:space="0" w:color="auto"/>
          </w:divBdr>
        </w:div>
        <w:div w:id="1625891092">
          <w:marLeft w:val="0"/>
          <w:marRight w:val="0"/>
          <w:marTop w:val="0"/>
          <w:marBottom w:val="0"/>
          <w:divBdr>
            <w:top w:val="none" w:sz="0" w:space="0" w:color="auto"/>
            <w:left w:val="none" w:sz="0" w:space="0" w:color="auto"/>
            <w:bottom w:val="none" w:sz="0" w:space="0" w:color="auto"/>
            <w:right w:val="none" w:sz="0" w:space="0" w:color="auto"/>
          </w:divBdr>
        </w:div>
        <w:div w:id="349600537">
          <w:marLeft w:val="0"/>
          <w:marRight w:val="0"/>
          <w:marTop w:val="0"/>
          <w:marBottom w:val="0"/>
          <w:divBdr>
            <w:top w:val="none" w:sz="0" w:space="0" w:color="auto"/>
            <w:left w:val="none" w:sz="0" w:space="0" w:color="auto"/>
            <w:bottom w:val="none" w:sz="0" w:space="0" w:color="auto"/>
            <w:right w:val="none" w:sz="0" w:space="0" w:color="auto"/>
          </w:divBdr>
        </w:div>
        <w:div w:id="414668537">
          <w:marLeft w:val="0"/>
          <w:marRight w:val="0"/>
          <w:marTop w:val="0"/>
          <w:marBottom w:val="0"/>
          <w:divBdr>
            <w:top w:val="none" w:sz="0" w:space="0" w:color="auto"/>
            <w:left w:val="none" w:sz="0" w:space="0" w:color="auto"/>
            <w:bottom w:val="none" w:sz="0" w:space="0" w:color="auto"/>
            <w:right w:val="none" w:sz="0" w:space="0" w:color="auto"/>
          </w:divBdr>
        </w:div>
        <w:div w:id="1058750776">
          <w:marLeft w:val="0"/>
          <w:marRight w:val="0"/>
          <w:marTop w:val="0"/>
          <w:marBottom w:val="0"/>
          <w:divBdr>
            <w:top w:val="none" w:sz="0" w:space="0" w:color="auto"/>
            <w:left w:val="none" w:sz="0" w:space="0" w:color="auto"/>
            <w:bottom w:val="none" w:sz="0" w:space="0" w:color="auto"/>
            <w:right w:val="none" w:sz="0" w:space="0" w:color="auto"/>
          </w:divBdr>
        </w:div>
        <w:div w:id="617372470">
          <w:marLeft w:val="0"/>
          <w:marRight w:val="0"/>
          <w:marTop w:val="0"/>
          <w:marBottom w:val="0"/>
          <w:divBdr>
            <w:top w:val="none" w:sz="0" w:space="0" w:color="auto"/>
            <w:left w:val="none" w:sz="0" w:space="0" w:color="auto"/>
            <w:bottom w:val="none" w:sz="0" w:space="0" w:color="auto"/>
            <w:right w:val="none" w:sz="0" w:space="0" w:color="auto"/>
          </w:divBdr>
        </w:div>
        <w:div w:id="1552106782">
          <w:marLeft w:val="0"/>
          <w:marRight w:val="0"/>
          <w:marTop w:val="0"/>
          <w:marBottom w:val="0"/>
          <w:divBdr>
            <w:top w:val="none" w:sz="0" w:space="0" w:color="auto"/>
            <w:left w:val="none" w:sz="0" w:space="0" w:color="auto"/>
            <w:bottom w:val="none" w:sz="0" w:space="0" w:color="auto"/>
            <w:right w:val="none" w:sz="0" w:space="0" w:color="auto"/>
          </w:divBdr>
        </w:div>
        <w:div w:id="667057896">
          <w:marLeft w:val="0"/>
          <w:marRight w:val="0"/>
          <w:marTop w:val="0"/>
          <w:marBottom w:val="0"/>
          <w:divBdr>
            <w:top w:val="none" w:sz="0" w:space="0" w:color="auto"/>
            <w:left w:val="none" w:sz="0" w:space="0" w:color="auto"/>
            <w:bottom w:val="none" w:sz="0" w:space="0" w:color="auto"/>
            <w:right w:val="none" w:sz="0" w:space="0" w:color="auto"/>
          </w:divBdr>
        </w:div>
        <w:div w:id="883323723">
          <w:marLeft w:val="0"/>
          <w:marRight w:val="0"/>
          <w:marTop w:val="0"/>
          <w:marBottom w:val="0"/>
          <w:divBdr>
            <w:top w:val="none" w:sz="0" w:space="0" w:color="auto"/>
            <w:left w:val="none" w:sz="0" w:space="0" w:color="auto"/>
            <w:bottom w:val="none" w:sz="0" w:space="0" w:color="auto"/>
            <w:right w:val="none" w:sz="0" w:space="0" w:color="auto"/>
          </w:divBdr>
        </w:div>
        <w:div w:id="662662013">
          <w:marLeft w:val="0"/>
          <w:marRight w:val="0"/>
          <w:marTop w:val="0"/>
          <w:marBottom w:val="0"/>
          <w:divBdr>
            <w:top w:val="none" w:sz="0" w:space="0" w:color="auto"/>
            <w:left w:val="none" w:sz="0" w:space="0" w:color="auto"/>
            <w:bottom w:val="none" w:sz="0" w:space="0" w:color="auto"/>
            <w:right w:val="none" w:sz="0" w:space="0" w:color="auto"/>
          </w:divBdr>
        </w:div>
        <w:div w:id="9329057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jpeg"/>
  <Relationship Id="rId11" Type="http://schemas.openxmlformats.org/officeDocument/2006/relationships/image" TargetMode="External" Target="cid:image010.jpg@01DA495F.B01CF720"/>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er3.xml.rels><?xml version="1.0" encoding="UTF-8"?>

<Relationships xmlns="http://schemas.openxmlformats.org/package/2006/relationships">
  <Relationship Id="rId1" Type="http://schemas.openxmlformats.org/officeDocument/2006/relationships/image" Target="media/image2.jpe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7f216368-8434-4da0-b8c5-4172b9ea0f9c">
      <UserInfo>
        <DisplayName>Laimutė Užupė</DisplayName>
        <AccountId>518</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10" ma:contentTypeDescription="Kurkite naują dokumentą." ma:contentTypeScope="" ma:versionID="b409534b6b6240d89ff499e869b5046d">
  <xsd:schema xmlns:xsd="http://www.w3.org/2001/XMLSchema" xmlns:xs="http://www.w3.org/2001/XMLSchema" xmlns:p="http://schemas.microsoft.com/office/2006/metadata/properties" xmlns:ns2="1f08f849-cb30-4d50-b098-b22668634d80" xmlns:ns3="7f216368-8434-4da0-b8c5-4172b9ea0f9c" targetNamespace="http://schemas.microsoft.com/office/2006/metadata/properties" ma:root="true" ma:fieldsID="dfde042fe433430f4b3e2b5398e4e2bb" ns2:_="" ns3:_="">
    <xsd:import namespace="1f08f849-cb30-4d50-b098-b22668634d80"/>
    <xsd:import namespace="7f216368-8434-4da0-b8c5-4172b9ea0f9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08f849-cb30-4d50-b098-b22668634d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f216368-8434-4da0-b8c5-4172b9ea0f9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fbed4f16872f43a8905e0522a3bc4c3f" PartId="ef986cbb51f44f75803194b42c64119e">
    <Part Type="skirsnis" Title="DĖL LIETUVOS RESPUBLIKOS SVEIKATOS APSAUGOS MINISTRO 2014 M. VASARIO 28 D. ĮSAKYMO Nr. V-288 „DĖL ILGALAIKIO PACIENTŲ, SERGANČIŲ LĖTINĖMIS LIGOMIS, SVEIKATOS BŪKLĖS STEBĖJIMO TVARKOS APRAŠO PATVIRTINIMO“ PAKEITIMO" DocPartId="e9f6b7f5aae64e13b1fa85cc337e3a96" PartId="b0f3c4078e13413ca3896188253bc5fa">
      <Part Type="punktas" Nr="1" Abbr="1 p." DocPartId="2aad66c9e8434986b81d070aea94cb3e" PartId="47458f31bf03414fb96ac03fa6fdd94f"/>
      <Part Type="punktas" Nr="2" Abbr="2 p." DocPartId="13656eeafe524acbb95f2c9bd8b4d470" PartId="e259a862a6464aa58aa409295f55298a"/>
    </Part>
    <Part Type="skirsnis" Title="LR SVEIKATOS APSAUGOS MINISTERIJOS 2026 M. D. RAŠTO NR. ADRESATŲ SĄRAŠAS" DocPartId="641c65439a984328aee0085385807ed0" PartId="6e15d2b219ad4c139f93880e804ff58a"/>
    <Part Type="signatura" DocPartId="f17f9a4556d74c3aa7466c42172b3942" PartId="50d7cfd0b6c94d96a4c8cffe12821643"/>
  </Part>
</Parts>
</file>

<file path=customXml/itemProps1.xml><?xml version="1.0" encoding="utf-8"?>
<ds:datastoreItem xmlns:ds="http://schemas.openxmlformats.org/officeDocument/2006/customXml" ds:itemID="{50820448-9F58-4B7F-90C5-7BA30AD44145}">
  <ds:schemaRefs>
    <ds:schemaRef ds:uri="http://schemas.microsoft.com/office/2006/metadata/properties"/>
    <ds:schemaRef ds:uri="http://schemas.microsoft.com/office/infopath/2007/PartnerControls"/>
    <ds:schemaRef ds:uri="7f216368-8434-4da0-b8c5-4172b9ea0f9c"/>
  </ds:schemaRefs>
</ds:datastoreItem>
</file>

<file path=customXml/itemProps2.xml><?xml version="1.0" encoding="utf-8"?>
<ds:datastoreItem xmlns:ds="http://schemas.openxmlformats.org/officeDocument/2006/customXml" ds:itemID="{8652EF21-B83D-4627-BDE0-EA96FD5ED9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08f849-cb30-4d50-b098-b22668634d80"/>
    <ds:schemaRef ds:uri="7f216368-8434-4da0-b8c5-4172b9ea0f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221C679-F875-4B95-B99E-F3D623F552DC}">
  <ds:schemaRefs>
    <ds:schemaRef ds:uri="http://schemas.microsoft.com/sharepoint/v3/contenttype/forms"/>
  </ds:schemaRefs>
</ds:datastoreItem>
</file>

<file path=customXml/itemProps4.xml><?xml version="1.0" encoding="utf-8"?>
<ds:datastoreItem xmlns:ds="http://schemas.openxmlformats.org/officeDocument/2006/customXml" ds:itemID="{9A18A775-1AB3-4BAA-853D-7BE74E35E1A1}">
  <ds:schemaRefs>
    <ds:schemaRef ds:uri="http://schemas.openxmlformats.org/officeDocument/2006/bibliography"/>
  </ds:schemaRefs>
</ds:datastoreItem>
</file>

<file path=customXml/itemProps5.xml><?xml version="1.0" encoding="utf-8"?>
<ds:datastoreItem xmlns:ds="http://schemas.openxmlformats.org/officeDocument/2006/customXml" ds:itemID="{375E8720-AF22-4F05-AC22-39FD7122EF0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571</Words>
  <Characters>4366</Characters>
  <Application>Microsoft Office Word</Application>
  <DocSecurity>4</DocSecurity>
  <Lines>103</Lines>
  <Paragraphs>29</Paragraphs>
  <ScaleCrop>false</ScaleCrop>
  <Company/>
  <LinksUpToDate>false</LinksUpToDate>
  <CharactersWithSpaces>4908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2026-07-08T13:30:00Z</dcterms:created>
  <dc:creator>Oksana Kavaliauskienė</dc:creator>
  <lastModifiedBy>adlibuser</lastModifiedBy>
  <lastPrinted>2024-01-17T11:11:00Z</lastPrinted>
  <dcterms:modified xsi:type="dcterms:W3CDTF">2026-07-08T13:30:00Z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0x010100958BDF1B7149A445B634534142DB2BA2</vt:lpwstr>
  </property>
</Properties>
</file>