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986"/>
          <w:tab w:val="right" w:pos="9972"/>
        </w:tabs>
        <w:rPr>
          <w:rFonts w:ascii="Calibri" w:eastAsia="Calibri" w:hAnsi="Calibri"/>
          <w:sz w:val="22"/>
          <w:szCs w:val="22"/>
        </w:rPr>
      </w:pPr>
    </w:p>
    <w:p>
      <w:pPr>
        <w:rPr>
          <w:sz w:val="20"/>
        </w:rPr>
      </w:pPr>
    </w:p>
    <w:p>
      <w:pPr>
        <w:keepNext/>
        <w:spacing w:line="360" w:lineRule="auto"/>
        <w:jc w:val="center"/>
        <w:rPr>
          <w:rFonts w:eastAsia="Calibri"/>
          <w:b/>
          <w:bCs/>
          <w:kern w:val="32"/>
          <w:szCs w:val="24"/>
          <w:lang w:val="en-GB"/>
        </w:rPr>
      </w:pPr>
      <w:r>
        <w:rPr>
          <w:rFonts w:eastAsia="Calibri"/>
          <w:b/>
          <w:bCs/>
          <w:kern w:val="32"/>
          <w:szCs w:val="24"/>
          <w:lang w:val="en-GB"/>
        </w:rPr>
        <w:t>RASEINIŲ RAJONO SAVIVALDYBĖS ADMINISTRACIJOS</w:t>
      </w:r>
    </w:p>
    <w:p>
      <w:pPr>
        <w:rPr>
          <w:sz w:val="6"/>
          <w:szCs w:val="6"/>
        </w:rPr>
      </w:pPr>
    </w:p>
    <w:p>
      <w:pPr>
        <w:tabs>
          <w:tab w:val="left" w:pos="567"/>
        </w:tabs>
        <w:spacing w:line="360" w:lineRule="auto"/>
        <w:jc w:val="center"/>
        <w:rPr>
          <w:b/>
          <w:bCs/>
          <w:szCs w:val="24"/>
        </w:rPr>
      </w:pPr>
      <w:r>
        <w:rPr>
          <w:rFonts w:eastAsia="Calibri"/>
          <w:b/>
          <w:sz w:val="22"/>
          <w:szCs w:val="22"/>
        </w:rPr>
        <w:t>BIUDŽETO IR FINANSŲ ANALIZĖS SKYRIUS</w:t>
      </w:r>
      <w:r>
        <w:rPr>
          <w:b/>
          <w:bCs/>
          <w:szCs w:val="24"/>
        </w:rPr>
        <w:t xml:space="preserve"> </w:t>
      </w:r>
    </w:p>
    <w:p>
      <w:pPr>
        <w:rPr>
          <w:sz w:val="20"/>
        </w:rPr>
      </w:pPr>
    </w:p>
    <w:p>
      <w:pPr>
        <w:tabs>
          <w:tab w:val="left" w:pos="567"/>
        </w:tabs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AIŠKINAMASIS RAŠTAS</w:t>
      </w:r>
    </w:p>
    <w:p>
      <w:pPr>
        <w:rPr>
          <w:sz w:val="20"/>
        </w:rPr>
      </w:pPr>
    </w:p>
    <w:p>
      <w:pPr>
        <w:spacing w:line="360" w:lineRule="auto"/>
        <w:jc w:val="center"/>
        <w:rPr>
          <w:b/>
          <w:bCs/>
          <w:caps/>
          <w:szCs w:val="24"/>
          <w:lang w:eastAsia="lt-LT"/>
        </w:rPr>
      </w:pPr>
      <w:r>
        <w:rPr>
          <w:b/>
          <w:bCs/>
          <w:caps/>
          <w:szCs w:val="24"/>
          <w:lang w:eastAsia="lt-LT"/>
        </w:rPr>
        <w:t>Dėl TARYBOS sprendimo „</w:t>
      </w:r>
      <w:r>
        <w:rPr>
          <w:rFonts w:eastAsia="Calibri"/>
          <w:b/>
          <w:bCs/>
          <w:caps/>
          <w:sz w:val="26"/>
          <w:szCs w:val="22"/>
        </w:rPr>
        <w:t>DĖL 2021 METŲ RASEINIŲ RAJONO SAVIVALDYBĖS BIUDŽETO PAKEITIMO</w:t>
      </w:r>
      <w:r>
        <w:rPr>
          <w:b/>
          <w:bCs/>
          <w:caps/>
          <w:szCs w:val="24"/>
          <w:lang w:eastAsia="lt-LT"/>
        </w:rPr>
        <w:t>“ projekto</w:t>
      </w:r>
    </w:p>
    <w:p>
      <w:pPr>
        <w:rPr>
          <w:sz w:val="20"/>
        </w:rPr>
      </w:pPr>
    </w:p>
    <w:p>
      <w:pPr>
        <w:tabs>
          <w:tab w:val="left" w:pos="567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2021  m. kovo 12  d.</w:t>
      </w:r>
    </w:p>
    <w:p>
      <w:pPr>
        <w:tabs>
          <w:tab w:val="left" w:pos="0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Raseiniai</w:t>
      </w:r>
    </w:p>
    <w:p>
      <w:pPr>
        <w:tabs>
          <w:tab w:val="left" w:pos="0"/>
        </w:tabs>
        <w:jc w:val="center"/>
        <w:rPr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0"/>
      </w:tblGrid>
      <w:tr>
        <w:trPr>
          <w:trHeight w:hRule="exact" w:val="397"/>
        </w:trPr>
        <w:tc>
          <w:tcPr>
            <w:tcW w:w="9740" w:type="dxa"/>
            <w:vAlign w:val="center"/>
          </w:tcPr>
          <w:p>
            <w:pPr>
              <w:spacing w:line="360" w:lineRule="auto"/>
              <w:ind w:firstLine="540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iCs/>
                <w:szCs w:val="24"/>
                <w:lang w:eastAsia="lt-LT"/>
              </w:rPr>
              <w:t>1. Parengto projekto tikslai ir uždaviniai.</w:t>
            </w:r>
          </w:p>
        </w:tc>
      </w:tr>
      <w:tr>
        <w:tc>
          <w:tcPr>
            <w:tcW w:w="9740" w:type="dxa"/>
          </w:tcPr>
          <w:p>
            <w:pPr>
              <w:jc w:val="both"/>
              <w:rPr>
                <w:bCs/>
                <w:iCs/>
                <w:color w:val="000000"/>
                <w:szCs w:val="24"/>
                <w:lang w:eastAsia="lt-LT"/>
              </w:rPr>
            </w:pPr>
            <w:r>
              <w:rPr>
                <w:bCs/>
                <w:iCs/>
                <w:color w:val="000000"/>
                <w:szCs w:val="24"/>
                <w:lang w:eastAsia="lt-LT"/>
              </w:rPr>
              <w:t>Patikslinti rajono Savivaldybės biudžetą, patikslinant asignavimus, atsižvelgiant į:</w:t>
            </w:r>
          </w:p>
          <w:p>
            <w:pPr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- Valstybinės įmonės Lietuvos automobilių kelių direkcijos direktoriaus 2021 m. vasario 25 d. įsakymą Nr. VE-23  „Dėl kelių priežiūros ir plėtros programos finansavimo lėšų savivaldybių institucijų valdomiems vietinės reikšmės keliams paskirstymo 2021 metais“, Lietuvos Respublikos švietimo, mokslo ir sporto ministro 2021 m. kovo 9 d. įsakymą Nr. V-376 „Dėl lėšų, skirtų įsteigti naujas mokytojų padėjėjų pareigybes savivaldybėse ir valstybinėse mokyklose 2021 metais, apskaičiavimo ir paskirstymo“, kuriais Raseinių rajonui skiriamos  Valstybės biudžeto  lėšos iš viso  1 439 230  eurų;</w:t>
            </w:r>
          </w:p>
          <w:p>
            <w:pPr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-  gavus Raseinių švietimo pagalbos tarnybos  prašymą skirti 1500 eur  prisidėjimui prie ES lėšomis vykdomo projekto „Judėsiu – sau padėsiu“;</w:t>
            </w:r>
          </w:p>
          <w:p>
            <w:pPr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- gavus Raseinių rajono kultūros centro prašymą skirti 8000 eurų ilgalaikio turo remontui, nes RRKC Sujainiuose dėl užlietų ir netinkamų naudoti pastato patalpų tenka persikraustyti į seniūnijos pastate esančias patalpas, kurioms reikalingas remontas;</w:t>
            </w:r>
          </w:p>
          <w:p>
            <w:pPr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- gavus Socialinės paramos skyriaus prašymą perskirstyti lėšas tarp skyriaus kuruojamų priemonių; </w:t>
            </w:r>
          </w:p>
          <w:p>
            <w:pPr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-   gavus    seniūnų prašymus perkelti lėšas tarp jų kuruojamų priemonių;</w:t>
            </w:r>
          </w:p>
          <w:p>
            <w:pPr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- gavus Vietinio ūkio ir turto valdymo skyriaus prašymą perkelti lėšas tarp jų kuruojamų priemonių;</w:t>
            </w:r>
          </w:p>
          <w:p>
            <w:pPr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- gavus Strateginio planavimo ir projektų valdymo skyriaus prašymus perskirstyti lėšas tarp projektų;</w:t>
            </w:r>
          </w:p>
          <w:p>
            <w:pPr>
              <w:ind w:firstLine="124"/>
              <w:jc w:val="both"/>
              <w:rPr>
                <w:color w:val="000000"/>
                <w:szCs w:val="24"/>
                <w:lang w:eastAsia="lt-LT"/>
              </w:rPr>
            </w:pPr>
          </w:p>
        </w:tc>
      </w:tr>
      <w:tr>
        <w:trPr>
          <w:trHeight w:hRule="exact" w:val="397"/>
        </w:trPr>
        <w:tc>
          <w:tcPr>
            <w:tcW w:w="9740" w:type="dxa"/>
            <w:vAlign w:val="center"/>
          </w:tcPr>
          <w:p>
            <w:pPr>
              <w:spacing w:line="360" w:lineRule="auto"/>
              <w:ind w:firstLine="540"/>
              <w:rPr>
                <w:b/>
                <w:bCs/>
                <w:iCs/>
                <w:szCs w:val="24"/>
                <w:lang w:eastAsia="lt-LT"/>
              </w:rPr>
            </w:pPr>
            <w:r>
              <w:rPr>
                <w:b/>
                <w:bCs/>
                <w:iCs/>
                <w:szCs w:val="24"/>
                <w:lang w:eastAsia="lt-LT"/>
              </w:rPr>
              <w:t>2. Kokių pozityvių rezultatų laukiama.</w:t>
            </w:r>
          </w:p>
        </w:tc>
      </w:tr>
      <w:tr>
        <w:tc>
          <w:tcPr>
            <w:tcW w:w="9740" w:type="dxa"/>
          </w:tcPr>
          <w:p>
            <w:pPr>
              <w:tabs>
                <w:tab w:val="left" w:pos="1083"/>
              </w:tabs>
              <w:spacing w:line="276" w:lineRule="auto"/>
              <w:ind w:firstLine="57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>
              <w:rPr>
                <w:rFonts w:eastAsia="Calibri"/>
                <w:bCs/>
                <w:iCs/>
                <w:sz w:val="22"/>
                <w:szCs w:val="22"/>
              </w:rPr>
              <w:t>Patikslinus planuotas biudžeto pajamas bei</w:t>
            </w:r>
            <w:r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iCs/>
                <w:sz w:val="22"/>
                <w:szCs w:val="22"/>
              </w:rPr>
              <w:t>asignavimu</w:t>
            </w:r>
            <w:r>
              <w:rPr>
                <w:rFonts w:eastAsia="Calibri"/>
                <w:bCs/>
                <w:i/>
                <w:iCs/>
                <w:sz w:val="22"/>
                <w:szCs w:val="22"/>
              </w:rPr>
              <w:t>s –</w:t>
            </w:r>
            <w:r>
              <w:rPr>
                <w:rFonts w:eastAsia="Calibri"/>
                <w:bCs/>
                <w:iCs/>
                <w:sz w:val="22"/>
                <w:szCs w:val="22"/>
              </w:rPr>
              <w:t xml:space="preserve"> būtų racionalesnis biudžeto lėšų panaudojimas, geriau vykdomas patvirtintų programų priemonių finansavimas.</w:t>
            </w:r>
          </w:p>
        </w:tc>
      </w:tr>
      <w:tr>
        <w:trPr>
          <w:trHeight w:hRule="exact" w:val="567"/>
        </w:trPr>
        <w:tc>
          <w:tcPr>
            <w:tcW w:w="9740" w:type="dxa"/>
            <w:vAlign w:val="center"/>
          </w:tcPr>
          <w:p>
            <w:pPr>
              <w:ind w:firstLine="539"/>
              <w:rPr>
                <w:b/>
                <w:bCs/>
                <w:iCs/>
                <w:szCs w:val="24"/>
                <w:lang w:eastAsia="lt-LT"/>
              </w:rPr>
            </w:pPr>
            <w:r>
              <w:rPr>
                <w:b/>
                <w:bCs/>
                <w:iCs/>
                <w:szCs w:val="24"/>
                <w:lang w:eastAsia="lt-LT"/>
              </w:rPr>
              <w:t>3. Galimos neigiamos priimto projekto pasekmės ir kokių priemonių reikėtų imtis, kad tokių pasekmių būtų išvengta.</w:t>
            </w:r>
          </w:p>
        </w:tc>
      </w:tr>
      <w:tr>
        <w:trPr>
          <w:trHeight w:val="349"/>
        </w:trPr>
        <w:tc>
          <w:tcPr>
            <w:tcW w:w="9740" w:type="dxa"/>
          </w:tcPr>
          <w:p>
            <w:pPr>
              <w:spacing w:line="360" w:lineRule="auto"/>
              <w:ind w:firstLine="540"/>
              <w:rPr>
                <w:szCs w:val="24"/>
                <w:lang w:eastAsia="lt-LT"/>
              </w:rPr>
            </w:pPr>
            <w:r>
              <w:rPr>
                <w:rFonts w:eastAsia="Calibri"/>
                <w:szCs w:val="24"/>
              </w:rPr>
              <w:t>Galimų neigiamų pasekmių nenumatoma.</w:t>
            </w:r>
          </w:p>
        </w:tc>
      </w:tr>
      <w:tr>
        <w:trPr>
          <w:trHeight w:hRule="exact" w:val="567"/>
        </w:trPr>
        <w:tc>
          <w:tcPr>
            <w:tcW w:w="9740" w:type="dxa"/>
            <w:vAlign w:val="center"/>
          </w:tcPr>
          <w:p>
            <w:pPr>
              <w:ind w:firstLine="539"/>
              <w:rPr>
                <w:b/>
                <w:bCs/>
                <w:iCs/>
                <w:szCs w:val="24"/>
                <w:lang w:eastAsia="lt-LT"/>
              </w:rPr>
            </w:pPr>
            <w:r>
              <w:rPr>
                <w:b/>
                <w:bCs/>
                <w:iCs/>
                <w:szCs w:val="24"/>
                <w:lang w:eastAsia="lt-LT"/>
              </w:rPr>
              <w:t>4. Jeigu reikia atlikti sprendimo projekto antikorupcinį vertinimą, sprendžia projekto rengėjas, atsižvelgdamas į Teisės aktų projektų antikorupcinio vertinimo taisykles.</w:t>
            </w:r>
          </w:p>
        </w:tc>
      </w:tr>
      <w:tr>
        <w:trPr>
          <w:trHeight w:val="395"/>
        </w:trPr>
        <w:tc>
          <w:tcPr>
            <w:tcW w:w="9740" w:type="dxa"/>
          </w:tcPr>
          <w:p>
            <w:pPr>
              <w:spacing w:line="360" w:lineRule="auto"/>
              <w:ind w:firstLine="588"/>
              <w:rPr>
                <w:szCs w:val="24"/>
                <w:lang w:eastAsia="lt-LT"/>
              </w:rPr>
            </w:pPr>
            <w:r>
              <w:rPr>
                <w:rFonts w:eastAsia="Calibri"/>
                <w:szCs w:val="24"/>
              </w:rPr>
              <w:t>Pridedama antikorupcinio vertinimo pažyma.</w:t>
            </w:r>
          </w:p>
        </w:tc>
      </w:tr>
      <w:tr>
        <w:trPr>
          <w:trHeight w:hRule="exact" w:val="567"/>
        </w:trPr>
        <w:tc>
          <w:tcPr>
            <w:tcW w:w="9740" w:type="dxa"/>
          </w:tcPr>
          <w:p>
            <w:pPr>
              <w:ind w:firstLine="539"/>
              <w:rPr>
                <w:b/>
                <w:bCs/>
                <w:iCs/>
                <w:szCs w:val="24"/>
                <w:lang w:eastAsia="lt-LT"/>
              </w:rPr>
            </w:pPr>
            <w:r>
              <w:rPr>
                <w:b/>
                <w:bCs/>
                <w:iCs/>
                <w:szCs w:val="24"/>
                <w:lang w:eastAsia="lt-LT"/>
              </w:rPr>
              <w:t>5. Projekto rengimo metu gauti specialistų vertinimai ir išvados, ekonominiai apskaičiavimai (sąmatos) ir konkretūs finansavimo šaltiniai.</w:t>
            </w:r>
          </w:p>
        </w:tc>
      </w:tr>
      <w:tr>
        <w:tc>
          <w:tcPr>
            <w:tcW w:w="9740" w:type="dxa"/>
          </w:tcPr>
          <w:p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Gauti administracijos skyrių  prašymai perkelti lėšas.</w:t>
            </w:r>
          </w:p>
        </w:tc>
      </w:tr>
      <w:tr>
        <w:trPr>
          <w:trHeight w:hRule="exact" w:val="397"/>
        </w:trPr>
        <w:tc>
          <w:tcPr>
            <w:tcW w:w="9740" w:type="dxa"/>
            <w:vAlign w:val="center"/>
          </w:tcPr>
          <w:p>
            <w:pPr>
              <w:spacing w:line="360" w:lineRule="auto"/>
              <w:ind w:firstLine="540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 xml:space="preserve">6. Numatomo teisinio reguliavimo poveikio vertinimas (norminio pobūdžio teisės </w:t>
            </w:r>
          </w:p>
          <w:p>
            <w:pPr>
              <w:rPr>
                <w:sz w:val="20"/>
              </w:rPr>
            </w:pPr>
          </w:p>
          <w:p>
            <w:pPr>
              <w:spacing w:line="360" w:lineRule="auto"/>
              <w:ind w:firstLine="540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aktams)</w:t>
            </w:r>
          </w:p>
        </w:tc>
      </w:tr>
      <w:tr>
        <w:trPr>
          <w:trHeight w:hRule="exact" w:val="397"/>
        </w:trPr>
        <w:tc>
          <w:tcPr>
            <w:tcW w:w="9740" w:type="dxa"/>
            <w:vAlign w:val="center"/>
          </w:tcPr>
          <w:p>
            <w:pPr>
              <w:spacing w:line="360" w:lineRule="auto"/>
              <w:ind w:firstLine="540"/>
              <w:rPr>
                <w:b/>
                <w:szCs w:val="24"/>
                <w:lang w:eastAsia="lt-LT"/>
              </w:rPr>
            </w:pPr>
            <w:r>
              <w:rPr>
                <w:b/>
                <w:bCs/>
                <w:iCs/>
                <w:szCs w:val="24"/>
                <w:lang w:eastAsia="lt-LT"/>
              </w:rPr>
              <w:t>7. Projekto autorius ar autorių grupė.</w:t>
            </w:r>
          </w:p>
        </w:tc>
      </w:tr>
      <w:tr>
        <w:tc>
          <w:tcPr>
            <w:tcW w:w="9740" w:type="dxa"/>
          </w:tcPr>
          <w:p>
            <w:pPr>
              <w:spacing w:line="360" w:lineRule="auto"/>
              <w:ind w:firstLine="540"/>
              <w:rPr>
                <w:szCs w:val="24"/>
                <w:lang w:eastAsia="lt-LT"/>
              </w:rPr>
            </w:pPr>
            <w:r>
              <w:rPr>
                <w:rFonts w:eastAsia="Calibri"/>
                <w:szCs w:val="24"/>
              </w:rPr>
              <w:t>Raseinių rajono savivaldybės administracijos Biudžeto ir finansų analizės skyrius.</w:t>
            </w:r>
          </w:p>
        </w:tc>
      </w:tr>
    </w:tbl>
    <w:p>
      <w:pPr>
        <w:spacing w:line="360" w:lineRule="auto"/>
        <w:rPr>
          <w:bCs/>
          <w:szCs w:val="24"/>
        </w:rPr>
      </w:pPr>
    </w:p>
    <w:p>
      <w:pPr>
        <w:rPr>
          <w:sz w:val="20"/>
        </w:rPr>
      </w:pPr>
    </w:p>
    <w:p>
      <w:pPr>
        <w:spacing w:line="360" w:lineRule="auto"/>
        <w:rPr>
          <w:bCs/>
          <w:szCs w:val="24"/>
        </w:rPr>
      </w:pPr>
      <w:r>
        <w:rPr>
          <w:bCs/>
          <w:szCs w:val="24"/>
        </w:rPr>
        <w:t>Biudžeto ir finansų analizės skyriaus vedėja</w:t>
        <w:tab/>
        <w:tab/>
        <w:tab/>
        <w:t>Dalia Andriulienė</w:t>
      </w:r>
    </w:p>
    <w:p>
      <w:pPr>
        <w:rPr>
          <w:sz w:val="20"/>
        </w:rPr>
      </w:pPr>
    </w:p>
    <w:p>
      <w:pPr>
        <w:spacing w:line="360" w:lineRule="auto"/>
        <w:rPr>
          <w:rFonts w:ascii="Calibri" w:eastAsia="Calibri" w:hAnsi="Calibri"/>
          <w:sz w:val="22"/>
          <w:szCs w:val="22"/>
        </w:rPr>
      </w:pPr>
      <w:r>
        <w:rPr>
          <w:szCs w:val="24"/>
        </w:rPr>
        <w:t>(Autorius, pareigos)</w:t>
        <w:tab/>
        <w:tab/>
        <w:t>(parašas)</w:t>
        <w:tab/>
        <w:tab/>
        <w:tab/>
        <w:t>(vardas, pavardė)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67" w:footer="0" w:gutter="0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endnote>
  <w:endnote w:type="continuationSeparator" w:id="0">
    <w:p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footnote>
  <w:footnote w:type="continuationSeparator" w:id="0">
    <w:p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defaultTabStop w:val="1296"/>
  <w:hyphenationZone w:val="396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2478</Characters>
  <Application>Microsoft Office Word</Application>
  <DocSecurity>4</DocSecurity>
  <Lines>50</Lines>
  <Paragraphs>33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2021-03-15T07:05:00Z</dcterms:created>
  <dc:creator>Vilma Urbonienė</dc:creator>
  <lastModifiedBy>adlibuser</lastModifiedBy>
  <dcterms:modified xsi:type="dcterms:W3CDTF">2021-03-15T07:05:00Z</dcterms:modified>
  <revision>2</revision>
</coreProperties>
</file>