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780138ddf0840f8abd9db61415762ed"/>
        <w:lock w:val="sdtLocked"/>
        <w:richText/>
      </w:sdtPr>
      <w:sdtContent>
        <w:p>
          <w:pPr>
            <w:spacing w:line="259" w:lineRule="auto"/>
            <w:jc w:val="center"/>
            <w:rPr>
              <w:kern w:val="2"/>
              <w:sz w:val="22"/>
              <w:szCs w:val="22"/>
            </w:rPr>
          </w:pPr>
          <w:r>
            <w:rPr>
              <w:b/>
              <w:bCs/>
              <w:kern w:val="2"/>
              <w:sz w:val="22"/>
              <w:szCs w:val="22"/>
            </w:rPr>
            <w:t>PASTABOS IR PASIŪLYMAI</w:t>
          </w:r>
        </w:p>
        <w:p>
          <w:pPr>
            <w:rPr>
              <w:sz w:val="14"/>
              <w:szCs w:val="14"/>
            </w:rPr>
          </w:pPr>
        </w:p>
        <w:p>
          <w:pPr>
            <w:spacing w:line="259" w:lineRule="auto"/>
            <w:jc w:val="center"/>
            <w:rPr>
              <w:kern w:val="2"/>
              <w:sz w:val="22"/>
              <w:szCs w:val="22"/>
            </w:rPr>
          </w:pPr>
          <w:r>
            <w:rPr>
              <w:b/>
              <w:bCs/>
              <w:kern w:val="2"/>
              <w:sz w:val="22"/>
              <w:szCs w:val="22"/>
            </w:rPr>
            <w:t>Dėl  Šiaulių miesto savivaldybės tarybos sprendimo projekto Nr.</w:t>
          </w:r>
          <w:r>
            <w:rPr>
              <w:kern w:val="2"/>
              <w:sz w:val="22"/>
              <w:szCs w:val="22"/>
            </w:rPr>
            <w:t xml:space="preserve"> </w:t>
          </w:r>
          <w:r>
            <w:rPr>
              <w:b/>
              <w:bCs/>
              <w:kern w:val="2"/>
              <w:sz w:val="22"/>
              <w:szCs w:val="22"/>
            </w:rPr>
            <w:t>TSP-153</w:t>
          </w:r>
        </w:p>
        <w:p>
          <w:pPr>
            <w:rPr>
              <w:sz w:val="14"/>
              <w:szCs w:val="14"/>
            </w:rPr>
          </w:pPr>
        </w:p>
        <w:p>
          <w:pPr>
            <w:spacing w:line="259" w:lineRule="auto"/>
            <w:jc w:val="center"/>
            <w:rPr>
              <w:kern w:val="2"/>
              <w:sz w:val="22"/>
              <w:szCs w:val="22"/>
            </w:rPr>
          </w:pPr>
          <w:r>
            <w:rPr>
              <w:kern w:val="2"/>
              <w:sz w:val="22"/>
              <w:szCs w:val="22"/>
            </w:rPr>
            <w:t>2025-04-01</w:t>
          </w:r>
        </w:p>
        <w:p>
          <w:pPr>
            <w:rPr>
              <w:sz w:val="14"/>
              <w:szCs w:val="14"/>
            </w:rPr>
          </w:pPr>
        </w:p>
        <w:sdt>
          <w:sdtPr>
            <w:alias w:val="preambule"/>
            <w:tag w:val="part_2206e69a0678436e826a4ed6b789da66"/>
            <w:lock w:val="sdtLocked"/>
            <w:richText/>
          </w:sdtPr>
          <w:sdtContent>
            <w:p>
              <w:pPr>
                <w:spacing w:line="259" w:lineRule="auto"/>
                <w:jc w:val="both"/>
                <w:rPr>
                  <w:kern w:val="2"/>
                  <w:szCs w:val="24"/>
                </w:rPr>
              </w:pPr>
              <w:r>
                <w:rPr>
                  <w:kern w:val="2"/>
                  <w:szCs w:val="24"/>
                </w:rPr>
                <w:t>Vadovaudamiesi Savivaldybių administracinės priežiūros įstatymu atlikome 2025-04-04  Šiaulių miesto savivaldybės tarybos posėdžiui teikiamo sprendimo projekto Nr. TSP-153 “Dėl Šiaulių miesto savivaldybės viešosios bibliotekos nuostatų patvirtinimo“ (toliau – Sprendimo projektas).</w:t>
              </w:r>
            </w:p>
            <w:p>
              <w:pPr>
                <w:rPr>
                  <w:sz w:val="14"/>
                  <w:szCs w:val="14"/>
                </w:rPr>
              </w:pPr>
            </w:p>
          </w:sdtContent>
        </w:sdt>
        <w:sdt>
          <w:sdtPr>
            <w:alias w:val="pastraipa"/>
            <w:tag w:val="part_987e03810b7147c4bb177e72c6f8a14d"/>
            <w:lock w:val="sdtLocked"/>
            <w:richText/>
          </w:sdtPr>
          <w:sdtContent>
            <w:p>
              <w:pPr>
                <w:spacing w:line="259" w:lineRule="auto"/>
                <w:jc w:val="both"/>
                <w:rPr>
                  <w:kern w:val="2"/>
                  <w:szCs w:val="24"/>
                </w:rPr>
              </w:pPr>
              <w:r>
                <w:rPr>
                  <w:kern w:val="2"/>
                  <w:szCs w:val="24"/>
                </w:rPr>
                <w:t>Nustatyta, kad Sprendimo projektu tvirtinami Nuostatai neatitinka žemiau minimų teisės aktų nuostatų, todėl reikėtų juos tikslinti:</w:t>
              </w:r>
            </w:p>
            <w:p>
              <w:pPr>
                <w:rPr>
                  <w:sz w:val="14"/>
                  <w:szCs w:val="14"/>
                </w:rPr>
              </w:pPr>
            </w:p>
          </w:sdtContent>
        </w:sdt>
        <w:sdt>
          <w:sdtPr>
            <w:alias w:val="1 p."/>
            <w:tag w:val="part_4608d2d840fd43309ad7d3775636b9e3"/>
            <w:lock w:val="sdtLocked"/>
            <w:richText/>
          </w:sdtPr>
          <w:sdtContent>
            <w:p>
              <w:pPr>
                <w:tabs>
                  <w:tab w:val="left" w:pos="720"/>
                </w:tabs>
                <w:spacing w:line="259" w:lineRule="auto"/>
                <w:ind w:left="720" w:hanging="360"/>
                <w:jc w:val="both"/>
                <w:rPr>
                  <w:kern w:val="2"/>
                  <w:szCs w:val="24"/>
                </w:rPr>
              </w:pPr>
              <w:sdt>
                <w:sdtPr>
                  <w:alias w:val="Numeris"/>
                  <w:tag w:val="nr_4608d2d840fd43309ad7d3775636b9e3"/>
                  <w:lock w:val="sdtLocked"/>
                  <w:richText/>
                </w:sdtPr>
                <w:sdtContent>
                  <w:r>
                    <w:rPr>
                      <w:kern w:val="2"/>
                      <w:szCs w:val="24"/>
                    </w:rPr>
                    <w:t>1</w:t>
                  </w:r>
                </w:sdtContent>
              </w:sdt>
              <w:r>
                <w:rPr>
                  <w:kern w:val="2"/>
                  <w:szCs w:val="24"/>
                </w:rPr>
                <w:t>.</w:t>
                <w:tab/>
                <w:t>Nuostatų 20.13.punktas, jog  biblioteka turi teisę „suderinusi su Savininko teises ir pareigas įgyvendinančia institucija, keisti Bibliotekos padalinių darbo laiką“ riboja įstaigos vadovo kompetenciją organizuoti įstaigos ir jos teikiamų paslaugų veiklą ir jai vadovauti.</w:t>
              </w:r>
            </w:p>
            <w:p>
              <w:pPr>
                <w:rPr>
                  <w:sz w:val="14"/>
                  <w:szCs w:val="14"/>
                </w:rPr>
              </w:pPr>
            </w:p>
          </w:sdtContent>
        </w:sdt>
        <w:sdt>
          <w:sdtPr>
            <w:alias w:val="2 p."/>
            <w:tag w:val="part_aeb0c9e1ee6443ad87472b124670e4f3"/>
            <w:lock w:val="sdtLocked"/>
            <w:richText/>
          </w:sdtPr>
          <w:sdtContent>
            <w:p>
              <w:pPr>
                <w:tabs>
                  <w:tab w:val="left" w:pos="720"/>
                </w:tabs>
                <w:spacing w:line="259" w:lineRule="auto"/>
                <w:ind w:left="720" w:hanging="360"/>
                <w:jc w:val="both"/>
                <w:rPr>
                  <w:kern w:val="2"/>
                  <w:szCs w:val="24"/>
                </w:rPr>
              </w:pPr>
              <w:sdt>
                <w:sdtPr>
                  <w:alias w:val="Numeris"/>
                  <w:tag w:val="nr_aeb0c9e1ee6443ad87472b124670e4f3"/>
                  <w:lock w:val="sdtLocked"/>
                  <w:richText/>
                </w:sdtPr>
                <w:sdtContent>
                  <w:r>
                    <w:rPr>
                      <w:kern w:val="2"/>
                      <w:szCs w:val="24"/>
                    </w:rPr>
                    <w:t>2</w:t>
                  </w:r>
                </w:sdtContent>
              </w:sdt>
              <w:r>
                <w:rPr>
                  <w:kern w:val="2"/>
                  <w:szCs w:val="24"/>
                </w:rPr>
                <w:t>.</w:t>
                <w:tab/>
                <w:t>Nuostatų 21.3.p. nurodyta Bibliotekos pareiga  „teikti Savininkui veiklos planus“. Kad būtų užtikrintas Teisėkūros pagrindų įstatymo 3 str. 2 d. 6 p. įtvirtintas aiškumo principas, siūlome tiksliau nurodyti, kuriai savivaldybės institucijai  kaip atstovaujančiam savininką jie turėtų būti teikiami.</w:t>
              </w:r>
            </w:p>
            <w:p>
              <w:pPr>
                <w:rPr>
                  <w:sz w:val="14"/>
                  <w:szCs w:val="14"/>
                </w:rPr>
              </w:pPr>
            </w:p>
          </w:sdtContent>
        </w:sdt>
        <w:sdt>
          <w:sdtPr>
            <w:alias w:val="3 p."/>
            <w:tag w:val="part_40feee9732fb472ca90e2a51c8bdb766"/>
            <w:lock w:val="sdtLocked"/>
            <w:richText/>
          </w:sdtPr>
          <w:sdtContent>
            <w:p>
              <w:pPr>
                <w:tabs>
                  <w:tab w:val="left" w:pos="720"/>
                </w:tabs>
                <w:spacing w:line="259" w:lineRule="auto"/>
                <w:ind w:left="720" w:hanging="360"/>
                <w:jc w:val="both"/>
                <w:rPr>
                  <w:kern w:val="2"/>
                  <w:szCs w:val="24"/>
                </w:rPr>
              </w:pPr>
              <w:sdt>
                <w:sdtPr>
                  <w:alias w:val="Numeris"/>
                  <w:tag w:val="nr_40feee9732fb472ca90e2a51c8bdb766"/>
                  <w:lock w:val="sdtLocked"/>
                  <w:richText/>
                </w:sdtPr>
                <w:sdtContent>
                  <w:r>
                    <w:rPr>
                      <w:kern w:val="2"/>
                      <w:szCs w:val="24"/>
                    </w:rPr>
                    <w:t>3</w:t>
                  </w:r>
                </w:sdtContent>
              </w:sdt>
              <w:r>
                <w:rPr>
                  <w:kern w:val="2"/>
                  <w:szCs w:val="24"/>
                </w:rPr>
                <w:t>.</w:t>
                <w:tab/>
                <w:t>Nuostatų 23.4. punktas, jog mero kaip savininko teises ir pareigas įgyvendinančios institucijos kompetencija yra „</w:t>
              </w:r>
            </w:p>
            <w:p>
              <w:pPr>
                <w:rPr>
                  <w:sz w:val="14"/>
                  <w:szCs w:val="14"/>
                </w:rPr>
              </w:pPr>
            </w:p>
            <w:p>
              <w:pPr>
                <w:spacing w:line="259" w:lineRule="auto"/>
                <w:jc w:val="both"/>
                <w:rPr>
                  <w:kern w:val="2"/>
                  <w:szCs w:val="24"/>
                </w:rPr>
              </w:pPr>
              <w:r>
                <w:rPr>
                  <w:kern w:val="2"/>
                  <w:szCs w:val="24"/>
                </w:rPr>
                <w:t>Atitinkamai koreguotinas ir  20.7 punktas dėl bibliotekos teisės steigti ir uždaryti struktūrinius padalinius – filialus suderinimo su savininko teises ir pareigas įgyvendinančia institucija– pirma, pagal Bibliotekų įstatymo 10 str. 5 dalį gali būti steigiami filialai ir įkuriami struktūriniai padaliniai, todėl struktūrinių padalinių- filialų  sąvoka nevartotina, antra, kaip jau nurodyta aukščiau, dėl filialų skaičiaus ir jų išsidėstymo sprendimą priima taryba, ne meras, o struktūrinių padalinių įkurimas priskirtinas bibliotekos vadovo kompetencijai.</w:t>
              </w:r>
            </w:p>
            <w:p>
              <w:pPr>
                <w:rPr>
                  <w:sz w:val="14"/>
                  <w:szCs w:val="14"/>
                </w:rPr>
              </w:pPr>
            </w:p>
          </w:sdtContent>
        </w:sdt>
        <w:sdt>
          <w:sdtPr>
            <w:alias w:val="4 p."/>
            <w:tag w:val="part_45ec177760864e3ba41b05feadde8fc1"/>
            <w:lock w:val="sdtLocked"/>
            <w:richText/>
          </w:sdtPr>
          <w:sdtContent>
            <w:p>
              <w:pPr>
                <w:tabs>
                  <w:tab w:val="left" w:pos="720"/>
                </w:tabs>
                <w:spacing w:line="259" w:lineRule="auto"/>
                <w:ind w:left="720" w:hanging="360"/>
                <w:jc w:val="both"/>
                <w:rPr>
                  <w:kern w:val="2"/>
                  <w:szCs w:val="24"/>
                </w:rPr>
              </w:pPr>
              <w:sdt>
                <w:sdtPr>
                  <w:alias w:val="Numeris"/>
                  <w:tag w:val="nr_45ec177760864e3ba41b05feadde8fc1"/>
                  <w:lock w:val="sdtLocked"/>
                  <w:richText/>
                </w:sdtPr>
                <w:sdtContent>
                  <w:r>
                    <w:rPr>
                      <w:kern w:val="2"/>
                      <w:szCs w:val="24"/>
                    </w:rPr>
                    <w:t>4</w:t>
                  </w:r>
                </w:sdtContent>
              </w:sdt>
              <w:r>
                <w:rPr>
                  <w:kern w:val="2"/>
                  <w:szCs w:val="24"/>
                </w:rPr>
                <w:t>.</w:t>
                <w:tab/>
                <w:t>Nuostatų 23.2 punkte nustatoma, jog mero kompetencija yra nustatyti maksimalų etatų skaičių. Pakartotinai pažymime kaip jau ne kartą žodžiu ir raštu esame nurodę ir dėl analogiškos Šiaulių miesto savivaldybės tarybos sprendimo nuostatos vyksta teisminis ginčas, kad nei Vietos savivaldos įstatymo nei Biudžetinių įstaigų įstatymo nuostatos nesuteikia teisės Merui nustatyti maksimalų etatų skaičių įstaigose.</w:t>
              </w:r>
            </w:p>
            <w:p>
              <w:pPr>
                <w:rPr>
                  <w:sz w:val="14"/>
                  <w:szCs w:val="14"/>
                </w:rPr>
              </w:pPr>
            </w:p>
          </w:sdtContent>
        </w:sdt>
        <w:sdt>
          <w:sdtPr>
            <w:alias w:val="5 p."/>
            <w:tag w:val="part_c225fe7c59a24e9c9d574683cb4e219f"/>
            <w:lock w:val="sdtLocked"/>
            <w:richText/>
          </w:sdtPr>
          <w:sdtContent>
            <w:p>
              <w:pPr>
                <w:tabs>
                  <w:tab w:val="left" w:pos="720"/>
                </w:tabs>
                <w:spacing w:line="259" w:lineRule="auto"/>
                <w:ind w:left="720" w:hanging="360"/>
                <w:jc w:val="both"/>
                <w:rPr>
                  <w:kern w:val="2"/>
                  <w:szCs w:val="24"/>
                </w:rPr>
              </w:pPr>
              <w:sdt>
                <w:sdtPr>
                  <w:alias w:val="Numeris"/>
                  <w:tag w:val="nr_c225fe7c59a24e9c9d574683cb4e219f"/>
                  <w:lock w:val="sdtLocked"/>
                  <w:richText/>
                </w:sdtPr>
                <w:sdtContent>
                  <w:r>
                    <w:rPr>
                      <w:kern w:val="2"/>
                      <w:szCs w:val="24"/>
                    </w:rPr>
                    <w:t>5</w:t>
                  </w:r>
                </w:sdtContent>
              </w:sdt>
              <w:r>
                <w:rPr>
                  <w:kern w:val="2"/>
                  <w:szCs w:val="24"/>
                </w:rPr>
                <w:t>.</w:t>
                <w:tab/>
                <w:t>Nuostatų 25 p. dėl įstaigos direktoriaus  skyrimo be konkurso 2 kadencijai„&lt;..&gt; jeigu jo eitos kadencijos metu visuose kasmetiniuose veiklos vertinimuose jo metų veikla buvo įvertinta gerai arba labai gerai. &lt;..&gt;“.  Pažymėtina, kad pagal Lietuvos Respublikos biudžetinių įstaigų darbuotojų darbo apmokėjimo ir komisijų narių atlygio už darbą įstatymą kasmetiniuose veiklos vertinimuose veikla turėtų būti įvertinta atitinka lūkesčius arba viršija lūkesčius, taip numatyta ir Bibliotekų įstatymo 6/1 str. 2/1  dalyje. (išskyrus veiklos vertinimus iki 2023 metų)</w:t>
              </w:r>
            </w:p>
            <w:p>
              <w:pPr>
                <w:rPr>
                  <w:sz w:val="14"/>
                  <w:szCs w:val="14"/>
                </w:rPr>
              </w:pPr>
            </w:p>
          </w:sdtContent>
        </w:sdt>
        <w:sdt>
          <w:sdtPr>
            <w:alias w:val="6 p."/>
            <w:tag w:val="part_ca021ca0a924473c91699f7702e07d70"/>
            <w:lock w:val="sdtLocked"/>
            <w:richText/>
          </w:sdtPr>
          <w:sdtContent>
            <w:p>
              <w:pPr>
                <w:tabs>
                  <w:tab w:val="left" w:pos="720"/>
                </w:tabs>
                <w:spacing w:line="259" w:lineRule="auto"/>
                <w:ind w:left="720" w:hanging="360"/>
                <w:jc w:val="both"/>
                <w:rPr>
                  <w:kern w:val="2"/>
                  <w:szCs w:val="24"/>
                </w:rPr>
              </w:pPr>
              <w:sdt>
                <w:sdtPr>
                  <w:alias w:val="Numeris"/>
                  <w:tag w:val="nr_ca021ca0a924473c91699f7702e07d70"/>
                  <w:lock w:val="sdtLocked"/>
                  <w:richText/>
                </w:sdtPr>
                <w:sdtContent>
                  <w:r>
                    <w:rPr>
                      <w:kern w:val="2"/>
                      <w:szCs w:val="24"/>
                    </w:rPr>
                    <w:t>6</w:t>
                  </w:r>
                </w:sdtContent>
              </w:sdt>
              <w:r>
                <w:rPr>
                  <w:kern w:val="2"/>
                  <w:szCs w:val="24"/>
                </w:rPr>
                <w:t>.</w:t>
                <w:tab/>
                <w:t xml:space="preserve">Nuostatų 26 p. „&lt;..&gt; Dėl direktoriaus atšaukimo iš pareigų priimamas mero potvarkis, manome, kad šiame punkte ir Nuostatų projekto kituose punktuose nėra atšaukimo tvarkos kaip to reikalauja  Darbo kodekso 104 str. 1 d. („Be šiame kodekse ar kituose įstatymuose nustatytų darbo sutarties pasibaigimo pagrindų, darbo sutartis su juridinio asmens vadovu pasibaigia atšaukus juridinio asmens vadovą įstatymuose arba </w:t>
              </w:r>
              <w:r>
                <w:rPr>
                  <w:i/>
                  <w:iCs/>
                  <w:kern w:val="2"/>
                  <w:szCs w:val="24"/>
                </w:rPr>
                <w:t>steigimo dokumentuose nustatyta tvarka</w:t>
              </w:r>
              <w:r>
                <w:rPr>
                  <w:kern w:val="2"/>
                  <w:szCs w:val="24"/>
                </w:rPr>
                <w:t>“), o minėto punkto nuostata, kad „Dėl direktoriaus atšaukimo iš pareigų priimamas Savivaldybės mero potvarkis“ nėra laikytinas atšaukimo tvarka, o tik nurodytas sprendimą dėl atšaukimo priimantis subjektas, kuriuo niekas kitas nei savivaldybės meras pagal teisės aktus būti negali.</w:t>
              </w:r>
            </w:p>
            <w:p>
              <w:pPr>
                <w:rPr>
                  <w:sz w:val="14"/>
                  <w:szCs w:val="14"/>
                </w:rPr>
              </w:pPr>
            </w:p>
            <w:p>
              <w:pPr>
                <w:spacing w:line="259" w:lineRule="auto"/>
                <w:jc w:val="both"/>
                <w:rPr>
                  <w:kern w:val="2"/>
                  <w:szCs w:val="24"/>
                </w:rPr>
              </w:pPr>
              <w:r>
                <w:rPr>
                  <w:kern w:val="2"/>
                  <w:szCs w:val="24"/>
                </w:rPr>
                <w:t>Nuostatų 26 punkte nurodoma, kad direktorius gali būti atšaukiamas iš pareigų praradus pasitikėjimą juo. Pastebėtina tai, kad toks neapibrėžtas jokiomis sąlygomis/kriterijais konkurso būdu ir  5 metų kadencijai paskirto vadovo atšaukimo iš pareigų pagrindas kelia abejonių dėl vadovo teisėtų lūkesčių, o siekiant išspręsti 2024 metais kilusią švietimo įstaigų vadovų atšaukimo problemą Švietimo įstatymas buvo papildytas nuostatomis, kad švietimo įstaigos vadovo atšaukimas galimas tik jeigu vadovas praranda Švietimo įstatyme nurodytą nepriekaištingą reputaciją arba konkursui nuslėpė arba pateikė tikrovės neatitinkančius  duomenis.</w:t>
              </w:r>
            </w:p>
            <w:p>
              <w:pPr>
                <w:rPr>
                  <w:sz w:val="14"/>
                  <w:szCs w:val="14"/>
                </w:rPr>
              </w:pPr>
            </w:p>
          </w:sdtContent>
        </w:sdt>
        <w:sdt>
          <w:sdtPr>
            <w:alias w:val="7 p."/>
            <w:tag w:val="part_7629f083b847448c9be487f459214bed"/>
            <w:lock w:val="sdtLocked"/>
            <w:richText/>
          </w:sdtPr>
          <w:sdtContent>
            <w:p>
              <w:pPr>
                <w:tabs>
                  <w:tab w:val="left" w:pos="720"/>
                </w:tabs>
                <w:spacing w:line="259" w:lineRule="auto"/>
                <w:ind w:left="720" w:hanging="360"/>
                <w:jc w:val="both"/>
                <w:rPr>
                  <w:kern w:val="2"/>
                  <w:szCs w:val="24"/>
                </w:rPr>
              </w:pPr>
              <w:sdt>
                <w:sdtPr>
                  <w:alias w:val="Numeris"/>
                  <w:tag w:val="nr_7629f083b847448c9be487f459214bed"/>
                  <w:lock w:val="sdtLocked"/>
                  <w:richText/>
                </w:sdtPr>
                <w:sdtContent>
                  <w:r>
                    <w:rPr>
                      <w:kern w:val="2"/>
                      <w:szCs w:val="24"/>
                    </w:rPr>
                    <w:t>7</w:t>
                  </w:r>
                </w:sdtContent>
              </w:sdt>
              <w:r>
                <w:rPr>
                  <w:kern w:val="2"/>
                  <w:szCs w:val="24"/>
                </w:rPr>
                <w:t>.</w:t>
                <w:tab/>
                <w:t>Pažymėtina, kad pagal Biudžetinių įstaigų įstatymą yra galima tik 1 biudžetinės įstaigos savininko teises ir pareigas įgyvendinanti institucija – savivaldybės vykdomoji institucija (meras), išskyrus tiek, kiek tam tikra su biudžetine įstaiga susijusi išimtinė tarybos kompetencija nepriskirta savivaldybės tarybai. Taigi, savivaldybės taryba nelaikytina savininko teises ir pareigas įgyvendinančia institucija. Nuostatų projekto 23 ir 24 punktuose yra nurodytos 2 savininko teises ir pareigas įgyvendinančios institucijos, todėl iš 24 punkto  (bei 44 punkto) brauktini žodžiai „savininko teises ir pareigas įgyvendinanti institucija“ paliekant tik savivaldybės atstovaujamosios institucijos - tarybos kompetenciją. Tai išspręstų ir Nuostatų kai kuriuose punktuose kylantį neaiškumą, kas laikytina savininko teises ir pareigas įgyvendinančia institucija- meras ar taryba (pvz. neaišku, apie kurią jų kalbama Nuostatų projekto 20.7, 20.13, 27.6, 42 punktuose.  Atsižvelgiant į tai, kas pateikta aukščiau, siūlome tikslinti Nuostatus, kad jie atitiktų šiuo metu galiojantį teisinį reglamentavimą.</w:t>
              </w:r>
            </w:p>
            <w:p>
              <w:pPr>
                <w:rPr>
                  <w:sz w:val="14"/>
                  <w:szCs w:val="14"/>
                </w:rPr>
              </w:pPr>
            </w:p>
            <w:p>
              <w:pPr>
                <w:spacing w:line="259" w:lineRule="auto"/>
                <w:jc w:val="both"/>
                <w:rPr>
                  <w:kern w:val="2"/>
                  <w:szCs w:val="24"/>
                </w:rPr>
              </w:pPr>
            </w:p>
            <w:p>
              <w:pPr>
                <w:rPr>
                  <w:sz w:val="14"/>
                  <w:szCs w:val="14"/>
                </w:rPr>
              </w:pPr>
            </w:p>
            <w:p>
              <w:pPr>
                <w:spacing w:line="259" w:lineRule="auto"/>
                <w:jc w:val="both"/>
                <w:rPr>
                  <w:kern w:val="2"/>
                  <w:szCs w:val="24"/>
                </w:rPr>
              </w:pPr>
            </w:p>
            <w:p>
              <w:pPr>
                <w:rPr>
                  <w:sz w:val="14"/>
                  <w:szCs w:val="14"/>
                </w:rPr>
              </w:pPr>
            </w:p>
            <w:p>
              <w:pPr>
                <w:spacing w:line="259" w:lineRule="auto"/>
                <w:jc w:val="both"/>
                <w:rPr>
                  <w:kern w:val="2"/>
                  <w:szCs w:val="24"/>
                </w:rPr>
              </w:pPr>
            </w:p>
            <w:p>
              <w:pPr>
                <w:rPr>
                  <w:sz w:val="14"/>
                  <w:szCs w:val="14"/>
                </w:rPr>
              </w:pPr>
            </w:p>
          </w:sdtContent>
        </w:sdt>
        <w:sdt>
          <w:sdtPr>
            <w:alias w:val="signatura"/>
            <w:tag w:val="part_57328dc58b1348b3a06e5b30627d53a2"/>
            <w:lock w:val="sdtLocked"/>
            <w:richText/>
          </w:sdtPr>
          <w:sdtContent>
            <w:p>
              <w:pPr>
                <w:spacing w:line="259" w:lineRule="auto"/>
                <w:jc w:val="both"/>
                <w:rPr>
                  <w:kern w:val="2"/>
                  <w:szCs w:val="24"/>
                </w:rPr>
              </w:pPr>
              <w:r>
                <w:rPr>
                  <w:kern w:val="2"/>
                  <w:szCs w:val="24"/>
                </w:rPr>
                <w:t>Vyriausybės atstovas Šiaulių ir Telšių apskrityse                                                 Rimvydas Pilibaitis</w:t>
              </w:r>
            </w:p>
            <w:p>
              <w:pPr>
                <w:rPr>
                  <w:sz w:val="14"/>
                  <w:szCs w:val="14"/>
                </w:rPr>
              </w:pPr>
            </w:p>
            <w:p>
              <w:pPr>
                <w:spacing w:line="259" w:lineRule="auto"/>
                <w:jc w:val="center"/>
                <w:rPr>
                  <w:kern w:val="2"/>
                  <w:sz w:val="22"/>
                  <w:szCs w:val="22"/>
                </w:rPr>
              </w:pPr>
            </w:p>
            <w:p>
              <w:pPr>
                <w:rPr>
                  <w:sz w:val="14"/>
                  <w:szCs w:val="14"/>
                </w:rPr>
              </w:pPr>
            </w:p>
            <w:p>
              <w:pPr>
                <w:spacing w:line="259" w:lineRule="auto"/>
                <w:jc w:val="center"/>
                <w:rPr>
                  <w:kern w:val="2"/>
                  <w:sz w:val="22"/>
                  <w:szCs w:val="22"/>
                </w:rPr>
              </w:pPr>
            </w:p>
            <w:p>
              <w:pPr>
                <w:rPr>
                  <w:sz w:val="14"/>
                  <w:szCs w:val="14"/>
                </w:rPr>
              </w:pPr>
            </w:p>
            <w:p>
              <w:pPr>
                <w:spacing w:line="259" w:lineRule="auto"/>
                <w:jc w:val="center"/>
                <w:rPr>
                  <w:kern w:val="2"/>
                  <w:sz w:val="22"/>
                  <w:szCs w:val="22"/>
                </w:rPr>
              </w:pPr>
            </w:p>
            <w:p>
              <w:pPr>
                <w:rPr>
                  <w:sz w:val="14"/>
                  <w:szCs w:val="14"/>
                </w:rPr>
              </w:pPr>
            </w:p>
            <w:p>
              <w:pPr>
                <w:spacing w:line="259" w:lineRule="auto"/>
                <w:jc w:val="center"/>
                <w:rPr>
                  <w:kern w:val="2"/>
                  <w:sz w:val="22"/>
                  <w:szCs w:val="22"/>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4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C35FAC-41D5-496B-932E-6764E24608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66350558">
      <w:bodyDiv w:val="1"/>
      <w:marLeft w:val="0"/>
      <w:marRight w:val="0"/>
      <w:marTop w:val="0"/>
      <w:marBottom w:val="0"/>
      <w:divBdr>
        <w:top w:val="none" w:sz="0" w:space="0" w:color="auto"/>
        <w:left w:val="none" w:sz="0" w:space="0" w:color="auto"/>
        <w:bottom w:val="none" w:sz="0" w:space="0" w:color="auto"/>
        <w:right w:val="none" w:sz="0" w:space="0" w:color="auto"/>
      </w:divBdr>
      <w:divsChild>
        <w:div w:id="297031943">
          <w:marLeft w:val="0"/>
          <w:marRight w:val="0"/>
          <w:marTop w:val="0"/>
          <w:marBottom w:val="0"/>
          <w:divBdr>
            <w:top w:val="none" w:sz="0" w:space="0" w:color="auto"/>
            <w:left w:val="none" w:sz="0" w:space="0" w:color="auto"/>
            <w:bottom w:val="none" w:sz="0" w:space="0" w:color="auto"/>
            <w:right w:val="none" w:sz="0" w:space="0" w:color="auto"/>
          </w:divBdr>
          <w:divsChild>
            <w:div w:id="1519347375">
              <w:marLeft w:val="0"/>
              <w:marRight w:val="0"/>
              <w:marTop w:val="0"/>
              <w:marBottom w:val="0"/>
              <w:divBdr>
                <w:top w:val="none" w:sz="0" w:space="0" w:color="auto"/>
                <w:left w:val="none" w:sz="0" w:space="0" w:color="auto"/>
                <w:bottom w:val="none" w:sz="0" w:space="0" w:color="auto"/>
                <w:right w:val="none" w:sz="0" w:space="0" w:color="auto"/>
              </w:divBdr>
            </w:div>
            <w:div w:id="1685283689">
              <w:marLeft w:val="0"/>
              <w:marRight w:val="0"/>
              <w:marTop w:val="0"/>
              <w:marBottom w:val="0"/>
              <w:divBdr>
                <w:top w:val="none" w:sz="0" w:space="0" w:color="auto"/>
                <w:left w:val="none" w:sz="0" w:space="0" w:color="auto"/>
                <w:bottom w:val="none" w:sz="0" w:space="0" w:color="auto"/>
                <w:right w:val="none" w:sz="0" w:space="0" w:color="auto"/>
              </w:divBdr>
            </w:div>
            <w:div w:id="1570771706">
              <w:marLeft w:val="0"/>
              <w:marRight w:val="0"/>
              <w:marTop w:val="0"/>
              <w:marBottom w:val="0"/>
              <w:divBdr>
                <w:top w:val="none" w:sz="0" w:space="0" w:color="auto"/>
                <w:left w:val="none" w:sz="0" w:space="0" w:color="auto"/>
                <w:bottom w:val="none" w:sz="0" w:space="0" w:color="auto"/>
                <w:right w:val="none" w:sz="0" w:space="0" w:color="auto"/>
              </w:divBdr>
            </w:div>
            <w:div w:id="262222776">
              <w:marLeft w:val="0"/>
              <w:marRight w:val="0"/>
              <w:marTop w:val="0"/>
              <w:marBottom w:val="0"/>
              <w:divBdr>
                <w:top w:val="none" w:sz="0" w:space="0" w:color="auto"/>
                <w:left w:val="none" w:sz="0" w:space="0" w:color="auto"/>
                <w:bottom w:val="none" w:sz="0" w:space="0" w:color="auto"/>
                <w:right w:val="none" w:sz="0" w:space="0" w:color="auto"/>
              </w:divBdr>
            </w:div>
            <w:div w:id="581182963">
              <w:marLeft w:val="0"/>
              <w:marRight w:val="0"/>
              <w:marTop w:val="0"/>
              <w:marBottom w:val="0"/>
              <w:divBdr>
                <w:top w:val="none" w:sz="0" w:space="0" w:color="auto"/>
                <w:left w:val="none" w:sz="0" w:space="0" w:color="auto"/>
                <w:bottom w:val="none" w:sz="0" w:space="0" w:color="auto"/>
                <w:right w:val="none" w:sz="0" w:space="0" w:color="auto"/>
              </w:divBdr>
            </w:div>
            <w:div w:id="806321575">
              <w:marLeft w:val="0"/>
              <w:marRight w:val="0"/>
              <w:marTop w:val="0"/>
              <w:marBottom w:val="0"/>
              <w:divBdr>
                <w:top w:val="none" w:sz="0" w:space="0" w:color="auto"/>
                <w:left w:val="none" w:sz="0" w:space="0" w:color="auto"/>
                <w:bottom w:val="none" w:sz="0" w:space="0" w:color="auto"/>
                <w:right w:val="none" w:sz="0" w:space="0" w:color="auto"/>
              </w:divBdr>
            </w:div>
            <w:div w:id="1852521963">
              <w:marLeft w:val="0"/>
              <w:marRight w:val="0"/>
              <w:marTop w:val="0"/>
              <w:marBottom w:val="0"/>
              <w:divBdr>
                <w:top w:val="none" w:sz="0" w:space="0" w:color="auto"/>
                <w:left w:val="none" w:sz="0" w:space="0" w:color="auto"/>
                <w:bottom w:val="none" w:sz="0" w:space="0" w:color="auto"/>
                <w:right w:val="none" w:sz="0" w:space="0" w:color="auto"/>
              </w:divBdr>
            </w:div>
            <w:div w:id="1359306938">
              <w:marLeft w:val="0"/>
              <w:marRight w:val="0"/>
              <w:marTop w:val="0"/>
              <w:marBottom w:val="0"/>
              <w:divBdr>
                <w:top w:val="none" w:sz="0" w:space="0" w:color="auto"/>
                <w:left w:val="none" w:sz="0" w:space="0" w:color="auto"/>
                <w:bottom w:val="none" w:sz="0" w:space="0" w:color="auto"/>
                <w:right w:val="none" w:sz="0" w:space="0" w:color="auto"/>
              </w:divBdr>
            </w:div>
            <w:div w:id="1745831165">
              <w:marLeft w:val="0"/>
              <w:marRight w:val="0"/>
              <w:marTop w:val="0"/>
              <w:marBottom w:val="0"/>
              <w:divBdr>
                <w:top w:val="none" w:sz="0" w:space="0" w:color="auto"/>
                <w:left w:val="none" w:sz="0" w:space="0" w:color="auto"/>
                <w:bottom w:val="none" w:sz="0" w:space="0" w:color="auto"/>
                <w:right w:val="none" w:sz="0" w:space="0" w:color="auto"/>
              </w:divBdr>
            </w:div>
            <w:div w:id="865796782">
              <w:marLeft w:val="0"/>
              <w:marRight w:val="0"/>
              <w:marTop w:val="0"/>
              <w:marBottom w:val="0"/>
              <w:divBdr>
                <w:top w:val="none" w:sz="0" w:space="0" w:color="auto"/>
                <w:left w:val="none" w:sz="0" w:space="0" w:color="auto"/>
                <w:bottom w:val="none" w:sz="0" w:space="0" w:color="auto"/>
                <w:right w:val="none" w:sz="0" w:space="0" w:color="auto"/>
              </w:divBdr>
            </w:div>
            <w:div w:id="1587038485">
              <w:marLeft w:val="0"/>
              <w:marRight w:val="0"/>
              <w:marTop w:val="0"/>
              <w:marBottom w:val="0"/>
              <w:divBdr>
                <w:top w:val="none" w:sz="0" w:space="0" w:color="auto"/>
                <w:left w:val="none" w:sz="0" w:space="0" w:color="auto"/>
                <w:bottom w:val="none" w:sz="0" w:space="0" w:color="auto"/>
                <w:right w:val="none" w:sz="0" w:space="0" w:color="auto"/>
              </w:divBdr>
            </w:div>
            <w:div w:id="214046614">
              <w:marLeft w:val="0"/>
              <w:marRight w:val="0"/>
              <w:marTop w:val="0"/>
              <w:marBottom w:val="0"/>
              <w:divBdr>
                <w:top w:val="none" w:sz="0" w:space="0" w:color="auto"/>
                <w:left w:val="none" w:sz="0" w:space="0" w:color="auto"/>
                <w:bottom w:val="none" w:sz="0" w:space="0" w:color="auto"/>
                <w:right w:val="none" w:sz="0" w:space="0" w:color="auto"/>
              </w:divBdr>
            </w:div>
            <w:div w:id="1386414413">
              <w:marLeft w:val="0"/>
              <w:marRight w:val="0"/>
              <w:marTop w:val="0"/>
              <w:marBottom w:val="0"/>
              <w:divBdr>
                <w:top w:val="none" w:sz="0" w:space="0" w:color="auto"/>
                <w:left w:val="none" w:sz="0" w:space="0" w:color="auto"/>
                <w:bottom w:val="none" w:sz="0" w:space="0" w:color="auto"/>
                <w:right w:val="none" w:sz="0" w:space="0" w:color="auto"/>
              </w:divBdr>
            </w:div>
            <w:div w:id="1441533964">
              <w:marLeft w:val="0"/>
              <w:marRight w:val="0"/>
              <w:marTop w:val="0"/>
              <w:marBottom w:val="0"/>
              <w:divBdr>
                <w:top w:val="none" w:sz="0" w:space="0" w:color="auto"/>
                <w:left w:val="none" w:sz="0" w:space="0" w:color="auto"/>
                <w:bottom w:val="none" w:sz="0" w:space="0" w:color="auto"/>
                <w:right w:val="none" w:sz="0" w:space="0" w:color="auto"/>
              </w:divBdr>
            </w:div>
            <w:div w:id="599411808">
              <w:marLeft w:val="0"/>
              <w:marRight w:val="0"/>
              <w:marTop w:val="0"/>
              <w:marBottom w:val="0"/>
              <w:divBdr>
                <w:top w:val="none" w:sz="0" w:space="0" w:color="auto"/>
                <w:left w:val="none" w:sz="0" w:space="0" w:color="auto"/>
                <w:bottom w:val="none" w:sz="0" w:space="0" w:color="auto"/>
                <w:right w:val="none" w:sz="0" w:space="0" w:color="auto"/>
              </w:divBdr>
            </w:div>
            <w:div w:id="643849626">
              <w:marLeft w:val="0"/>
              <w:marRight w:val="0"/>
              <w:marTop w:val="0"/>
              <w:marBottom w:val="0"/>
              <w:divBdr>
                <w:top w:val="none" w:sz="0" w:space="0" w:color="auto"/>
                <w:left w:val="none" w:sz="0" w:space="0" w:color="auto"/>
                <w:bottom w:val="none" w:sz="0" w:space="0" w:color="auto"/>
                <w:right w:val="none" w:sz="0" w:space="0" w:color="auto"/>
              </w:divBdr>
            </w:div>
            <w:div w:id="152450124">
              <w:marLeft w:val="0"/>
              <w:marRight w:val="0"/>
              <w:marTop w:val="0"/>
              <w:marBottom w:val="0"/>
              <w:divBdr>
                <w:top w:val="none" w:sz="0" w:space="0" w:color="auto"/>
                <w:left w:val="none" w:sz="0" w:space="0" w:color="auto"/>
                <w:bottom w:val="none" w:sz="0" w:space="0" w:color="auto"/>
                <w:right w:val="none" w:sz="0" w:space="0" w:color="auto"/>
              </w:divBdr>
            </w:div>
            <w:div w:id="1743334915">
              <w:marLeft w:val="0"/>
              <w:marRight w:val="0"/>
              <w:marTop w:val="0"/>
              <w:marBottom w:val="0"/>
              <w:divBdr>
                <w:top w:val="none" w:sz="0" w:space="0" w:color="auto"/>
                <w:left w:val="none" w:sz="0" w:space="0" w:color="auto"/>
                <w:bottom w:val="none" w:sz="0" w:space="0" w:color="auto"/>
                <w:right w:val="none" w:sz="0" w:space="0" w:color="auto"/>
              </w:divBdr>
            </w:div>
            <w:div w:id="1137719210">
              <w:marLeft w:val="0"/>
              <w:marRight w:val="0"/>
              <w:marTop w:val="0"/>
              <w:marBottom w:val="0"/>
              <w:divBdr>
                <w:top w:val="none" w:sz="0" w:space="0" w:color="auto"/>
                <w:left w:val="none" w:sz="0" w:space="0" w:color="auto"/>
                <w:bottom w:val="none" w:sz="0" w:space="0" w:color="auto"/>
                <w:right w:val="none" w:sz="0" w:space="0" w:color="auto"/>
              </w:divBdr>
            </w:div>
          </w:divsChild>
        </w:div>
        <w:div w:id="1973755279">
          <w:marLeft w:val="0"/>
          <w:marRight w:val="0"/>
          <w:marTop w:val="0"/>
          <w:marBottom w:val="0"/>
          <w:divBdr>
            <w:top w:val="none" w:sz="0" w:space="0" w:color="auto"/>
            <w:left w:val="none" w:sz="0" w:space="0" w:color="auto"/>
            <w:bottom w:val="none" w:sz="0" w:space="0" w:color="auto"/>
            <w:right w:val="none" w:sz="0" w:space="0" w:color="auto"/>
          </w:divBdr>
        </w:div>
        <w:div w:id="342977670">
          <w:marLeft w:val="0"/>
          <w:marRight w:val="0"/>
          <w:marTop w:val="0"/>
          <w:marBottom w:val="0"/>
          <w:divBdr>
            <w:top w:val="none" w:sz="0" w:space="0" w:color="auto"/>
            <w:left w:val="none" w:sz="0" w:space="0" w:color="auto"/>
            <w:bottom w:val="none" w:sz="0" w:space="0" w:color="auto"/>
            <w:right w:val="none" w:sz="0" w:space="0" w:color="auto"/>
          </w:divBdr>
        </w:div>
      </w:divsChild>
    </w:div>
    <w:div w:id="2129085265">
      <w:bodyDiv w:val="1"/>
      <w:marLeft w:val="0"/>
      <w:marRight w:val="0"/>
      <w:marTop w:val="0"/>
      <w:marBottom w:val="0"/>
      <w:divBdr>
        <w:top w:val="none" w:sz="0" w:space="0" w:color="auto"/>
        <w:left w:val="none" w:sz="0" w:space="0" w:color="auto"/>
        <w:bottom w:val="none" w:sz="0" w:space="0" w:color="auto"/>
        <w:right w:val="none" w:sz="0" w:space="0" w:color="auto"/>
      </w:divBdr>
      <w:divsChild>
        <w:div w:id="43523626">
          <w:marLeft w:val="0"/>
          <w:marRight w:val="0"/>
          <w:marTop w:val="0"/>
          <w:marBottom w:val="0"/>
          <w:divBdr>
            <w:top w:val="none" w:sz="0" w:space="0" w:color="auto"/>
            <w:left w:val="none" w:sz="0" w:space="0" w:color="auto"/>
            <w:bottom w:val="none" w:sz="0" w:space="0" w:color="auto"/>
            <w:right w:val="none" w:sz="0" w:space="0" w:color="auto"/>
          </w:divBdr>
          <w:divsChild>
            <w:div w:id="707030824">
              <w:marLeft w:val="0"/>
              <w:marRight w:val="0"/>
              <w:marTop w:val="0"/>
              <w:marBottom w:val="0"/>
              <w:divBdr>
                <w:top w:val="none" w:sz="0" w:space="0" w:color="auto"/>
                <w:left w:val="none" w:sz="0" w:space="0" w:color="auto"/>
                <w:bottom w:val="none" w:sz="0" w:space="0" w:color="auto"/>
                <w:right w:val="none" w:sz="0" w:space="0" w:color="auto"/>
              </w:divBdr>
            </w:div>
            <w:div w:id="2093895953">
              <w:marLeft w:val="0"/>
              <w:marRight w:val="0"/>
              <w:marTop w:val="0"/>
              <w:marBottom w:val="0"/>
              <w:divBdr>
                <w:top w:val="none" w:sz="0" w:space="0" w:color="auto"/>
                <w:left w:val="none" w:sz="0" w:space="0" w:color="auto"/>
                <w:bottom w:val="none" w:sz="0" w:space="0" w:color="auto"/>
                <w:right w:val="none" w:sz="0" w:space="0" w:color="auto"/>
              </w:divBdr>
            </w:div>
            <w:div w:id="289285486">
              <w:marLeft w:val="0"/>
              <w:marRight w:val="0"/>
              <w:marTop w:val="0"/>
              <w:marBottom w:val="0"/>
              <w:divBdr>
                <w:top w:val="none" w:sz="0" w:space="0" w:color="auto"/>
                <w:left w:val="none" w:sz="0" w:space="0" w:color="auto"/>
                <w:bottom w:val="none" w:sz="0" w:space="0" w:color="auto"/>
                <w:right w:val="none" w:sz="0" w:space="0" w:color="auto"/>
              </w:divBdr>
            </w:div>
            <w:div w:id="247035396">
              <w:marLeft w:val="0"/>
              <w:marRight w:val="0"/>
              <w:marTop w:val="0"/>
              <w:marBottom w:val="0"/>
              <w:divBdr>
                <w:top w:val="none" w:sz="0" w:space="0" w:color="auto"/>
                <w:left w:val="none" w:sz="0" w:space="0" w:color="auto"/>
                <w:bottom w:val="none" w:sz="0" w:space="0" w:color="auto"/>
                <w:right w:val="none" w:sz="0" w:space="0" w:color="auto"/>
              </w:divBdr>
            </w:div>
            <w:div w:id="518858993">
              <w:marLeft w:val="0"/>
              <w:marRight w:val="0"/>
              <w:marTop w:val="0"/>
              <w:marBottom w:val="0"/>
              <w:divBdr>
                <w:top w:val="none" w:sz="0" w:space="0" w:color="auto"/>
                <w:left w:val="none" w:sz="0" w:space="0" w:color="auto"/>
                <w:bottom w:val="none" w:sz="0" w:space="0" w:color="auto"/>
                <w:right w:val="none" w:sz="0" w:space="0" w:color="auto"/>
              </w:divBdr>
            </w:div>
            <w:div w:id="2059742354">
              <w:marLeft w:val="0"/>
              <w:marRight w:val="0"/>
              <w:marTop w:val="0"/>
              <w:marBottom w:val="0"/>
              <w:divBdr>
                <w:top w:val="none" w:sz="0" w:space="0" w:color="auto"/>
                <w:left w:val="none" w:sz="0" w:space="0" w:color="auto"/>
                <w:bottom w:val="none" w:sz="0" w:space="0" w:color="auto"/>
                <w:right w:val="none" w:sz="0" w:space="0" w:color="auto"/>
              </w:divBdr>
            </w:div>
            <w:div w:id="1313558470">
              <w:marLeft w:val="0"/>
              <w:marRight w:val="0"/>
              <w:marTop w:val="0"/>
              <w:marBottom w:val="0"/>
              <w:divBdr>
                <w:top w:val="none" w:sz="0" w:space="0" w:color="auto"/>
                <w:left w:val="none" w:sz="0" w:space="0" w:color="auto"/>
                <w:bottom w:val="none" w:sz="0" w:space="0" w:color="auto"/>
                <w:right w:val="none" w:sz="0" w:space="0" w:color="auto"/>
              </w:divBdr>
            </w:div>
            <w:div w:id="1686781060">
              <w:marLeft w:val="0"/>
              <w:marRight w:val="0"/>
              <w:marTop w:val="0"/>
              <w:marBottom w:val="0"/>
              <w:divBdr>
                <w:top w:val="none" w:sz="0" w:space="0" w:color="auto"/>
                <w:left w:val="none" w:sz="0" w:space="0" w:color="auto"/>
                <w:bottom w:val="none" w:sz="0" w:space="0" w:color="auto"/>
                <w:right w:val="none" w:sz="0" w:space="0" w:color="auto"/>
              </w:divBdr>
            </w:div>
            <w:div w:id="903493144">
              <w:marLeft w:val="0"/>
              <w:marRight w:val="0"/>
              <w:marTop w:val="0"/>
              <w:marBottom w:val="0"/>
              <w:divBdr>
                <w:top w:val="none" w:sz="0" w:space="0" w:color="auto"/>
                <w:left w:val="none" w:sz="0" w:space="0" w:color="auto"/>
                <w:bottom w:val="none" w:sz="0" w:space="0" w:color="auto"/>
                <w:right w:val="none" w:sz="0" w:space="0" w:color="auto"/>
              </w:divBdr>
            </w:div>
            <w:div w:id="1257011867">
              <w:marLeft w:val="0"/>
              <w:marRight w:val="0"/>
              <w:marTop w:val="0"/>
              <w:marBottom w:val="0"/>
              <w:divBdr>
                <w:top w:val="none" w:sz="0" w:space="0" w:color="auto"/>
                <w:left w:val="none" w:sz="0" w:space="0" w:color="auto"/>
                <w:bottom w:val="none" w:sz="0" w:space="0" w:color="auto"/>
                <w:right w:val="none" w:sz="0" w:space="0" w:color="auto"/>
              </w:divBdr>
            </w:div>
            <w:div w:id="1517229992">
              <w:marLeft w:val="0"/>
              <w:marRight w:val="0"/>
              <w:marTop w:val="0"/>
              <w:marBottom w:val="0"/>
              <w:divBdr>
                <w:top w:val="none" w:sz="0" w:space="0" w:color="auto"/>
                <w:left w:val="none" w:sz="0" w:space="0" w:color="auto"/>
                <w:bottom w:val="none" w:sz="0" w:space="0" w:color="auto"/>
                <w:right w:val="none" w:sz="0" w:space="0" w:color="auto"/>
              </w:divBdr>
            </w:div>
            <w:div w:id="1208374281">
              <w:marLeft w:val="0"/>
              <w:marRight w:val="0"/>
              <w:marTop w:val="0"/>
              <w:marBottom w:val="0"/>
              <w:divBdr>
                <w:top w:val="none" w:sz="0" w:space="0" w:color="auto"/>
                <w:left w:val="none" w:sz="0" w:space="0" w:color="auto"/>
                <w:bottom w:val="none" w:sz="0" w:space="0" w:color="auto"/>
                <w:right w:val="none" w:sz="0" w:space="0" w:color="auto"/>
              </w:divBdr>
            </w:div>
            <w:div w:id="72355991">
              <w:marLeft w:val="0"/>
              <w:marRight w:val="0"/>
              <w:marTop w:val="0"/>
              <w:marBottom w:val="0"/>
              <w:divBdr>
                <w:top w:val="none" w:sz="0" w:space="0" w:color="auto"/>
                <w:left w:val="none" w:sz="0" w:space="0" w:color="auto"/>
                <w:bottom w:val="none" w:sz="0" w:space="0" w:color="auto"/>
                <w:right w:val="none" w:sz="0" w:space="0" w:color="auto"/>
              </w:divBdr>
            </w:div>
            <w:div w:id="1109666571">
              <w:marLeft w:val="0"/>
              <w:marRight w:val="0"/>
              <w:marTop w:val="0"/>
              <w:marBottom w:val="0"/>
              <w:divBdr>
                <w:top w:val="none" w:sz="0" w:space="0" w:color="auto"/>
                <w:left w:val="none" w:sz="0" w:space="0" w:color="auto"/>
                <w:bottom w:val="none" w:sz="0" w:space="0" w:color="auto"/>
                <w:right w:val="none" w:sz="0" w:space="0" w:color="auto"/>
              </w:divBdr>
            </w:div>
            <w:div w:id="1536961847">
              <w:marLeft w:val="0"/>
              <w:marRight w:val="0"/>
              <w:marTop w:val="0"/>
              <w:marBottom w:val="0"/>
              <w:divBdr>
                <w:top w:val="none" w:sz="0" w:space="0" w:color="auto"/>
                <w:left w:val="none" w:sz="0" w:space="0" w:color="auto"/>
                <w:bottom w:val="none" w:sz="0" w:space="0" w:color="auto"/>
                <w:right w:val="none" w:sz="0" w:space="0" w:color="auto"/>
              </w:divBdr>
            </w:div>
            <w:div w:id="464008948">
              <w:marLeft w:val="0"/>
              <w:marRight w:val="0"/>
              <w:marTop w:val="0"/>
              <w:marBottom w:val="0"/>
              <w:divBdr>
                <w:top w:val="none" w:sz="0" w:space="0" w:color="auto"/>
                <w:left w:val="none" w:sz="0" w:space="0" w:color="auto"/>
                <w:bottom w:val="none" w:sz="0" w:space="0" w:color="auto"/>
                <w:right w:val="none" w:sz="0" w:space="0" w:color="auto"/>
              </w:divBdr>
            </w:div>
            <w:div w:id="1271812287">
              <w:marLeft w:val="0"/>
              <w:marRight w:val="0"/>
              <w:marTop w:val="0"/>
              <w:marBottom w:val="0"/>
              <w:divBdr>
                <w:top w:val="none" w:sz="0" w:space="0" w:color="auto"/>
                <w:left w:val="none" w:sz="0" w:space="0" w:color="auto"/>
                <w:bottom w:val="none" w:sz="0" w:space="0" w:color="auto"/>
                <w:right w:val="none" w:sz="0" w:space="0" w:color="auto"/>
              </w:divBdr>
            </w:div>
            <w:div w:id="1185091423">
              <w:marLeft w:val="0"/>
              <w:marRight w:val="0"/>
              <w:marTop w:val="0"/>
              <w:marBottom w:val="0"/>
              <w:divBdr>
                <w:top w:val="none" w:sz="0" w:space="0" w:color="auto"/>
                <w:left w:val="none" w:sz="0" w:space="0" w:color="auto"/>
                <w:bottom w:val="none" w:sz="0" w:space="0" w:color="auto"/>
                <w:right w:val="none" w:sz="0" w:space="0" w:color="auto"/>
              </w:divBdr>
            </w:div>
            <w:div w:id="1091199156">
              <w:marLeft w:val="0"/>
              <w:marRight w:val="0"/>
              <w:marTop w:val="0"/>
              <w:marBottom w:val="0"/>
              <w:divBdr>
                <w:top w:val="none" w:sz="0" w:space="0" w:color="auto"/>
                <w:left w:val="none" w:sz="0" w:space="0" w:color="auto"/>
                <w:bottom w:val="none" w:sz="0" w:space="0" w:color="auto"/>
                <w:right w:val="none" w:sz="0" w:space="0" w:color="auto"/>
              </w:divBdr>
            </w:div>
          </w:divsChild>
        </w:div>
        <w:div w:id="1036732683">
          <w:marLeft w:val="0"/>
          <w:marRight w:val="0"/>
          <w:marTop w:val="0"/>
          <w:marBottom w:val="0"/>
          <w:divBdr>
            <w:top w:val="none" w:sz="0" w:space="0" w:color="auto"/>
            <w:left w:val="none" w:sz="0" w:space="0" w:color="auto"/>
            <w:bottom w:val="none" w:sz="0" w:space="0" w:color="auto"/>
            <w:right w:val="none" w:sz="0" w:space="0" w:color="auto"/>
          </w:divBdr>
        </w:div>
        <w:div w:id="14907554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68887303bf4ff1b0d9769897fe7005" PartId="9780138ddf0840f8abd9db61415762ed">
    <Part Type="preambule" DocPartId="4ade869f69db4532b71cf00f9ad26357" PartId="2206e69a0678436e826a4ed6b789da66"/>
    <Part Type="pastraipa" DocPartId="997ae27e38e94b6ea9417b8c66647c8b" PartId="987e03810b7147c4bb177e72c6f8a14d"/>
    <Part Type="punktas" Nr="1" Abbr="1 p." DocPartId="270f557128564d9e9ebe4e517fde397c" PartId="4608d2d840fd43309ad7d3775636b9e3"/>
    <Part Type="punktas" Nr="2" Abbr="2 p." DocPartId="224644dc5f8a4cd18a830ec83214063c" PartId="aeb0c9e1ee6443ad87472b124670e4f3"/>
    <Part Type="punktas" Nr="3" Abbr="3 p." DocPartId="f7fa8b45c34a49bbbd3488f78f84280a" PartId="40feee9732fb472ca90e2a51c8bdb766"/>
    <Part Type="punktas" Nr="4" Abbr="4 p." DocPartId="d0fc7050ce884b278f9d223099e7f5dd" PartId="45ec177760864e3ba41b05feadde8fc1"/>
    <Part Type="punktas" Nr="5" Abbr="5 p." DocPartId="bcd90e8de2e4427299f27cede3b62f6e" PartId="c225fe7c59a24e9c9d574683cb4e219f"/>
    <Part Type="punktas" Nr="6" Abbr="6 p." DocPartId="63e8671483054e36b9843464f6b93df8" PartId="ca021ca0a924473c91699f7702e07d70"/>
    <Part Type="punktas" Nr="7" Abbr="7 p." DocPartId="472037f9918a4c25b760625918f10f39" PartId="7629f083b847448c9be487f459214bed"/>
    <Part Type="signatura" DocPartId="799c72a44f064aa6a49030c00228c2be" PartId="57328dc58b1348b3a06e5b30627d53a2"/>
  </Part>
</Parts>
</file>

<file path=customXml/itemProps1.xml><?xml version="1.0" encoding="utf-8"?>
<ds:datastoreItem xmlns:ds="http://schemas.openxmlformats.org/officeDocument/2006/customXml" ds:itemID="{C2322D26-03A2-475B-BD49-861373A965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675</Words>
  <Characters>4687</Characters>
  <Application>Microsoft Office Word</Application>
  <DocSecurity>4</DocSecurity>
  <Lines>73</Lines>
  <Paragraphs>17</Paragraphs>
  <ScaleCrop>false</ScaleCrop>
  <Company/>
  <LinksUpToDate>false</LinksUpToDate>
  <CharactersWithSpaces>5345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2025-04-01T15:02:00Z</dcterms:created>
  <dc:creator>Jūratė Lašė</dc:creator>
  <lastModifiedBy>adlibuser</lastModifiedBy>
  <dcterms:modified xsi:type="dcterms:W3CDTF">2025-04-01T15:02:00Z</dcterms:modified>
  <revision>2</revision>
</coreProperties>
</file>