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f0f4d295d464a97a1ba7fa5bab1ae08"/>
        <w:lock w:val="sdtLocked"/>
        <w:richText/>
      </w:sdtPr>
      <w:sdtContent>
        <w:p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val="x-none" w:eastAsia="lt-LT"/>
            </w:rPr>
          </w:pPr>
        </w:p>
        <w:p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b2ba4c3d2f77405692fb3ad2b26ca6c7"/>
            <w:lock w:val="sdtLocked"/>
            <w:richText/>
          </w:sdtPr>
          <w:sdtContent>
            <w:p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bCs/>
                  <w:caps/>
                  <w:szCs w:val="24"/>
                  <w:lang w:eastAsia="lt-LT"/>
                </w:rPr>
                <w:t>Švietimo</w:t>
              </w:r>
              <w:r>
                <w:rPr>
                  <w:rFonts w:eastAsia="Lucida Sans Unicode"/>
                  <w:b/>
                  <w:bCs/>
                  <w:szCs w:val="24"/>
                  <w:lang w:eastAsia="lt-LT"/>
                </w:rPr>
                <w:t xml:space="preserve"> SKYRIUS</w:t>
              </w:r>
            </w:p>
            <w:p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>
              <w:pPr>
                <w:rPr>
                  <w:sz w:val="10"/>
                  <w:szCs w:val="10"/>
                </w:rPr>
              </w:pPr>
            </w:p>
            <w:sdt>
              <w:sdtPr>
                <w:alias w:val="Pavadinimas"/>
                <w:tag w:val="title_b2ba4c3d2f77405692fb3ad2b26ca6c7"/>
                <w:lock w:val="sdtLocked"/>
                <w:richText/>
              </w:sdtPr>
              <w:sdtContent>
                <w:p>
                  <w:pPr>
                    <w:keepNext/>
                    <w:widowControl w:val="0"/>
                    <w:suppressLineNumbers/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>SPRENDIMO „</w:t>
                  </w:r>
                  <w:r>
                    <w:rPr>
                      <w:rFonts w:eastAsia="Lucida Sans Unicode"/>
                      <w:b/>
                      <w:kern w:val="2"/>
                      <w:szCs w:val="24"/>
                      <w:lang w:eastAsia="lt-LT"/>
                    </w:rPr>
                    <w:t xml:space="preserve">DĖL </w:t>
                  </w: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>ŠIAULIŲ ŠVIETIMO KOMPETENCIJŲ CENTRO NUOSTATŲ PATVIRTINIMO</w:t>
                  </w:r>
                  <w:r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  <w:t xml:space="preserve">“ </w:t>
                  </w: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>PROJEKTO</w:t>
                  </w:r>
                </w:p>
                <w:p>
                  <w:pPr>
                    <w:widowControl w:val="0"/>
                    <w:tabs>
                      <w:tab w:val="left" w:pos="1296"/>
                      <w:tab w:val="center" w:pos="4819"/>
                      <w:tab w:val="right" w:pos="9638"/>
                    </w:tabs>
                    <w:suppressAutoHyphens/>
                    <w:jc w:val="center"/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</w:pPr>
                  <w:r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  <w:t>AIŠKINAMASIS RAŠTAS</w:t>
                  </w:r>
                </w:p>
              </w:sdtContent>
            </w:sdt>
            <w:p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2025-08-25</w:t>
              </w:r>
            </w:p>
            <w:p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  <w:r>
                <w:rPr>
                  <w:rFonts w:eastAsia="Lucida Sans Unicode"/>
                  <w:iCs/>
                  <w:szCs w:val="24"/>
                  <w:lang w:eastAsia="lt-LT"/>
                </w:rPr>
                <w:t>Šiauliai</w:t>
              </w:r>
            </w:p>
            <w:p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3906145999754ce083116f434b5112b1"/>
                <w:lock w:val="sdtLocked"/>
                <w:richText/>
              </w:sdtPr>
              <w:sdtContent>
                <w:p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906145999754ce083116f434b5112b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Parengto sprendimo projekto tikslas – patvirtinti naujus Šiaulių švietimo kompetencijų centro nuostatus (toliau – Nuostatai) įteisinant juose pasikeitusių teisės aktų nuostatas. </w:t>
                  </w:r>
                </w:p>
              </w:sdtContent>
            </w:sdt>
            <w:sdt>
              <w:sdtPr>
                <w:alias w:val="poskyris"/>
                <w:tag w:val="part_f5bc94f7fd234522b4d9e59cef8357d1"/>
                <w:lock w:val="sdtLocked"/>
                <w:richText/>
              </w:sdtPr>
              <w:sdtContent>
                <w:p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f5bc94f7fd234522b4d9e59cef8357d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Šiaulių švietimo kompetencijų centro Nuostatai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patvirtinti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Šiaulių miesto savivaldybės tarybos 2024 m. liepos 4 d. sprendimu Nr. T-285 </w:t>
                  </w: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>„Dėl Šiaulių miesto savivaldybės švietimo centro pavadinimo pakeitimo ir nuostatų patvirtinimo“.</w:t>
                  </w:r>
                </w:p>
              </w:sdtContent>
            </w:sdt>
            <w:sdt>
              <w:sdtPr>
                <w:alias w:val="poskyris"/>
                <w:tag w:val="part_3e78ee86f62140988a23c973ee974179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e78ee86f62140988a23c973ee97417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Sprendimo projektas parengtas ir teikiamas vadovaujantis Valstybės duomenų agentūros generalinio direktoriaus 2024 m. gruodžio 3 d. įsakymo „Dėl ekonominės veiklos rūšių klasifikatoriaus (EVRK 2.1 red.) patvirtinimo“ </w:t>
                  </w:r>
                  <w:r>
                    <w:rPr>
                      <w:szCs w:val="24"/>
                    </w:rPr>
                    <w:t>nuostatomis.</w:t>
                  </w:r>
                </w:p>
              </w:sdtContent>
            </w:sdt>
            <w:sdt>
              <w:sdtPr>
                <w:alias w:val="poskyris"/>
                <w:tag w:val="part_1922a821a51b4b51849fe65258081d46"/>
                <w:lock w:val="sdtLocked"/>
                <w:richText/>
              </w:sdtPr>
              <w:sdtContent>
                <w:p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1922a821a51b4b51849fe65258081d4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Priėmus sprendimą, galimos pasekmės.</w:t>
                      </w:r>
                    </w:sdtContent>
                  </w:sdt>
                </w:p>
                <w:p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 xml:space="preserve">Pasekmės teigiamos. Priėmus sprendimą, bus patvirtinti </w:t>
                  </w:r>
                  <w:r>
                    <w:rPr>
                      <w:szCs w:val="24"/>
                      <w:lang w:eastAsia="ar-SA"/>
                    </w:rPr>
                    <w:t xml:space="preserve">Šiaulių švietimo kompetencijų centro nuostatai, kurie atitiks galiojančius teisės aktus. </w:t>
                  </w:r>
                </w:p>
              </w:sdtContent>
            </w:sdt>
            <w:sdt>
              <w:sdtPr>
                <w:alias w:val="poskyris"/>
                <w:tag w:val="part_ee0154c3b2e2459e872667c4a146a92b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e0154c3b2e2459e872667c4a146a92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Priėmus sprendimą bus pripažintas netekusiu galios </w:t>
                  </w: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Šiaulių miesto savivaldybės tarybos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2024 m. liepos 4 d. sprendimo Nr. T-285 </w:t>
                  </w: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>„Dėl Šiaulių miesto savivaldybės švietimo centro pavadinimo pakeitimo ir nuostatų patvirtinimo“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 2 punktas.</w:t>
                  </w:r>
                </w:p>
              </w:sdtContent>
            </w:sdt>
            <w:sdt>
              <w:sdtPr>
                <w:alias w:val="poskyris"/>
                <w:tag w:val="part_f07902827fde4fa6ad2909ec8e66dc9e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f07902827fde4fa6ad2909ec8e66dc9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Sprendimui įgyvendinti nereikės priimti papildomų teisės aktų.  </w:t>
                  </w:r>
                </w:p>
                <w:p>
                  <w:pPr>
                    <w:widowControl w:val="0"/>
                    <w:suppressAutoHyphens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>Sprendimui įgyvendinti reikalingos lėšos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.</w:t>
                  </w:r>
                </w:p>
                <w:p>
                  <w:pPr>
                    <w:widowControl w:val="0"/>
                    <w:suppressLineNumbers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nebus reikalingos papildomos biudžeto lėšos.</w:t>
                  </w:r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projekto antikorupcinis vertinimas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Sprendimo projekto antikorupcinis vertinimas nebuvo atliekamas, nes šis projektas nėra susijęs nė su vienu atveju, išvardintu Lietuvos Respublikos korupcijos prevencijos įstatymo 8 straipsnio 1 dalyje.</w:t>
                  </w:r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projektą parengė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 Šiaulių miesto savivaldybės administracijos Švietimo skyrius. Tiesioginis rengėjas – Švietimo skyriaus vyriausioji specialistė Danguolė Teišerskienė, tel. (+370 41) 38 64 74. Projekto iniciatorius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– Švietimo skyrius. </w:t>
                  </w:r>
                </w:p>
                <w:p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136e2e6fc7944888c28cfc1192d790c"/>
            <w:lock w:val="sdtLocked"/>
            <w:richText/>
          </w:sdtPr>
          <w:sdtContent>
            <w:p>
              <w:pPr>
                <w:widowControl w:val="0"/>
                <w:suppressAutoHyphens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Skyriaus vedėja</w:t>
                <w:tab/>
                <w:tab/>
                <w:tab/>
                <w:tab/>
                <w:tab/>
                <w:tab/>
                <w:tab/>
                <w:tab/>
                <w:t>Edita Minkuvienė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567" w:bottom="1134" w:left="1701" w:header="567" w:footer="0" w:gutter="0"/>
      <w:cols w:space="1296"/>
      <w:formProt w:val="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endnote>
  <w:endnote w:type="continuationSeparator" w:id="0">
    <w:p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footnote>
  <w:footnote w:type="continuationSeparator" w:id="0">
    <w:p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D0B3B6B" wp14:editId="12F34E57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0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0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D0B3B6B" id="_x0000_t202" coordsize="21600,21600" o:spt="202" path="m,l,21600r21600,l21600,xe">
              <v:stroke joinstyle="miter"/>
              <v:path gradientshapeok="t" o:connecttype="rect"/>
            </v:shapetype>
            <v:shape id="Frame1" o:spid="_x0000_s1026" type="#_x0000_t202" style="position:absolute;margin-left:0;margin-top:.05pt;width:1.15pt;height:1.15pt;z-index:251658240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7hueLrwEAAGMDAAAOAAAAZHJzL2Uyb0RvYy54bWysU81u2zAMvg/YOwi6L3aKrRiMOMXawsOA YRvQ7QFkWY4FSKJAqrHz9qPkJC222zAfJP7pIz+S3t0t3omjQbIQWrnd1FKYoGGw4dDKXz+7dx+l oKTCoBwE08qTIXm3f/tmN8fG3MAEbjAoGCRQM8dWTinFpqpIT8Yr2kA0gZ0joFeJVTxUA6qZ0b2r bur6tpoBh4igDRFbH1en3Bf8cTQ6fR9HMkm4VnJtqZxYzj6f1X6nmgOqOFl9LkP9QxVe2cBJr1CP KinxjPYvKG81AsGYNhp8BeNotSkcmM22/oPN06SiKVy4ORSvbaL/B6u/HX+gsAPPToqgPI+oQ762 uTNzpIYDniKHpOUelhx1thMbM+FlRJ9vpiLYzz0+XftqliR0fvT+tv4ghWbPKjJG9fI0IqXPBrzI QiuRh1Z6qY5fKa2hl5CcicDZobPOFQUP/YNDcVQ84K5861sXJ7Vay5A5Ha2hJfUrjCqzXNlkKS39 cqbYw3Bi5u5L4Ibn5bkIeBH6i6CCnoDXai2c4qfnBJ0txWfQFYkzZ4UnWWo4b11eldd6iXr5N/a/ AQAA//8DAFBLAwQUAAYACAAAACEA73KSitgAAAABAQAADwAAAGRycy9kb3ducmV2LnhtbEyPQUsD MRCF70L/QxjBm81aReq62VIKCxZFbdV7moy7S5PJkqTt+u+dnvQ0vHnDe99Ui9E7ccSY+kAKbqYF CCQTbE+tgs+P5noOImVNVrtAqOAHEyzqyUWlSxtOtMHjNreCQyiVWkGX81BKmUyHXqdpGJDY+w7R 68wyttJGfeJw7+SsKO6l1z1xQ6cHXHVo9tuDV5CafXp7Xcan968HR41Zv6zDs1Hq6nJcPoLIOOa/ YzjjMzrUzLQLB7JJOAX8SD5vBXuzWxA7Hncg60r+J69/AQAA//8DAFBLAQItABQABgAIAAAAIQC2 gziS/gAAAOEBAAATAAAAAAAAAAAAAAAAAAAAAABbQ29udGVudF9UeXBlc10ueG1sUEsBAi0AFAAG AAgAAAAhADj9If/WAAAAlAEAAAsAAAAAAAAAAAAAAAAALwEAAF9yZWxzLy5yZWxzUEsBAi0AFAAG AAgAAAAhALuG54uvAQAAYwMAAA4AAAAAAAAAAAAAAAAALgIAAGRycy9lMm9Eb2MueG1sUEsBAi0A FAAGAAgAAAAhAO9ykorYAAAAAQEAAA8AAAAAAAAAAAAAAAAACQQAAGRycy9kb3ducmV2LnhtbFBL BQYAAAAABAAEAPMAAAAOBQAAAAA= " stroked="f">
              <v:fill opacity="0"/>
              <v:textbox style="mso-fit-shape-to-text:t" inset="0,0,0,0">
                <w:txbxContent>
                  <w:p w14:paraId="195BEB08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0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" behindDoc="0" locked="0" layoutInCell="0" allowOverlap="1" wp14:anchorId="1B112A9C" wp14:editId="7C9C75B0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835" cy="175260"/>
              <wp:effectExtent l="0" t="0" r="0" b="0"/>
              <wp:wrapSquare wrapText="bothSides"/>
              <wp:docPr id="2" name="Frame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" cy="17526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2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112A9C" id="_x0000_t202" coordsize="21600,21600" o:spt="202" path="m,l,21600r21600,l21600,xe">
              <v:stroke joinstyle="miter"/>
              <v:path gradientshapeok="t" o:connecttype="rect"/>
            </v:shapetype>
            <v:shape id="Frame2" o:spid="_x0000_s1027" type="#_x0000_t202" style="position:absolute;margin-left:0;margin-top:.05pt;width:6.05pt;height:13.8pt;z-index:2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9ipPrtgEAAGsDAAAOAAAAZHJzL2Uyb0RvYy54bWysU8Fu2zAMvQ/YPwi6L0o8NC2MOMW2wsOA YRvQ7QNkWY4FSKIgqrHz96PkOi222zAfJJKinvge6cP97Cw764gGfMN3my1n2ivojT81/NfP9t0d Z5ik76UFrxt+0cjvj2/fHKZQ6wpGsL2OjEA81lNo+JhSqIVANWoncQNBezocIDqZyI0n0Uc5Ebqz otpu92KC2IcISiNS9GE55MeCPwxape/DgDox23CqLZU1lrXLqzgeZH2KMoxGPZch/6EKJ42nR69Q DzJJ9hTNX1DOqAgIQ9oocAKGwShdOBCb3fYPNo+jDLpwIXEwXGXC/wervp1/RGb6hleceemoRW2k rcrKTAFrSngMlJLmjzBTh9c4UjATnofo8k5UGJ2TxperrnpOTFHwdn/3/oYzRSe725tqX2QXL3dD xPRZg2PZaHikrhUx5fkrJqqDUteU/BSCNX1rrC1OPHWfbGRnSR1uy7fctWGUS3R9DpfUgvcKQ2Sa C51spbmbiyBXqh30F1LAfvEkfB6i1Yir0a2G9GoEGq+lfgwfnhK0pnDI2AsSFZAd6mgp5Xn68si8 9kvWyz9y/A0AAP//AwBQSwMEFAAGAAgAAAAhACttIDLZAAAAAwEAAA8AAABkcnMvZG93bnJldi54 bWxMj81OwzAQhO9IvIO1SNyoQw4UQpyqQopEBeKnwN21lySqvY68bhveHucEp9XsrGa+rVeTd+KI kYdACq4XBQgkE+xAnYLPj/bqFgQnTVa7QKjgBxlWzflZrSsbTvSOx23qRA4hrrSCPqWxkpJNj17z IoxI2fsO0euUZeykjfqUw72TZVHcSK8Hyg29HvGhR7PfHrwCbvf8+rKOj29fd45as3nehCej1OXF tL4HkXBKf8cw42d0aDLTLhzIsnAK8iNp3orZK/PcKSiXS5BNLf+zN78AAAD//wMAUEsBAi0AFAAG AAgAAAAhALaDOJL+AAAA4QEAABMAAAAAAAAAAAAAAAAAAAAAAFtDb250ZW50X1R5cGVzXS54bWxQ SwECLQAUAAYACAAAACEAOP0h/9YAAACUAQAACwAAAAAAAAAAAAAAAAAvAQAAX3JlbHMvLnJlbHNQ SwECLQAUAAYACAAAACEA/YqT67YBAABrAwAADgAAAAAAAAAAAAAAAAAuAgAAZHJzL2Uyb0RvYy54 bWxQSwECLQAUAAYACAAAACEAK20gMtkAAAADAQAADwAAAAAAAAAAAAAAAAAQBAAAZHJzL2Rvd25y ZXYueG1sUEsFBgAAAAAEAAQA8wAAABYFAAAAAA== " o:allowincell="f" stroked="f">
              <v:fill opacity="0"/>
              <v:textbox style="mso-fit-shape-to-text:t" inset="0,0,0,0">
                <w:txbxContent>
                  <w:p w14:paraId="1E5D5F94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2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9AAC02A-3AE3-4FA9-BC72-0A09366BFC2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ebd3d1c9a00c46b8a30ee8cb0fdb2bae" PartId="0f0f4d295d464a97a1ba7fa5bab1ae08">
    <Part Type="skyrius" Nr="999" Title="SPRENDIMO „DĖL ŠIAULIŲ ŠVIETIMO KOMPETENCIJŲ CENTRO NUOSTATŲ PATVIRTINIMO“ PROJEKTO AIŠKINAMASIS RAŠTAS" DocPartId="fb7c1d9f3ce240bf994967551d2e5d52" PartId="b2ba4c3d2f77405692fb3ad2b26ca6c7">
      <Part Type="poskyris" Title="Parengto sprendimo projekto tikslai ir uždaviniai." DocPartId="6580f7d3dcd9447da31b68b976267950" PartId="3906145999754ce083116f434b5112b1"/>
      <Part Type="poskyris" Title="Dabartinis sprendimo projekte aptariamų klausimų reguliavimas." DocPartId="3000c9fd905e412c930a455fb6c68e55" PartId="f5bc94f7fd234522b4d9e59cef8357d1"/>
      <Part Type="poskyris" Title="Sprendimo projekte numatytos naujos teisinio reglamentavimo nuostatos." DocPartId="7e6e39ced1834bb5993e9fc4b83667f7" PartId="3e78ee86f62140988a23c973ee974179"/>
      <Part Type="poskyris" Title="Priėmus sprendimą, galimos pasekmės." DocPartId="ab000e43d9194c4cb35efbbdc963cdfa" PartId="1922a821a51b4b51849fe65258081d46"/>
      <Part Type="poskyris" Title="Priėmus sprendimą, keičiami ar pripažįstami negaliojančiais teisės aktai." DocPartId="9bbd73eeab2c46578cb4ac67c75e7a37" PartId="ee0154c3b2e2459e872667c4a146a92b"/>
      <Part Type="poskyris" Title="Sprendimui įgyvendinti reikalingi priimti papildomi teisės aktai." DocPartId="260f6988cbab48fa88d650574d02d42a" PartId="f07902827fde4fa6ad2909ec8e66dc9e"/>
    </Part>
    <Part Type="signatura" DocPartId="9c165ec21a5b4bf0a5d7d0909c9195f7" PartId="0136e2e6fc7944888c28cfc1192d790c"/>
  </Part>
</Parts>
</file>

<file path=customXml/itemProps1.xml><?xml version="1.0" encoding="utf-8"?>
<ds:datastoreItem xmlns:ds="http://schemas.openxmlformats.org/officeDocument/2006/customXml" ds:itemID="{1569D60D-158E-4E59-9B97-B141ABA5959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88FF9FC-F5D4-44E1-BCCE-77343473B15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260</Words>
  <Characters>2025</Characters>
  <Application>Microsoft Office Word</Application>
  <DocSecurity>4</DocSecurity>
  <Lines>45</Lines>
  <Paragraphs>27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MIESTO SAVIVALDYBĖS ADMINISTRACIJOS</vt:lpstr>
    </vt:vector>
  </TitlesOfParts>
  <Company/>
  <LinksUpToDate>false</LinksUpToDate>
  <CharactersWithSpaces>2258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2025-08-28T15:29:00Z</dcterms:created>
  <dc:creator>Edita Čičelienė</dc:creator>
  <dc:language>en-US</dc:language>
  <lastModifiedBy>adlibuser</lastModifiedBy>
  <lastPrinted>2015-02-03T06:57:00Z</lastPrinted>
  <dcterms:modified xsi:type="dcterms:W3CDTF">2025-08-28T15:29:00Z</dcterms:modified>
  <revision>2</revision>
  <dc:title>ŠIAULIŲ MIESTO SAVIVALDYBĖS ADMINISTRACIJOS</dc:title>
</coreProperties>
</file>