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c46e57c9057f48d5af8999231d9c8212"/>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hemeColor="text1"/>
                </w:tcBorders>
              </w:tcPr>
              <w:p>
                <w:pPr>
                  <w:suppressLineNumbers/>
                  <w:tabs>
                    <w:tab w:val="center" w:pos="4800"/>
                    <w:tab w:val="right" w:pos="9601"/>
                  </w:tabs>
                  <w:jc w:val="both"/>
                  <w:rPr>
                    <w:rFonts w:eastAsia="Andale Sans UI" w:cs="Tahoma"/>
                    <w:szCs w:val="24"/>
                    <w:lang w:bidi="en-US"/>
                  </w:rPr>
                </w:pPr>
              </w:p>
              <w:p>
                <w:pPr>
                  <w:suppressLineNumbers/>
                  <w:spacing w:line="276" w:lineRule="auto"/>
                  <w:ind w:firstLine="62"/>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spacing w:line="276" w:lineRule="auto"/>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spacing w:line="276" w:lineRule="auto"/>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spacing w:line="276" w:lineRule="auto"/>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spacing w:line="276" w:lineRule="auto"/>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spacing w:line="276" w:lineRule="auto"/>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spacing w:line="276" w:lineRule="auto"/>
                  <w:jc w:val="both"/>
                  <w:rPr>
                    <w:rFonts w:eastAsia="Andale Sans UI"/>
                    <w:szCs w:val="24"/>
                    <w:lang w:bidi="en-US"/>
                  </w:rPr>
                </w:pPr>
                <w:r>
                  <w:rPr>
                    <w:rFonts w:eastAsia="Andale Sans UI"/>
                    <w:szCs w:val="24"/>
                    <w:lang w:bidi="en-US"/>
                  </w:rPr>
                  <w:t>Pagal adresatų sąrašą</w:t>
                </w:r>
              </w:p>
              <w:p>
                <w:pPr>
                  <w:suppressLineNumbers/>
                  <w:spacing w:line="276" w:lineRule="auto"/>
                  <w:jc w:val="both"/>
                  <w:rPr>
                    <w:rFonts w:eastAsia="Andale Sans UI"/>
                    <w:szCs w:val="24"/>
                    <w:lang w:bidi="en-US"/>
                  </w:rPr>
                </w:pPr>
              </w:p>
              <w:p>
                <w:pPr>
                  <w:suppressLineNumbers/>
                  <w:spacing w:line="276" w:lineRule="auto"/>
                  <w:jc w:val="both"/>
                  <w:rPr>
                    <w:rFonts w:eastAsia="Andale Sans UI"/>
                    <w:spacing w:val="10"/>
                    <w:szCs w:val="24"/>
                    <w:lang w:bidi="en-US"/>
                  </w:rPr>
                </w:pPr>
              </w:p>
              <w:p>
                <w:pPr>
                  <w:suppressLineNumbers/>
                  <w:spacing w:line="276" w:lineRule="auto"/>
                  <w:jc w:val="both"/>
                  <w:rPr>
                    <w:rFonts w:eastAsia="Andale Sans UI"/>
                    <w:spacing w:val="10"/>
                    <w:szCs w:val="24"/>
                    <w:lang w:bidi="en-US"/>
                  </w:rPr>
                </w:pPr>
              </w:p>
            </w:tc>
            <w:tc>
              <w:tcPr>
                <w:tcW w:w="282" w:type="dxa"/>
                <w:tcMar>
                  <w:top w:w="0" w:type="dxa"/>
                  <w:left w:w="0" w:type="dxa"/>
                  <w:bottom w:w="0" w:type="dxa"/>
                  <w:right w:w="0" w:type="dxa"/>
                </w:tcMar>
              </w:tcPr>
              <w:p>
                <w:pPr>
                  <w:spacing w:line="276" w:lineRule="auto"/>
                  <w:ind w:right="67"/>
                  <w:jc w:val="right"/>
                  <w:rPr>
                    <w:rFonts w:eastAsia="Andale Sans UI"/>
                    <w:spacing w:val="10"/>
                    <w:szCs w:val="24"/>
                    <w:lang w:bidi="en-US"/>
                  </w:rPr>
                </w:pPr>
              </w:p>
            </w:tc>
            <w:tc>
              <w:tcPr>
                <w:tcW w:w="1841" w:type="dxa"/>
                <w:tcMar>
                  <w:top w:w="0" w:type="dxa"/>
                  <w:left w:w="0" w:type="dxa"/>
                  <w:bottom w:w="0" w:type="dxa"/>
                  <w:right w:w="0" w:type="dxa"/>
                </w:tcMar>
              </w:tcPr>
              <w:p>
                <w:pPr>
                  <w:suppressLineNumbers/>
                  <w:spacing w:line="276" w:lineRule="auto"/>
                  <w:ind w:right="67"/>
                  <w:jc w:val="both"/>
                  <w:rPr>
                    <w:rFonts w:eastAsia="Andale Sans UI"/>
                    <w:szCs w:val="24"/>
                    <w:lang w:bidi="en-US"/>
                  </w:rPr>
                </w:pPr>
              </w:p>
            </w:tc>
            <w:tc>
              <w:tcPr>
                <w:tcW w:w="565" w:type="dxa"/>
              </w:tcPr>
              <w:p>
                <w:pPr>
                  <w:spacing w:line="276" w:lineRule="auto"/>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spacing w:line="276" w:lineRule="auto"/>
                  <w:ind w:right="67"/>
                  <w:jc w:val="both"/>
                  <w:rPr>
                    <w:rFonts w:eastAsia="Andale Sans UI"/>
                    <w:szCs w:val="24"/>
                    <w:lang w:bidi="en-US"/>
                  </w:rPr>
                </w:pPr>
              </w:p>
            </w:tc>
          </w:tr>
          <w:tr>
            <w:trPr>
              <w:cantSplit/>
              <w:trHeight w:val="340"/>
            </w:trPr>
            <w:tc>
              <w:tcPr>
                <w:tcW w:w="4817" w:type="dxa"/>
                <w:vMerge/>
                <w:tcMar>
                  <w:top w:w="0" w:type="dxa"/>
                  <w:left w:w="0" w:type="dxa"/>
                  <w:bottom w:w="0" w:type="dxa"/>
                  <w:right w:w="0" w:type="dxa"/>
                </w:tcMar>
              </w:tcPr>
              <w:p>
                <w:pPr>
                  <w:spacing w:line="276" w:lineRule="auto"/>
                  <w:jc w:val="both"/>
                  <w:rPr>
                    <w:rFonts w:eastAsia="Andale Sans UI"/>
                    <w:szCs w:val="24"/>
                    <w:lang w:bidi="en-US"/>
                  </w:rPr>
                </w:pPr>
              </w:p>
            </w:tc>
            <w:tc>
              <w:tcPr>
                <w:tcW w:w="282" w:type="dxa"/>
                <w:tcMar>
                  <w:top w:w="0" w:type="dxa"/>
                  <w:left w:w="0" w:type="dxa"/>
                  <w:bottom w:w="0" w:type="dxa"/>
                  <w:right w:w="0" w:type="dxa"/>
                </w:tcMar>
              </w:tcPr>
              <w:p>
                <w:pPr>
                  <w:tabs>
                    <w:tab w:val="left" w:pos="2869"/>
                  </w:tabs>
                  <w:spacing w:line="276" w:lineRule="auto"/>
                  <w:ind w:right="67"/>
                  <w:jc w:val="right"/>
                  <w:rPr>
                    <w:rFonts w:eastAsia="Andale Sans UI"/>
                    <w:spacing w:val="10"/>
                    <w:szCs w:val="24"/>
                    <w:lang w:bidi="en-US"/>
                  </w:rPr>
                </w:pPr>
                <w:r>
                  <w:rPr>
                    <w:rFonts w:eastAsia="Andale Sans UI"/>
                    <w:spacing w:val="10"/>
                    <w:szCs w:val="24"/>
                    <w:lang w:bidi="en-US"/>
                  </w:rPr>
                  <w:t>Į</w:t>
                </w:r>
              </w:p>
            </w:tc>
            <w:tc>
              <w:tcPr>
                <w:tcW w:w="1841" w:type="dxa"/>
                <w:tcMar>
                  <w:top w:w="0" w:type="dxa"/>
                  <w:left w:w="0" w:type="dxa"/>
                  <w:bottom w:w="0" w:type="dxa"/>
                  <w:right w:w="0" w:type="dxa"/>
                </w:tcMar>
              </w:tcPr>
              <w:p>
                <w:pPr>
                  <w:suppressLineNumbers/>
                  <w:spacing w:line="276" w:lineRule="auto"/>
                  <w:ind w:right="67"/>
                  <w:jc w:val="both"/>
                  <w:rPr>
                    <w:rFonts w:eastAsia="Andale Sans UI"/>
                    <w:szCs w:val="24"/>
                    <w:lang w:bidi="en-US"/>
                  </w:rPr>
                </w:pPr>
              </w:p>
            </w:tc>
            <w:tc>
              <w:tcPr>
                <w:tcW w:w="565" w:type="dxa"/>
              </w:tcPr>
              <w:p>
                <w:pPr>
                  <w:tabs>
                    <w:tab w:val="left" w:pos="2869"/>
                  </w:tabs>
                  <w:spacing w:line="276" w:lineRule="auto"/>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spacing w:line="276" w:lineRule="auto"/>
                  <w:ind w:right="67"/>
                  <w:jc w:val="both"/>
                  <w:rPr>
                    <w:rFonts w:eastAsia="Andale Sans UI"/>
                    <w:szCs w:val="24"/>
                    <w:lang w:bidi="en-US"/>
                  </w:rPr>
                </w:pPr>
              </w:p>
            </w:tc>
          </w:tr>
          <w:tr>
            <w:trPr>
              <w:cantSplit/>
            </w:trPr>
            <w:tc>
              <w:tcPr>
                <w:tcW w:w="4817" w:type="dxa"/>
                <w:vMerge/>
                <w:tcMar>
                  <w:top w:w="0" w:type="dxa"/>
                  <w:left w:w="0" w:type="dxa"/>
                  <w:bottom w:w="0" w:type="dxa"/>
                  <w:right w:w="0" w:type="dxa"/>
                </w:tcMar>
              </w:tcPr>
              <w:p>
                <w:pPr>
                  <w:spacing w:line="276" w:lineRule="auto"/>
                  <w:jc w:val="both"/>
                  <w:rPr>
                    <w:rFonts w:eastAsia="Andale Sans UI"/>
                    <w:szCs w:val="24"/>
                    <w:lang w:bidi="en-US"/>
                  </w:rPr>
                </w:pPr>
              </w:p>
            </w:tc>
            <w:tc>
              <w:tcPr>
                <w:tcW w:w="4821" w:type="dxa"/>
                <w:gridSpan w:val="4"/>
                <w:tcMar>
                  <w:top w:w="0" w:type="dxa"/>
                  <w:left w:w="0" w:type="dxa"/>
                  <w:bottom w:w="0" w:type="dxa"/>
                  <w:right w:w="0" w:type="dxa"/>
                </w:tcMar>
              </w:tcPr>
              <w:p>
                <w:pPr>
                  <w:tabs>
                    <w:tab w:val="left" w:pos="2869"/>
                  </w:tabs>
                  <w:spacing w:line="276" w:lineRule="auto"/>
                  <w:ind w:right="67"/>
                  <w:jc w:val="both"/>
                  <w:rPr>
                    <w:rFonts w:eastAsia="Andale Sans UI"/>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b/>
                    <w:szCs w:val="24"/>
                    <w:lang w:eastAsia="lt-LT" w:bidi="en-US"/>
                  </w:rPr>
                </w:pPr>
                <w:r>
                  <w:rPr>
                    <w:rFonts w:eastAsia="Andale Sans UI"/>
                    <w:b/>
                    <w:caps/>
                    <w:szCs w:val="24"/>
                    <w:lang w:bidi="en-US"/>
                  </w:rPr>
                  <w:t xml:space="preserve">DĖL Lietuvos respublikos </w:t>
                </w:r>
                <w:r>
                  <w:rPr>
                    <w:rFonts w:eastAsia="Andale Sans UI"/>
                    <w:b/>
                    <w:szCs w:val="24"/>
                    <w:lang w:eastAsia="lt-LT" w:bidi="en-US"/>
                  </w:rPr>
                  <w:t>ĮSTATYMO PROJEKTO</w:t>
                </w:r>
              </w:p>
              <w:p>
                <w:pPr>
                  <w:suppressLineNumbers/>
                  <w:spacing w:line="276" w:lineRule="auto"/>
                  <w:jc w:val="both"/>
                  <w:rPr>
                    <w:rFonts w:eastAsia="Andale Sans UI"/>
                    <w:b/>
                    <w:bCs/>
                    <w:szCs w:val="24"/>
                    <w:lang w:bidi="en-US"/>
                  </w:rPr>
                </w:pPr>
              </w:p>
            </w:tc>
          </w:tr>
        </w:tbl>
        <w:p/>
      </w:sdtContent>
    </w:sdt>
    <w:sdt>
      <w:sdtPr>
        <w:alias w:val="pastraipa"/>
        <w:tag w:val="part_2aa59aca74d94a3781fb586056fece94"/>
        <w:lock w:val="sdtLocked"/>
        <w:richText/>
      </w:sdtPr>
      <w:sdtContent>
        <w:p>
          <w:pPr>
            <w:shd w:val="clear" w:color="auto" w:fill="FFFFFF"/>
            <w:ind w:firstLine="567"/>
            <w:jc w:val="both"/>
            <w:textAlignment w:val="center"/>
            <w:rPr>
              <w:rFonts w:eastAsia="Andale Sans UI"/>
              <w:szCs w:val="24"/>
              <w:lang w:bidi="en-US"/>
            </w:rPr>
          </w:pPr>
          <w:r>
            <w:rPr>
              <w:rFonts w:eastAsia="Andale Sans UI"/>
              <w:szCs w:val="24"/>
              <w:lang w:bidi="en-US"/>
            </w:rPr>
            <w:t xml:space="preserve">Aplinkos ministerija teikia derinti </w:t>
          </w:r>
          <w:r>
            <w:rPr>
              <w:rFonts w:eastAsia="Andale Sans UI" w:cs="Tahoma"/>
              <w:szCs w:val="24"/>
              <w:lang w:eastAsia="ar-SA" w:bidi="en-US"/>
            </w:rPr>
            <w:t xml:space="preserve">Lietuvos Respublikos specialiųjų žemės naudojimo sąlygų įstatymo Nr. XIII-2166 1, 8, 9, 104 ir 141 straipsnių pakeitimo įstatymo projektą </w:t>
          </w:r>
          <w:r>
            <w:rPr>
              <w:rFonts w:eastAsia="Andale Sans UI"/>
              <w:szCs w:val="24"/>
              <w:lang w:bidi="en-US"/>
            </w:rPr>
            <w:t>(toliau – Projektas).</w:t>
          </w:r>
        </w:p>
        <w:sdt>
          <w:sdtPr>
            <w:alias w:val="1 p."/>
            <w:tag w:val="part_b63de9f1bd95464e96ca45c7092b92e3"/>
            <w:lock w:val="sdtLocked"/>
            <w:richText/>
          </w:sdtPr>
          <w:sdtContent>
            <w:p>
              <w:pPr>
                <w:shd w:val="clear" w:color="auto" w:fill="FFFFFF"/>
                <w:ind w:firstLine="567"/>
                <w:jc w:val="both"/>
                <w:textAlignment w:val="center"/>
                <w:rPr>
                  <w:rFonts w:eastAsia="Andale Sans UI"/>
                  <w:b/>
                  <w:bCs/>
                  <w:szCs w:val="24"/>
                  <w:lang w:bidi="en-US"/>
                </w:rPr>
              </w:pPr>
              <w:sdt>
                <w:sdtPr>
                  <w:alias w:val="Numeris"/>
                  <w:tag w:val="nr_b63de9f1bd95464e96ca45c7092b92e3"/>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suppressAutoHyphens/>
                <w:ind w:firstLine="567"/>
                <w:jc w:val="both"/>
                <w:rPr>
                  <w:lang w:eastAsia="ar-SA"/>
                </w:rPr>
              </w:pPr>
              <w:r>
                <w:rPr>
                  <w:lang w:eastAsia="ar-SA"/>
                </w:rPr>
                <w:t>Pagal Lietuvos Respublikos specialiųjų žemės naudojimo sąlygų įstatymą (toliau – SŽNSĮ), miško žemei, saugomoms teritorijoms turi būti nustatomos miško žemei, saugomoms teritorijoms taikomos specialiosios žemės naudojimo sąlygos, t. y. teritorijos, kuriose taikomi SŽNSĮ 95 straipsnyje nurodyti ūkinės ir (ar) kitokios veiklos apribojimai.</w:t>
              </w:r>
            </w:p>
            <w:p>
              <w:pPr>
                <w:suppressAutoHyphens/>
                <w:ind w:firstLine="567"/>
                <w:jc w:val="both"/>
                <w:rPr>
                  <w:lang w:eastAsia="ar-SA"/>
                </w:rPr>
              </w:pPr>
              <w:r>
                <w:rPr>
                  <w:lang w:eastAsia="ar-SA"/>
                </w:rPr>
                <w:t xml:space="preserve">Lietuvos Respublikos nekilnojamojo turto registro įstatymo 5 straipsnio 1 dalies 2 punkte nustatyta, kad SŽNSĮ nurodytos teritorijos, kuriose taikomos specialiosios žemės naudojimo sąlygos, yra vienas iš Nekilnojamojo turto registro objektų. </w:t>
              </w:r>
            </w:p>
            <w:p>
              <w:pPr>
                <w:suppressAutoHyphens/>
                <w:ind w:firstLine="567"/>
                <w:jc w:val="both"/>
                <w:rPr>
                  <w:lang w:eastAsia="ar-SA"/>
                </w:rPr>
              </w:pPr>
              <w:r>
                <w:rPr>
                  <w:lang w:eastAsia="ar-SA"/>
                </w:rPr>
                <w:t xml:space="preserve">Vadovaujantis </w:t>
              </w:r>
              <w:r>
                <w:rPr>
                  <w:rFonts w:eastAsia="Andale Sans UI"/>
                  <w:szCs w:val="24"/>
                  <w:lang w:bidi="en-US"/>
                </w:rPr>
                <w:t xml:space="preserve">Nekilnojamojo turto registro informacinės sistemos </w:t>
              </w:r>
              <w:r>
                <w:rPr>
                  <w:lang w:eastAsia="ar-SA"/>
                </w:rPr>
                <w:t>nuostatų</w:t>
              </w:r>
              <w:r>
                <w:rPr>
                  <w:vertAlign w:val="superscript"/>
                  <w:lang w:eastAsia="ar-SA"/>
                </w:rPr>
                <w:footnoteReference w:id="1"/>
              </w:r>
              <w:r>
                <w:rPr>
                  <w:lang w:eastAsia="ar-SA"/>
                </w:rPr>
                <w:t xml:space="preserve"> (toliau – Nuostatai) 117 punktu, teritorijos, kuriose taikomos specialiosios žemės naudojimo sąlygos, įregistruojamos, išregistruojamos arba jų duomenys keičiami prašymo įregistruoti, išregistruoti registro objektą ar pakeisti jo duomenis pagrindu. Nuostatų 61 punkte nustatyta, kad kartu su prašymu įregistruoti teritoriją, kurioje taikomos specialiosios žemės naudojimo sąlygos, arba pakeisti jos duomenis turi būti pateikiami teritorijos erdviniai duomenys, parengti pagal Teritorijų, kuriose taikomos specialiosios žemės naudojimo sąlygos, erdvinių duomenų rinkinio specifikaciją</w:t>
              </w:r>
              <w:r>
                <w:rPr>
                  <w:vertAlign w:val="superscript"/>
                  <w:lang w:eastAsia="ar-SA"/>
                </w:rPr>
                <w:footnoteReference w:id="2"/>
              </w:r>
              <w:r>
                <w:rPr>
                  <w:lang w:eastAsia="ar-SA"/>
                </w:rPr>
                <w:t>.</w:t>
              </w:r>
            </w:p>
            <w:p>
              <w:pPr>
                <w:ind w:firstLine="567"/>
                <w:jc w:val="both"/>
                <w:rPr>
                  <w:szCs w:val="24"/>
                  <w:lang w:eastAsia="ar-SA"/>
                </w:rPr>
              </w:pPr>
              <w:r>
                <w:rPr>
                  <w:szCs w:val="24"/>
                  <w:lang w:eastAsia="ar-SA"/>
                </w:rPr>
                <w:t xml:space="preserve">Kadangi Lietuvos Respublikos miškų valstybės kadastre (toliau – MVK) registruojamo miško žemės </w:t>
              </w:r>
              <w:r>
                <w:rPr>
                  <w:rFonts w:eastAsia="Andale Sans UI" w:cs="Tahoma"/>
                  <w:szCs w:val="24"/>
                  <w:lang w:eastAsia="ar-SA" w:bidi="en-US"/>
                </w:rPr>
                <w:t xml:space="preserve">taksacinio sklypo ir kai kurių </w:t>
              </w:r>
              <w:r>
                <w:rPr>
                  <w:rFonts w:eastAsia="Andale Sans UI" w:cs="Tahoma"/>
                  <w:szCs w:val="24"/>
                  <w:lang w:bidi="en-US"/>
                </w:rPr>
                <w:t xml:space="preserve">Lietuvos Respublikos saugomų teritorijų valstybės kadastre (toliau </w:t>
              </w:r>
              <w:r>
                <w:rPr>
                  <w:rFonts w:eastAsia="Andale Sans UI" w:cs="Tahoma"/>
                  <w:szCs w:val="24"/>
                  <w:lang w:eastAsia="ar-SA" w:bidi="en-US"/>
                </w:rPr>
                <w:t>– STVK)</w:t>
              </w:r>
              <w:r>
                <w:rPr>
                  <w:rFonts w:eastAsia="Andale Sans UI" w:cs="Tahoma"/>
                  <w:szCs w:val="24"/>
                  <w:lang w:bidi="en-US"/>
                </w:rPr>
                <w:t xml:space="preserve"> registruojamų objektų</w:t>
              </w:r>
              <w:r>
                <w:rPr>
                  <w:rFonts w:eastAsia="Andale Sans UI" w:cs="Tahoma"/>
                  <w:szCs w:val="24"/>
                  <w:lang w:eastAsia="ar-SA" w:bidi="en-US"/>
                </w:rPr>
                <w:t xml:space="preserve"> </w:t>
              </w:r>
              <w:r>
                <w:rPr>
                  <w:szCs w:val="24"/>
                  <w:lang w:eastAsia="ar-SA"/>
                </w:rPr>
                <w:t xml:space="preserve">ir Nekilnojamojo turto registro informacinėje sistemoje (toliau – NTRIS) registruojamų teritorijų, kuriose taikomos specialiosios žemės naudojimo sąlygos miško žemėje </w:t>
              </w:r>
              <w:r>
                <w:rPr>
                  <w:rFonts w:eastAsia="Andale Sans UI" w:cs="Tahoma"/>
                  <w:szCs w:val="24"/>
                  <w:lang w:eastAsia="ar-SA" w:bidi="en-US"/>
                </w:rPr>
                <w:t>ir saugomose teritorijose</w:t>
              </w:r>
              <w:r>
                <w:rPr>
                  <w:szCs w:val="24"/>
                  <w:lang w:eastAsia="ar-SA"/>
                </w:rPr>
                <w:t xml:space="preserve">, erdviniai duomenys (ribos) sutampa, siekiant įgyvendinti Lietuvos Respublikos valstybės informacinių išteklių valdymo įstatymo (toliau – VIIVĮ) 5 straipsnio 2 dalies 5 punkte įtvirtintą integracinio sąsajumo principą, </w:t>
              </w:r>
              <w:r>
                <w:rPr>
                  <w:szCs w:val="24"/>
                </w:rPr>
                <w:t xml:space="preserve">kad valdant ir tvarkant valstybės informacinius išteklius sudarančias informacinės sistemas turi būti kuriami efektyvūs technologiniai sprendiniai, užtikrinantys tinkamą duomenų teikimą, gavimą ir mainus tarp įvairių informacinių sistemų ir sudarantys subjektui sąlygas naudotis kitų subjektų valdomais ir (ar) tvarkomais valstybės informaciniais ištekliais, kurių reikia sprendžiant subjektui priskirtus valdymo uždavinius ir gerinant asmenų aptarnavimą, </w:t>
              </w:r>
              <w:r>
                <w:rPr>
                  <w:szCs w:val="24"/>
                  <w:lang w:eastAsia="ar-SA"/>
                </w:rPr>
                <w:t xml:space="preserve">parengtas Projektas. </w:t>
              </w:r>
            </w:p>
            <w:p>
              <w:pPr>
                <w:ind w:firstLine="709"/>
                <w:jc w:val="both"/>
                <w:rPr>
                  <w:szCs w:val="24"/>
                </w:rPr>
              </w:pPr>
              <w:r>
                <w:rPr>
                  <w:szCs w:val="24"/>
                </w:rPr>
                <w:t>SŽNSĮ 104 straipsnis keičiamas atsižvelgiant į Lietuvos Respublikos specialiųjų tyrimų tarnybos 2026 m. vasario 6 d. rašte Nr. 4-01-1055 pateiktas išvadas dėl korupcijos rizikos analizės potvynių rizikos įvertinimo ir valdymo procesuose. Atlikta analizė atskleidė esminius galiojančio teisinio reglamentavimo trūkumus, kurie sudaro neskaidrių procesų ir neefektyvaus viešojo intereso gynimo prielaidas.</w:t>
              </w:r>
            </w:p>
          </w:sdtContent>
        </w:sdt>
        <w:sdt>
          <w:sdtPr>
            <w:alias w:val="2 p."/>
            <w:tag w:val="part_cde2c4c15ea44f748dd8a1a024031586"/>
            <w:lock w:val="sdtLocked"/>
            <w:richText/>
          </w:sdtPr>
          <w:sdtContent>
            <w:p>
              <w:pPr>
                <w:ind w:firstLine="567"/>
                <w:jc w:val="both"/>
                <w:rPr>
                  <w:rFonts w:eastAsia="Andale Sans UI"/>
                  <w:b/>
                  <w:bCs/>
                  <w:szCs w:val="24"/>
                  <w:lang w:bidi="en-US"/>
                </w:rPr>
              </w:pPr>
              <w:sdt>
                <w:sdtPr>
                  <w:alias w:val="Numeris"/>
                  <w:tag w:val="nr_cde2c4c15ea44f748dd8a1a024031586"/>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suppressAutoHyphens/>
                <w:ind w:firstLine="567"/>
                <w:jc w:val="both"/>
                <w:rPr>
                  <w:bCs/>
                  <w:szCs w:val="24"/>
                  <w:lang w:eastAsia="ar-SA"/>
                </w:rPr>
              </w:pPr>
              <w:r>
                <w:rPr>
                  <w:rFonts w:eastAsia="Andale Sans UI" w:cs="Tahoma"/>
                  <w:szCs w:val="24"/>
                  <w:lang w:eastAsia="ar-SA" w:bidi="en-US"/>
                </w:rPr>
                <w:t xml:space="preserve">Projektu siekiama efektyvesnio ir greitesnio </w:t>
              </w:r>
              <w:r>
                <w:rPr>
                  <w:bCs/>
                  <w:szCs w:val="24"/>
                  <w:lang w:eastAsia="ar-SA"/>
                </w:rPr>
                <w:t xml:space="preserve">teritorijų, kuriose taikomos specialiosios žemės naudojimo sąlygos miško žemėje </w:t>
              </w:r>
              <w:r>
                <w:rPr>
                  <w:rFonts w:eastAsia="Andale Sans UI" w:cs="Tahoma"/>
                  <w:szCs w:val="24"/>
                  <w:lang w:eastAsia="ar-SA" w:bidi="en-US"/>
                </w:rPr>
                <w:t>ir saugomose teritorijose</w:t>
              </w:r>
              <w:r>
                <w:rPr>
                  <w:bCs/>
                  <w:szCs w:val="24"/>
                  <w:lang w:eastAsia="ar-SA"/>
                </w:rPr>
                <w:t xml:space="preserve">, duomenų nustatymo ir įregistravimo NTRIS, taip pat šių duomenų patikslinimo automatiniu būdu pasikeitus MVK </w:t>
              </w:r>
              <w:r>
                <w:rPr>
                  <w:rFonts w:eastAsia="Andale Sans UI" w:cs="Tahoma"/>
                  <w:bCs/>
                  <w:szCs w:val="24"/>
                  <w:lang w:eastAsia="ar-SA" w:bidi="en-US"/>
                </w:rPr>
                <w:t xml:space="preserve">ar STVK </w:t>
              </w:r>
              <w:r>
                <w:rPr>
                  <w:bCs/>
                  <w:szCs w:val="24"/>
                  <w:lang w:eastAsia="ar-SA"/>
                </w:rPr>
                <w:t xml:space="preserve">objekto – miško žemės </w:t>
              </w:r>
              <w:r>
                <w:rPr>
                  <w:rFonts w:eastAsia="Andale Sans UI" w:cs="Tahoma"/>
                  <w:bCs/>
                  <w:szCs w:val="24"/>
                  <w:lang w:eastAsia="ar-SA" w:bidi="en-US"/>
                </w:rPr>
                <w:t>taksacinio sklypo ar saugomos teritorijos –</w:t>
              </w:r>
              <w:r>
                <w:rPr>
                  <w:bCs/>
                  <w:szCs w:val="24"/>
                  <w:lang w:eastAsia="ar-SA"/>
                </w:rPr>
                <w:t xml:space="preserve"> plotui. </w:t>
              </w:r>
            </w:p>
            <w:p>
              <w:pPr>
                <w:overflowPunct w:val="0"/>
                <w:ind w:firstLine="720"/>
                <w:jc w:val="both"/>
                <w:textAlignment w:val="baseline"/>
                <w:rPr>
                  <w:rFonts w:eastAsia="Andale Sans UI" w:cs="Tahoma"/>
                  <w:kern w:val="1"/>
                  <w:szCs w:val="24"/>
                  <w:lang w:eastAsia="ar-SA" w:bidi="en-US"/>
                </w:rPr>
              </w:pPr>
              <w:r>
                <w:rPr>
                  <w:rFonts w:eastAsia="Andale Sans UI" w:cs="Tahoma"/>
                  <w:bCs/>
                  <w:szCs w:val="24"/>
                  <w:lang w:bidi="en-US"/>
                </w:rPr>
                <w:t>Projektu siekiama, kad bet kokia veikla potvynių grėsmės teritorijose būtų vykdoma tvariai, o institucijų sprendimai būtų orientuoti į ilgalaikį visuomenės saugumą.</w:t>
              </w:r>
            </w:p>
            <w:p>
              <w:pPr>
                <w:suppressAutoHyphens/>
                <w:ind w:firstLine="567"/>
                <w:jc w:val="both"/>
                <w:rPr>
                  <w:rFonts w:eastAsia="Andale Sans UI" w:cs="Tahoma"/>
                  <w:szCs w:val="24"/>
                  <w:lang w:bidi="en-US"/>
                </w:rPr>
              </w:pPr>
              <w:r>
                <w:rPr>
                  <w:rFonts w:eastAsia="Andale Sans UI" w:cs="Tahoma"/>
                  <w:szCs w:val="24"/>
                  <w:lang w:bidi="en-US"/>
                </w:rPr>
                <w:t>Konkretūs Projekte siūlomi teisinio reguliavimo pakeitimai nurodyti aiškinamajame rašte.</w:t>
              </w:r>
            </w:p>
          </w:sdtContent>
        </w:sdt>
        <w:sdt>
          <w:sdtPr>
            <w:alias w:val="3 p."/>
            <w:tag w:val="part_1a776a16057d4aceb336896eb433ea24"/>
            <w:lock w:val="sdtLocked"/>
            <w:richText/>
          </w:sdtPr>
          <w:sdtContent>
            <w:p>
              <w:pPr>
                <w:ind w:firstLine="567"/>
                <w:jc w:val="both"/>
                <w:rPr>
                  <w:rFonts w:eastAsia="Andale Sans UI"/>
                  <w:b/>
                  <w:bCs/>
                  <w:szCs w:val="24"/>
                  <w:lang w:bidi="en-US"/>
                </w:rPr>
              </w:pPr>
              <w:sdt>
                <w:sdtPr>
                  <w:alias w:val="Numeris"/>
                  <w:tag w:val="nr_1a776a16057d4aceb336896eb433ea24"/>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ind w:firstLine="567"/>
                <w:jc w:val="both"/>
                <w:rPr>
                  <w:rFonts w:eastAsia="Andale Sans UI"/>
                  <w:szCs w:val="24"/>
                  <w:lang w:bidi="en-US"/>
                </w:rPr>
              </w:pPr>
              <w:r>
                <w:rPr>
                  <w:rFonts w:eastAsia="Andale Sans UI"/>
                  <w:szCs w:val="24"/>
                  <w:lang w:bidi="en-US"/>
                </w:rPr>
                <w:t>Projektu siūloma nustatyti, kad:</w:t>
              </w:r>
            </w:p>
            <w:p>
              <w:pPr>
                <w:ind w:firstLine="567"/>
                <w:jc w:val="both"/>
                <w:rPr>
                  <w:rFonts w:eastAsia="Andale Sans UI"/>
                  <w:szCs w:val="24"/>
                  <w:lang w:bidi="en-US"/>
                </w:rPr>
              </w:pPr>
              <w:r>
                <w:rPr>
                  <w:rFonts w:eastAsia="Andale Sans UI"/>
                  <w:b/>
                  <w:bCs/>
                  <w:szCs w:val="24"/>
                  <w:lang w:bidi="en-US"/>
                </w:rPr>
                <w:t xml:space="preserve">- </w:t>
              </w:r>
              <w:r>
                <w:rPr>
                  <w:rFonts w:eastAsia="Andale Sans UI"/>
                  <w:szCs w:val="24"/>
                  <w:lang w:bidi="en-US"/>
                </w:rPr>
                <w:t>SŽNSĮ nurodytų teritorijų registravimo NTRIS teisinis pagrindas gali būti ne tik dokumentai, įrodantys šio įstatymo 6 straipsnio 1 dalyje nurodytų dokumentų, kuriais šios teritorijos nustatomos, patvirtinimą, bet ir MVK registruotų miško žemės taksacinių sklypų, STVK registruotų objektų, kurių ribos sutampa su jiems nustatytų teritorijų ribomis, duomenys;</w:t>
              </w:r>
            </w:p>
            <w:p>
              <w:pPr>
                <w:ind w:firstLine="567"/>
                <w:jc w:val="both"/>
                <w:rPr>
                  <w:rFonts w:eastAsia="Andale Sans UI"/>
                  <w:szCs w:val="24"/>
                  <w:lang w:bidi="en-US"/>
                </w:rPr>
              </w:pPr>
              <w:r>
                <w:rPr>
                  <w:rFonts w:eastAsia="Andale Sans UI"/>
                  <w:szCs w:val="24"/>
                  <w:lang w:bidi="en-US"/>
                </w:rPr>
                <w:t>- SŽNSĮ nurodytos teritorijos galėtų būti registruojamos be asmens, suinteresuoto ūkinės ir (ar) kitokios veiklos, dėl kurios nustatytos šiame įstatyme nurodytos teritorijos, vykdymu, prašymo, kai jos registruojamos MVK registruotų miško žemės taksacinių sklypų, STVK registruotų objektų, kurių ribos sutampa su jiems nustatytų teritorijų ribomis, duomenų pagrindu;</w:t>
              </w:r>
            </w:p>
            <w:p>
              <w:pPr>
                <w:ind w:firstLine="567"/>
                <w:jc w:val="both"/>
                <w:rPr>
                  <w:rFonts w:eastAsia="Andale Sans UI"/>
                  <w:szCs w:val="24"/>
                  <w:lang w:bidi="en-US"/>
                </w:rPr>
              </w:pPr>
              <w:r>
                <w:rPr>
                  <w:rFonts w:eastAsia="Andale Sans UI"/>
                  <w:szCs w:val="24"/>
                  <w:lang w:bidi="en-US"/>
                </w:rPr>
                <w:t>- žemės savininkas, valstybinės ar savivaldybės žemės patikėtinis, taip pat fizinis ar juridinis asmuo arba kita organizacija ar jų padaliniai, naudojantys žemę pagal NTRIS įregistruotą sutartį, ir (ar) nustatytoje šiame įstatyme nurodytoje teritorijoje esančių NTRIS įregistruotų nekilnojamųjų daiktų savininkai ar patikėtiniai apie nustatytas teritorijas, kuriose taikomos specialiosios žemės naudojimo sąlygos miško žemėje ir saugomose teritorijose, nėra informuojami SŽNSĮ 11 straipsnyje nustatyta tvarka (siunčiant pranešimus per E. pristatymo sistemą arba elektroniniu paštu), tačiau NTRIS tvarkytojas apie teritorijas, kuriose taikomos specialiosios žemės naudojimo sąlygos miško žemėje ir saugomose teritorijose, per 10 darbo dienų nuo minėtų teritorijų įregistravimo NTRIS paskelbia savo interneto svetainėje bei Lietuvos erdvinės informacijos portale (geoportal.lt);</w:t>
              </w:r>
            </w:p>
            <w:p>
              <w:pPr>
                <w:overflowPunct w:val="0"/>
                <w:ind w:firstLine="720"/>
                <w:jc w:val="both"/>
                <w:textAlignment w:val="baseline"/>
                <w:rPr>
                  <w:rFonts w:eastAsia="Andale Sans UI"/>
                  <w:szCs w:val="24"/>
                  <w:lang w:bidi="en-US"/>
                </w:rPr>
              </w:pPr>
              <w:r>
                <w:rPr>
                  <w:rFonts w:eastAsia="Andale Sans UI"/>
                  <w:szCs w:val="24"/>
                  <w:lang w:bidi="en-US"/>
                </w:rPr>
                <w:t>- statyba vidutinės tikimybės potvynių grėsmės teritorijose galima tik tada, kai pastatai yra ne tik apsaugoti nuo potvynių, bet ir nedidina potvynių grėsmės šalia esančioms teritorijoms. Papildžius straipsnį draudimu keisti žemės paviršiaus lygį, panaikinama galimybė manipuliuoti sklypo altitudėmis siekiant išvengti specialiųjų žemės naudojimo sąlygų taikymo. Nustatomas reikalavimas, kad</w:t>
              </w:r>
              <w:r>
                <w:rPr>
                  <w:color w:val="000000"/>
                  <w:szCs w:val="24"/>
                  <w:lang w:bidi="en-US"/>
                </w:rPr>
                <w:t xml:space="preserve"> žemės paviršiaus lygio keitimo sprendiniai būtų statinio projekto dalis. </w:t>
              </w:r>
              <w:r>
                <w:rPr>
                  <w:rFonts w:eastAsia="Andale Sans UI"/>
                  <w:szCs w:val="24"/>
                  <w:lang w:bidi="en-US"/>
                </w:rPr>
                <w:t>Tikimasi, kad toks reglamentavimas įpareigotų potvynių apsaugos sprendimus grįsti realiais inžineriniais skaičiavimais, užtikrinant skaidrumą bei asmeninę projektuotojų ir derinančių institucijų atsakomybę.</w:t>
              </w:r>
            </w:p>
            <w:p>
              <w:pPr>
                <w:ind w:firstLine="567"/>
                <w:jc w:val="both"/>
                <w:rPr>
                  <w:rFonts w:eastAsia="Andale Sans UI" w:cs="Tahoma"/>
                  <w:szCs w:val="24"/>
                  <w:lang w:eastAsia="ar-SA" w:bidi="en-US"/>
                </w:rPr>
              </w:pPr>
              <w:r>
                <w:rPr>
                  <w:rFonts w:eastAsia="Andale Sans UI"/>
                  <w:szCs w:val="24"/>
                  <w:lang w:bidi="en-US"/>
                </w:rPr>
                <w:t xml:space="preserve">Projektu taip pat siūloma patikslinti atitinkamas SŽNSĮ nuostatas atsižvelgiant į VIIVĮ, kuriame nustatyta, kad </w:t>
              </w:r>
              <w:r>
                <w:rPr>
                  <w:rFonts w:eastAsia="Andale Sans UI" w:cs="Tahoma"/>
                  <w:szCs w:val="24"/>
                  <w:lang w:eastAsia="ar-SA" w:bidi="en-US"/>
                </w:rPr>
                <w:t>registrų objektai registruojami ne registre, bet registro informacinėje sistemoje.</w:t>
              </w:r>
            </w:p>
            <w:p>
              <w:pPr>
                <w:ind w:firstLine="567"/>
                <w:jc w:val="both"/>
                <w:rPr>
                  <w:rFonts w:eastAsia="Andale Sans UI"/>
                  <w:szCs w:val="24"/>
                  <w:lang w:bidi="en-US"/>
                </w:rPr>
              </w:pPr>
              <w:r>
                <w:rPr>
                  <w:rFonts w:eastAsia="Andale Sans UI"/>
                  <w:szCs w:val="24"/>
                  <w:lang w:bidi="en-US"/>
                </w:rPr>
                <w:t>2025 m. rugsėjo 18 d. Lietuvos Respublikos Seimas priėmė Lietuvos Respublikos miškų įstatymo Nr. I-671 2, 4, 5, 11, 13 straipsnių, III skyriaus pavadinimo pakeitimo ir Įstatymo papildymo 13-1 straipsniu įstatymą ir Lietuvos Respublikos saugomų teritorijų įstatymo Nr. I-301 2, 5, 9, 10, 14, 17, 21, 24, 25, 27 ir 32 straipsnių pakeitimo įstatymą (jie įsigalios 2027 m. sausio 1 d.), pagal kuriuos miško žemės taksaciniai sklypai bus registruojami ne MVK, bet Miškų registro informacinėje sistemoje, o saugomų teritorijų registro objektai registruojami ne SVTK, bet Saugomų teritorijų registro informacinėje sistemoje, todėl Projektu siūloma nustatyti, kad 2027 m. sausio 1 d. įsigaliotų nuostatos, derančios su priimtų įstatymų nuostatomis.</w:t>
              </w:r>
            </w:p>
            <w:p>
              <w:pPr>
                <w:ind w:firstLine="567"/>
                <w:jc w:val="both"/>
                <w:rPr>
                  <w:rFonts w:eastAsia="Andale Sans UI"/>
                  <w:szCs w:val="24"/>
                  <w:lang w:bidi="en-US"/>
                </w:rPr>
              </w:pPr>
              <w:r>
                <w:rPr>
                  <w:rFonts w:eastAsia="Andale Sans UI"/>
                  <w:szCs w:val="24"/>
                  <w:lang w:bidi="en-US"/>
                </w:rPr>
                <w:t xml:space="preserve">Projektui įgyvendinti papildomų valstybės biudžeto lėšų nereikės. </w:t>
              </w:r>
            </w:p>
            <w:p>
              <w:pPr>
                <w:overflowPunct w:val="0"/>
                <w:ind w:firstLine="567"/>
                <w:jc w:val="both"/>
                <w:textAlignment w:val="baseline"/>
                <w:rPr>
                  <w:rFonts w:ascii="Tahoma" w:eastAsia="Andale Sans UI" w:hAnsi="Tahoma" w:cs="Tahoma"/>
                  <w:sz w:val="22"/>
                  <w:szCs w:val="22"/>
                  <w:lang w:bidi="en-US"/>
                </w:rPr>
              </w:pPr>
              <w:r>
                <w:rPr>
                  <w:rFonts w:eastAsia="Andale Sans UI"/>
                  <w:szCs w:val="24"/>
                  <w:lang w:bidi="en-US"/>
                </w:rPr>
                <w:t xml:space="preserve">Priėmus Projektą, </w:t>
              </w:r>
              <w:r>
                <w:rPr>
                  <w:rFonts w:eastAsia="Andale Sans UI" w:cs="Tahoma"/>
                  <w:bCs/>
                  <w:szCs w:val="24"/>
                  <w:lang w:bidi="en-US"/>
                </w:rPr>
                <w:t xml:space="preserve">bus automatiškai registruojami pirminiai teritorijų, kuriose taikomos specialiosios žemės naudojimo sąlygos miško žemėje ir saugomose teritorijose, duomenys ir valdomi jų pokyčiai realiame laike </w:t>
              </w:r>
              <w:r>
                <w:rPr>
                  <w:rFonts w:eastAsia="Andale Sans UI"/>
                  <w:szCs w:val="24"/>
                  <w:lang w:bidi="en-US"/>
                </w:rPr>
                <w:t>mažesnėmis sąnaudomis</w:t>
              </w:r>
              <w:r>
                <w:rPr>
                  <w:rFonts w:eastAsia="Andale Sans UI" w:cs="Tahoma"/>
                  <w:bCs/>
                  <w:szCs w:val="24"/>
                  <w:lang w:bidi="en-US"/>
                </w:rPr>
                <w:t xml:space="preserve">; </w:t>
              </w:r>
              <w:r>
                <w:rPr>
                  <w:rFonts w:eastAsia="Andale Sans UI" w:cs="Tahoma"/>
                  <w:color w:val="000000"/>
                  <w:szCs w:val="24"/>
                  <w:lang w:bidi="en-US"/>
                </w:rPr>
                <w:t xml:space="preserve">supaprastintas </w:t>
              </w:r>
              <w:r>
                <w:rPr>
                  <w:rFonts w:eastAsia="Andale Sans UI" w:cs="Tahoma"/>
                  <w:szCs w:val="24"/>
                  <w:lang w:bidi="en-US"/>
                </w:rPr>
                <w:t xml:space="preserve">informavimo apie nustatytas </w:t>
              </w:r>
              <w:r>
                <w:rPr>
                  <w:rFonts w:eastAsia="Andale Sans UI"/>
                  <w:szCs w:val="24"/>
                  <w:lang w:bidi="en-US"/>
                </w:rPr>
                <w:t>teritorijas,</w:t>
              </w:r>
              <w:r>
                <w:rPr>
                  <w:rFonts w:eastAsia="Andale Sans UI"/>
                  <w:color w:val="000000"/>
                  <w:szCs w:val="24"/>
                  <w:lang w:bidi="en-US"/>
                </w:rPr>
                <w:t xml:space="preserve"> kuriose taikomos specialiosios žemės naudojimo sąlygos miško žemėje ir saugomose teritorijose, procesas, kuris </w:t>
              </w:r>
              <w:r>
                <w:rPr>
                  <w:rFonts w:eastAsia="Andale Sans UI"/>
                  <w:szCs w:val="24"/>
                  <w:lang w:bidi="en-US"/>
                </w:rPr>
                <w:t xml:space="preserve">užtikrintų vienodą prieigą visiems suinteresuotiems asmenims, nepriklausomai nuo jų gyvenamosios vietos ar pašto paslaugų prieinamumo; įgyvendintas potvynių apsaugos sprendimų pagrindimas realiais inžineriniais skaičiavimais, užtikrinant skaidrumą bei asmeninę projektuotojų ir derinančių institucijų atsakomybę; </w:t>
              </w:r>
              <w:r>
                <w:rPr>
                  <w:rFonts w:eastAsia="Andale Sans UI" w:cs="Tahoma"/>
                  <w:bCs/>
                  <w:szCs w:val="24"/>
                  <w:lang w:bidi="en-US"/>
                </w:rPr>
                <w:t>užtikrintas SŽNSĮ nuostatų suderinamumas su VIIVĮ nuostatomis.</w:t>
              </w:r>
            </w:p>
          </w:sdtContent>
        </w:sdt>
        <w:sdt>
          <w:sdtPr>
            <w:alias w:val="4 p."/>
            <w:tag w:val="part_fa26c6f2a6de49d886b7b371da649842"/>
            <w:lock w:val="sdtLocked"/>
            <w:richText/>
          </w:sdtPr>
          <w:sdtContent>
            <w:p>
              <w:pPr>
                <w:shd w:val="clear" w:color="auto" w:fill="FFFFFF"/>
                <w:ind w:firstLine="567"/>
                <w:jc w:val="both"/>
                <w:textAlignment w:val="center"/>
                <w:rPr>
                  <w:rFonts w:eastAsia="Andale Sans UI"/>
                  <w:b/>
                  <w:bCs/>
                  <w:szCs w:val="24"/>
                  <w:lang w:bidi="en-US"/>
                </w:rPr>
              </w:pPr>
              <w:sdt>
                <w:sdtPr>
                  <w:alias w:val="Numeris"/>
                  <w:tag w:val="nr_fa26c6f2a6de49d886b7b371da649842"/>
                  <w:lock w:val="sdtLocked"/>
                  <w:richText/>
                </w:sdtPr>
                <w:sdtContent>
                  <w:r>
                    <w:rPr>
                      <w:rFonts w:eastAsia="Andale Sans UI"/>
                      <w:b/>
                      <w:bCs/>
                      <w:szCs w:val="24"/>
                      <w:lang w:bidi="en-US"/>
                    </w:rPr>
                    <w:t>4</w:t>
                  </w:r>
                </w:sdtContent>
              </w:sdt>
              <w:r>
                <w:rPr>
                  <w:rFonts w:eastAsia="Andale Sans UI"/>
                  <w:b/>
                  <w:bCs/>
                  <w:szCs w:val="24"/>
                  <w:lang w:bidi="en-US"/>
                </w:rPr>
                <w:t>. Rodikliai, kurie bus stebimi</w:t>
              </w:r>
            </w:p>
            <w:p>
              <w:pPr>
                <w:ind w:firstLine="567"/>
                <w:jc w:val="both"/>
                <w:rPr>
                  <w:rFonts w:eastAsia="Andale Sans UI"/>
                  <w:szCs w:val="24"/>
                  <w:lang w:bidi="en-US"/>
                </w:rPr>
              </w:pPr>
              <w:r>
                <w:rPr>
                  <w:rFonts w:eastAsia="Andale Sans UI"/>
                  <w:szCs w:val="24"/>
                  <w:lang w:bidi="en-US"/>
                </w:rPr>
                <w:t>Projektu atliekamų pakeitimų rodikliai nebus stebimi.</w:t>
              </w:r>
            </w:p>
          </w:sdtContent>
        </w:sdt>
        <w:sdt>
          <w:sdtPr>
            <w:alias w:val="5 p."/>
            <w:tag w:val="part_a44e91c123c94b5aa89d3d7260ce1e49"/>
            <w:lock w:val="sdtLocked"/>
            <w:richText/>
          </w:sdtPr>
          <w:sdtContent>
            <w:p>
              <w:pPr>
                <w:ind w:firstLine="567"/>
                <w:jc w:val="both"/>
                <w:rPr>
                  <w:szCs w:val="24"/>
                  <w:lang w:eastAsia="lt-LT" w:bidi="en-US"/>
                </w:rPr>
              </w:pPr>
              <w:sdt>
                <w:sdtPr>
                  <w:alias w:val="Numeris"/>
                  <w:tag w:val="nr_a44e91c123c94b5aa89d3d7260ce1e49"/>
                  <w:lock w:val="sdtLocked"/>
                  <w:richText/>
                </w:sdtPr>
                <w:sdtContent>
                  <w:r>
                    <w:rPr>
                      <w:b/>
                      <w:bCs/>
                      <w:szCs w:val="24"/>
                      <w:lang w:eastAsia="lt-LT" w:bidi="en-US"/>
                    </w:rPr>
                    <w:t>5</w:t>
                  </w:r>
                </w:sdtContent>
              </w:sdt>
              <w:r>
                <w:rPr>
                  <w:b/>
                  <w:bCs/>
                  <w:szCs w:val="24"/>
                  <w:lang w:eastAsia="lt-LT" w:bidi="en-US"/>
                </w:rPr>
                <w:t>. Lietuvos Respublikos Vyriausybės programos</w:t>
              </w:r>
              <w:r>
                <w:rPr>
                  <w:b/>
                  <w:bCs/>
                  <w:szCs w:val="24"/>
                  <w:vertAlign w:val="superscript"/>
                  <w:lang w:eastAsia="lt-LT" w:bidi="en-US"/>
                </w:rPr>
                <w:footnoteReference w:id="3"/>
              </w:r>
              <w:r>
                <w:rPr>
                  <w:b/>
                  <w:bCs/>
                  <w:szCs w:val="24"/>
                  <w:lang w:eastAsia="lt-LT" w:bidi="en-US"/>
                </w:rPr>
                <w:t xml:space="preserve"> nuostatų įgyvendinimas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cs="MS Gothic"/>
                  <w:szCs w:val="24"/>
                  <w:lang w:bidi="en-US"/>
                </w:rPr>
                <w:t>☐</w:t>
              </w:r>
              <w:r>
                <w:rPr>
                  <w:rFonts w:eastAsia="Andale Sans UI"/>
                  <w:szCs w:val="24"/>
                  <w:lang w:bidi="en-US"/>
                </w:rPr>
                <w:t xml:space="preserve"> Projektu įgyvendinamos šios Lietuvos Respublikos Vyriausybės programos nuostatos: (</w:t>
              </w:r>
              <w:r>
                <w:rPr>
                  <w:rFonts w:eastAsia="Andale Sans UI"/>
                  <w:i/>
                  <w:iCs/>
                  <w:szCs w:val="24"/>
                  <w:lang w:bidi="en-US"/>
                </w:rPr>
                <w:t>nurodomos programos nuostatos ir punktas ar papunktis, kuriame jos nurodytos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neprieštarauja Dvidešimtosios Lietuvos Respublikos Vyriausybės programai.</w:t>
              </w:r>
            </w:p>
          </w:sdtContent>
        </w:sdt>
        <w:sdt>
          <w:sdtPr>
            <w:alias w:val="6 p."/>
            <w:tag w:val="part_9f282e6029f4434f994748fc5a6bf16c"/>
            <w:lock w:val="sdtLocked"/>
            <w:richText/>
          </w:sdtPr>
          <w:sdtContent>
            <w:p>
              <w:pPr>
                <w:ind w:firstLine="567"/>
                <w:jc w:val="both"/>
                <w:rPr>
                  <w:szCs w:val="24"/>
                  <w:lang w:eastAsia="lt-LT" w:bidi="en-US"/>
                </w:rPr>
              </w:pPr>
              <w:sdt>
                <w:sdtPr>
                  <w:alias w:val="Numeris"/>
                  <w:tag w:val="nr_9f282e6029f4434f994748fc5a6bf16c"/>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ind w:firstLine="567"/>
                <w:jc w:val="both"/>
                <w:rPr>
                  <w:color w:val="000000"/>
                  <w:szCs w:val="24"/>
                  <w:lang w:eastAsia="lt-LT" w:bidi="en-US"/>
                </w:rPr>
              </w:pPr>
              <w:r>
                <w:rPr>
                  <w:rFonts w:ascii="MS Gothic" w:eastAsia="MS Gothic" w:hAnsi="MS Gothic" w:cs="MS Gothic"/>
                  <w:szCs w:val="24"/>
                  <w:lang w:bidi="en-US"/>
                </w:rPr>
                <w:t>☐</w:t>
              </w:r>
              <w:r>
                <w:rPr>
                  <w:rFonts w:eastAsia="Andale Sans UI"/>
                  <w:szCs w:val="24"/>
                  <w:lang w:bidi="en-US"/>
                </w:rPr>
                <w:t xml:space="preserve"> Projektu perkeliamos (</w:t>
              </w:r>
              <w:r>
                <w:rPr>
                  <w:rFonts w:eastAsia="Andale Sans UI"/>
                  <w:i/>
                  <w:iCs/>
                  <w:szCs w:val="24"/>
                  <w:lang w:bidi="en-US"/>
                </w:rPr>
                <w:t>dėl Direktyvų</w:t>
              </w:r>
              <w:r>
                <w:rPr>
                  <w:rFonts w:eastAsia="Andale Sans UI"/>
                  <w:szCs w:val="24"/>
                  <w:lang w:bidi="en-US"/>
                </w:rPr>
                <w:t>) ir (ar) įgyvendinamos (</w:t>
              </w:r>
              <w:r>
                <w:rPr>
                  <w:rFonts w:eastAsia="Andale Sans UI"/>
                  <w:i/>
                  <w:iCs/>
                  <w:szCs w:val="24"/>
                  <w:lang w:bidi="en-US"/>
                </w:rPr>
                <w:t>dėl Reglamentų ir Sprendimų</w:t>
              </w:r>
              <w:r>
                <w:rPr>
                  <w:rFonts w:eastAsia="Andale Sans UI"/>
                  <w:szCs w:val="24"/>
                  <w:lang w:bidi="en-US"/>
                </w:rPr>
                <w:t>) šios Europos Sąjungos teisės aktų nuostatos: (</w:t>
              </w:r>
              <w:r>
                <w:rPr>
                  <w:rFonts w:eastAsia="Andale Sans UI"/>
                  <w:i/>
                  <w:iCs/>
                  <w:szCs w:val="24"/>
                  <w:lang w:bidi="en-US"/>
                </w:rPr>
                <w:t>išvardijama</w:t>
              </w:r>
              <w:r>
                <w:rPr>
                  <w:rFonts w:eastAsia="Andale Sans UI"/>
                  <w:szCs w:val="24"/>
                  <w:lang w:eastAsia="lt-LT" w:bidi="en-US"/>
                </w:rPr>
                <w:t>). (</w:t>
              </w:r>
              <w:r>
                <w:rPr>
                  <w:rFonts w:eastAsia="Andale Sans UI"/>
                  <w:i/>
                  <w:iCs/>
                  <w:szCs w:val="24"/>
                  <w:lang w:eastAsia="lt-LT" w:bidi="en-US"/>
                </w:rPr>
                <w:t>Taip pat nurodomi kiti su Projektu susiję tiesiogiai taikomi Europos Sąjungos teisės aktai, kai jie nėra įgyvendinami.</w:t>
              </w:r>
              <w:r>
                <w:rPr>
                  <w:rFonts w:eastAsia="Andale Sans UI"/>
                  <w:szCs w:val="24"/>
                  <w:lang w:eastAsia="lt-LT" w:bidi="en-US"/>
                </w:rPr>
                <w:t xml:space="preserve">) Projektas yra įtrauktas į perkeliamo ir (ar) įgyvendinamo Europos Sąjungos teisės akto perkėlimo ir įgyvendinimo planą Lietuvos narystės Europos Sąjungoje informacinėje sistemoje (LINESIS), į kurią įkelta  atitikties lentelė</w:t>
              </w:r>
              <w:r>
                <w:rPr>
                  <w:rFonts w:eastAsia="Andale Sans UI"/>
                  <w:szCs w:val="24"/>
                  <w:vertAlign w:val="superscript"/>
                  <w:lang w:eastAsia="lt-LT" w:bidi="en-US"/>
                </w:rPr>
                <w:footnoteReference w:id="4"/>
              </w:r>
              <w:r>
                <w:rPr>
                  <w:rFonts w:eastAsia="Andale Sans UI"/>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 xml:space="preserve">susijusių Europos Sąjungos teisės aktų perkėlimą ir (ar) įgyvendinimą, reikės priimti </w:t>
              </w:r>
              <w:r>
                <w:rPr>
                  <w:i/>
                  <w:iCs/>
                  <w:color w:val="000000"/>
                  <w:szCs w:val="24"/>
                  <w:lang w:eastAsia="lt-LT" w:bidi="en-US"/>
                </w:rPr>
                <w:t>...</w:t>
              </w:r>
              <w:r>
                <w:rPr>
                  <w:color w:val="000000"/>
                  <w:szCs w:val="24"/>
                  <w:lang w:eastAsia="lt-LT" w:bidi="en-US"/>
                </w:rPr>
                <w:t>(</w:t>
              </w:r>
              <w:r>
                <w:rPr>
                  <w:i/>
                  <w:iCs/>
                  <w:color w:val="000000"/>
                  <w:szCs w:val="24"/>
                  <w:lang w:eastAsia="lt-LT" w:bidi="en-US"/>
                </w:rPr>
                <w:t>išvardijami Lietuvos Respublikos teisės aktai, kuriuos reikės priimti</w:t>
              </w:r>
              <w:r>
                <w:rPr>
                  <w:color w:val="000000"/>
                  <w:szCs w:val="24"/>
                  <w:lang w:eastAsia="lt-LT" w:bidi="en-US"/>
                </w:rPr>
                <w:t>) (</w:t>
              </w:r>
              <w:r>
                <w:rPr>
                  <w:b/>
                  <w:bCs/>
                  <w:color w:val="000000"/>
                  <w:szCs w:val="24"/>
                  <w:lang w:eastAsia="lt-LT" w:bidi="en-US"/>
                </w:rPr>
                <w:t>arba</w:t>
              </w:r>
              <w:r>
                <w:rPr>
                  <w:color w:val="000000"/>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kitų teisės aktų priimti nereikės).</w:t>
              </w:r>
            </w:p>
          </w:sdtContent>
        </w:sdt>
        <w:sdt>
          <w:sdtPr>
            <w:alias w:val="7 p."/>
            <w:tag w:val="part_965f3614da994b31ac83d383fd674c6a"/>
            <w:lock w:val="sdtLocked"/>
            <w:richText/>
          </w:sdtPr>
          <w:sdtContent>
            <w:p>
              <w:pPr>
                <w:ind w:firstLine="567"/>
                <w:jc w:val="both"/>
                <w:rPr>
                  <w:szCs w:val="24"/>
                  <w:lang w:eastAsia="lt-LT" w:bidi="en-US"/>
                </w:rPr>
              </w:pPr>
              <w:sdt>
                <w:sdtPr>
                  <w:alias w:val="Numeris"/>
                  <w:tag w:val="nr_965f3614da994b31ac83d383fd674c6a"/>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5"/>
              </w:r>
              <w:r>
                <w:rPr>
                  <w:rFonts w:eastAsia="Andale Sans UI"/>
                  <w:b/>
                  <w:bCs/>
                  <w:szCs w:val="24"/>
                  <w:lang w:bidi="en-US"/>
                </w:rPr>
                <w:t xml:space="preserve"> Europos Komisijai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 (</w:t>
              </w:r>
              <w:r>
                <w:rPr>
                  <w:rFonts w:eastAsia="Andale Sans UI"/>
                  <w:i/>
                  <w:iCs/>
                  <w:szCs w:val="24"/>
                  <w:lang w:bidi="en-US"/>
                </w:rPr>
                <w:t>nurodoma data</w:t>
              </w:r>
              <w:r>
                <w:rPr>
                  <w:rFonts w:eastAsia="Andale Sans UI"/>
                  <w:szCs w:val="24"/>
                  <w:lang w:bidi="en-US"/>
                </w:rPr>
                <w:t>).</w:t>
              </w:r>
            </w:p>
          </w:sdtContent>
        </w:sdt>
        <w:sdt>
          <w:sdtPr>
            <w:alias w:val="8 p."/>
            <w:tag w:val="part_11e00e9ece1643bc9a26c01e414e7852"/>
            <w:lock w:val="sdtLocked"/>
            <w:richText/>
          </w:sdtPr>
          <w:sdtContent>
            <w:p>
              <w:pPr>
                <w:ind w:firstLine="567"/>
                <w:jc w:val="both"/>
                <w:rPr>
                  <w:color w:val="000000"/>
                  <w:szCs w:val="24"/>
                  <w:lang w:eastAsia="lt-LT" w:bidi="en-US"/>
                </w:rPr>
              </w:pPr>
              <w:sdt>
                <w:sdtPr>
                  <w:alias w:val="Numeris"/>
                  <w:tag w:val="nr_11e00e9ece1643bc9a26c01e414e7852"/>
                  <w:lock w:val="sdtLocked"/>
                  <w:richText/>
                </w:sdtPr>
                <w:sdtContent>
                  <w:r>
                    <w:rPr>
                      <w:rFonts w:eastAsia="Andale Sans UI"/>
                      <w:b/>
                      <w:bCs/>
                      <w:szCs w:val="24"/>
                      <w:lang w:bidi="en-US"/>
                    </w:rPr>
                    <w:t>8</w:t>
                  </w:r>
                </w:sdtContent>
              </w:sdt>
              <w:r>
                <w:rPr>
                  <w:rFonts w:eastAsia="Andale Sans UI"/>
                  <w:b/>
                  <w:bCs/>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6"/>
              </w:r>
              <w:r>
                <w:rPr>
                  <w:color w:val="000000"/>
                  <w:szCs w:val="24"/>
                  <w:lang w:eastAsia="lt-LT" w:bidi="en-US"/>
                </w:rPr>
                <w:t xml:space="preserve"> (</w:t>
              </w:r>
              <w:r>
                <w:rPr>
                  <w:szCs w:val="24"/>
                  <w:lang w:eastAsia="lt-LT" w:bidi="en-US"/>
                </w:rPr>
                <w:t>pažymimas tinkamas variantas)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b4c815fa00d74e87aa7985cc351e8ba6"/>
            <w:lock w:val="sdtLocked"/>
            <w:richText/>
          </w:sdtPr>
          <w:sdtContent>
            <w:p>
              <w:pPr>
                <w:ind w:firstLine="567"/>
                <w:jc w:val="both"/>
                <w:rPr>
                  <w:rFonts w:eastAsia="Andale Sans UI"/>
                  <w:b/>
                  <w:bCs/>
                  <w:szCs w:val="24"/>
                  <w:lang w:bidi="en-US"/>
                </w:rPr>
              </w:pPr>
              <w:sdt>
                <w:sdtPr>
                  <w:alias w:val="Numeris"/>
                  <w:tag w:val="nr_b4c815fa00d74e87aa7985cc351e8ba6"/>
                  <w:lock w:val="sdtLocked"/>
                  <w:richText/>
                </w:sdtPr>
                <w:sdtContent>
                  <w:r>
                    <w:rPr>
                      <w:rFonts w:eastAsia="Andale Sans UI"/>
                      <w:b/>
                      <w:bCs/>
                      <w:szCs w:val="24"/>
                      <w:lang w:bidi="en-US"/>
                    </w:rPr>
                    <w:t>9</w:t>
                  </w:r>
                </w:sdtContent>
              </w:sdt>
              <w:r>
                <w:rPr>
                  <w:rFonts w:eastAsia="Andale Sans UI"/>
                  <w:b/>
                  <w:bCs/>
                  <w:szCs w:val="24"/>
                  <w:lang w:bidi="en-US"/>
                </w:rPr>
                <w:t>. Numatomo teisinio reguliavimo poveikio vertinimas</w:t>
              </w:r>
              <w:r>
                <w:rPr>
                  <w:rFonts w:eastAsia="Andale Sans UI"/>
                  <w:b/>
                  <w:bCs/>
                  <w:szCs w:val="24"/>
                  <w:vertAlign w:val="superscript"/>
                  <w:lang w:bidi="en-US"/>
                </w:rPr>
                <w:footnoteReference w:id="7"/>
              </w:r>
              <w:r>
                <w:rPr>
                  <w:rFonts w:eastAsia="Andale Sans UI"/>
                  <w:b/>
                  <w:bCs/>
                  <w:szCs w:val="24"/>
                  <w:lang w:bidi="en-US"/>
                </w:rPr>
                <w:t xml:space="preserve"> </w:t>
              </w:r>
              <w:r>
                <w:rPr>
                  <w:szCs w:val="24"/>
                  <w:lang w:eastAsia="lt-LT" w:bidi="en-US"/>
                </w:rPr>
                <w:t>(pažymimas tinkamas variantas)</w:t>
              </w:r>
            </w:p>
            <w:p>
              <w:pPr>
                <w:widowControl w:val="0"/>
                <w:ind w:firstLine="567"/>
                <w:jc w:val="both"/>
                <w:rPr>
                  <w:rFonts w:eastAsia="Andale Sans UI"/>
                  <w:b/>
                  <w:bCs/>
                  <w:szCs w:val="24"/>
                  <w:lang w:bidi="en-US"/>
                </w:rPr>
              </w:pPr>
              <w:r>
                <w:rPr>
                  <w:rFonts w:ascii="MS Gothic" w:eastAsia="MS Gothic" w:hAnsi="MS Gothic" w:cs="MS Gothic"/>
                  <w:szCs w:val="24"/>
                  <w:lang w:bidi="en-US"/>
                </w:rPr>
                <w:t>☐</w:t>
              </w:r>
              <w:r>
                <w:rPr>
                  <w:rFonts w:eastAsia="Andale Sans UI"/>
                  <w:szCs w:val="24"/>
                  <w:lang w:bidi="en-US"/>
                </w:rPr>
                <w:t xml:space="preserve"> Atliktas Projekto numatomo teisinio reguliavimo poveikio vertinimas (</w:t>
              </w:r>
              <w:r>
                <w:rPr>
                  <w:rFonts w:eastAsia="Andale Sans UI"/>
                  <w:i/>
                  <w:iCs/>
                  <w:color w:val="000000"/>
                  <w:szCs w:val="24"/>
                  <w:lang w:bidi="en-US"/>
                </w:rPr>
                <w:t>pateikiamos nutarimo projekto poveikio vertinimo rezultatų išvados – apibendrinta informacija, kurioje nurodomas numatomo teisinio reguliavimo tikslas, galimas teigiamas ir (ar) neigiamas Projekto poveikis kiekvienu vertinimo aspektu, kur įmanoma, pagrįstas atliktais skaičiavimais; jeigu atliekamas Projekto poveikio aplinkai ir klimato kaitai vertinimas</w:t>
              </w:r>
              <w:r>
                <w:rPr>
                  <w:rFonts w:eastAsia="Andale Sans UI"/>
                  <w:i/>
                  <w:iCs/>
                  <w:color w:val="000000"/>
                  <w:szCs w:val="24"/>
                  <w:vertAlign w:val="superscript"/>
                  <w:lang w:bidi="en-US"/>
                </w:rPr>
                <w:footnoteReference w:id="8"/>
              </w:r>
              <w:r>
                <w:rPr>
                  <w:rFonts w:eastAsia="Andale Sans UI"/>
                  <w:i/>
                  <w:iCs/>
                  <w:color w:val="000000"/>
                  <w:szCs w:val="24"/>
                  <w:lang w:bidi="en-US"/>
                </w:rPr>
                <w:t>, kokybiškai ir (ar) kiekybiškai įvertinamas ir aprašomas galimas poveikis aplinkai ir klimato kaitai</w:t>
              </w:r>
              <w:r>
                <w:rPr>
                  <w:rFonts w:eastAsia="Andale Sans UI"/>
                  <w:color w:val="000000"/>
                  <w:szCs w:val="24"/>
                  <w:vertAlign w:val="superscript"/>
                  <w:lang w:bidi="en-US"/>
                </w:rPr>
                <w:footnoteReference w:id="9"/>
              </w:r>
              <w:r>
                <w:rPr>
                  <w:rFonts w:eastAsia="Andale Sans UI"/>
                  <w:i/>
                  <w:iCs/>
                  <w:color w:val="000000"/>
                  <w:szCs w:val="24"/>
                  <w:lang w:bidi="en-US"/>
                </w:rPr>
                <w:t>; d</w:t>
              </w:r>
              <w:r>
                <w:rPr>
                  <w:rFonts w:eastAsia="Andale Sans UI"/>
                  <w:i/>
                  <w:iCs/>
                  <w:szCs w:val="24"/>
                  <w:lang w:bidi="en-US"/>
                </w:rPr>
                <w:t>ėl poveikio aplinkai ir klimato kaitai vertinimo konsultuoja Aplinkos apsaugos agentūra</w:t>
              </w:r>
              <w:r>
                <w:rPr>
                  <w:rFonts w:eastAsia="Andale Sans UI"/>
                  <w:i/>
                  <w:iCs/>
                  <w:szCs w:val="24"/>
                  <w:vertAlign w:val="superscript"/>
                  <w:lang w:bidi="en-US"/>
                </w:rPr>
                <w:footnoteReference w:id="10"/>
              </w:r>
              <w:r>
                <w:rPr>
                  <w:rFonts w:eastAsia="Andale Sans UI"/>
                  <w:szCs w:val="24"/>
                  <w:lang w:bidi="en-US"/>
                </w:rPr>
                <w:t>)</w:t>
              </w:r>
              <w:r>
                <w:rPr>
                  <w:rFonts w:eastAsia="Andale Sans UI"/>
                  <w:i/>
                  <w:iCs/>
                  <w:color w:val="000000"/>
                  <w:szCs w:val="24"/>
                  <w:lang w:bidi="en-US"/>
                </w:rPr>
                <w:t xml:space="preserve">. </w:t>
              </w:r>
            </w:p>
            <w:p>
              <w:pPr>
                <w:widowControl w:val="0"/>
                <w:ind w:firstLine="567"/>
                <w:jc w:val="both"/>
                <w:rPr>
                  <w:rFonts w:eastAsia="Andale Sans UI"/>
                  <w:szCs w:val="24"/>
                  <w:lang w:bidi="en-US"/>
                </w:rPr>
              </w:pPr>
              <w:r>
                <w:rPr>
                  <w:rFonts w:ascii="MS Gothic" w:eastAsia="MS Gothic" w:hAnsi="MS Gothic" w:cs="MS Gothic"/>
                  <w:szCs w:val="24"/>
                  <w:lang w:bidi="en-US"/>
                </w:rPr>
                <w:t>☐</w:t>
              </w:r>
              <w:r>
                <w:rPr>
                  <w:rFonts w:eastAsia="Andale Sans UI"/>
                  <w:szCs w:val="24"/>
                  <w:lang w:bidi="en-US"/>
                </w:rPr>
                <w:t xml:space="preserve"> Projekto numatomo teisinio reguliavimo poveikio vertinimas neatliekamas.</w:t>
              </w:r>
            </w:p>
            <w:p>
              <w:pPr>
                <w:widowControl w:val="0"/>
                <w:ind w:firstLine="567"/>
                <w:jc w:val="both"/>
                <w:rPr>
                  <w:rFonts w:eastAsia="Andale Sans UI"/>
                  <w:i/>
                  <w:iCs/>
                  <w:color w:val="000000"/>
                  <w:szCs w:val="24"/>
                  <w:lang w:bidi="en-US"/>
                </w:rPr>
              </w:pPr>
              <w:r>
                <w:rPr>
                  <w:rFonts w:ascii="MS Gothic" w:eastAsia="MS Gothic" w:hAnsi="MS Gothic"/>
                  <w:szCs w:val="24"/>
                  <w:lang w:bidi="en-US"/>
                </w:rPr>
                <w:t>☒</w:t>
              </w:r>
              <w:r>
                <w:rPr>
                  <w:color w:val="000000"/>
                  <w:szCs w:val="24"/>
                  <w:lang w:eastAsia="lt-LT" w:bidi="en-US"/>
                </w:rPr>
                <w:t xml:space="preserve"> </w:t>
              </w:r>
              <w:r>
                <w:rPr>
                  <w:rFonts w:eastAsia="Andale Sans UI"/>
                  <w:color w:val="000000"/>
                  <w:szCs w:val="24"/>
                  <w:lang w:bidi="en-US"/>
                </w:rPr>
                <w:t>Ši informacija nurodoma aiškinamajame rašte</w:t>
              </w:r>
              <w:r>
                <w:rPr>
                  <w:rFonts w:eastAsia="Andale Sans UI"/>
                  <w:i/>
                  <w:iCs/>
                  <w:color w:val="000000"/>
                  <w:szCs w:val="24"/>
                  <w:lang w:bidi="en-US"/>
                </w:rPr>
                <w:t xml:space="preserve"> </w:t>
              </w:r>
              <w:r>
                <w:rPr>
                  <w:rFonts w:eastAsia="Andale Sans UI"/>
                  <w:color w:val="000000"/>
                  <w:szCs w:val="24"/>
                  <w:lang w:bidi="en-US"/>
                </w:rPr>
                <w:t>(</w:t>
              </w:r>
              <w:r>
                <w:rPr>
                  <w:rFonts w:eastAsia="Andale Sans UI"/>
                  <w:i/>
                  <w:iCs/>
                  <w:color w:val="000000"/>
                  <w:szCs w:val="24"/>
                  <w:lang w:bidi="en-US"/>
                </w:rPr>
                <w:t>Lietuvos Respublikos Seimui teiktinų įstatymų ar kitų Lietuvos Respublikos Seimo teisės aktų projektų poveikio vertinimo rezultatai pateikiami aiškinamajame rašte vadovaujantis Lietuvos Respublikos Seimo statuto 135 straipsnyje nustatytais reikalavimais</w:t>
              </w:r>
              <w:r>
                <w:rPr>
                  <w:rFonts w:eastAsia="Andale Sans UI"/>
                  <w:color w:val="000000"/>
                  <w:szCs w:val="24"/>
                  <w:lang w:bidi="en-US"/>
                </w:rPr>
                <w:t>).</w:t>
              </w:r>
            </w:p>
          </w:sdtContent>
        </w:sdt>
        <w:sdt>
          <w:sdtPr>
            <w:alias w:val="10 p."/>
            <w:tag w:val="part_fbc03f9073d4416aa4c65d82b1272762"/>
            <w:lock w:val="sdtLocked"/>
            <w:richText/>
          </w:sdtPr>
          <w:sdtContent>
            <w:p>
              <w:pPr>
                <w:ind w:firstLine="567"/>
                <w:jc w:val="both"/>
                <w:rPr>
                  <w:rFonts w:eastAsia="Andale Sans UI"/>
                  <w:b/>
                  <w:bCs/>
                  <w:szCs w:val="24"/>
                  <w:lang w:bidi="en-US"/>
                </w:rPr>
              </w:pPr>
              <w:sdt>
                <w:sdtPr>
                  <w:alias w:val="Numeris"/>
                  <w:tag w:val="nr_fbc03f9073d4416aa4c65d82b1272762"/>
                  <w:lock w:val="sdtLocked"/>
                  <w:richText/>
                </w:sdtPr>
                <w:sdtContent>
                  <w:r>
                    <w:rPr>
                      <w:rFonts w:eastAsia="Andale Sans UI"/>
                      <w:b/>
                      <w:bCs/>
                      <w:szCs w:val="24"/>
                      <w:lang w:bidi="en-US"/>
                    </w:rPr>
                    <w:t>10</w:t>
                  </w:r>
                </w:sdtContent>
              </w:sdt>
              <w:r>
                <w:rPr>
                  <w:rFonts w:eastAsia="Andale Sans UI"/>
                  <w:b/>
                  <w:bCs/>
                  <w:szCs w:val="24"/>
                  <w:lang w:bidi="en-US"/>
                </w:rPr>
                <w:t xml:space="preserve">. Teisės aktai, kuriuos reikės priimti, pakeisti arba pripažinti netekusiais galios </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kitų teisės aktų priimti nereikės.</w:t>
              </w:r>
            </w:p>
            <w:p>
              <w:pPr>
                <w:ind w:firstLine="567"/>
                <w:jc w:val="both"/>
                <w:rPr>
                  <w:rFonts w:eastAsia="Andale Sans UI"/>
                  <w: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p>
              <w:pPr>
                <w:ind w:firstLine="567"/>
                <w:jc w:val="both"/>
                <w:rPr>
                  <w:rFonts w:eastAsia="Andale Sans UI"/>
                  <w:b/>
                  <w:bCs/>
                  <w:szCs w:val="24"/>
                  <w:lang w:bidi="en-US"/>
                </w:rPr>
              </w:pPr>
              <w:r>
                <w:rPr>
                  <w:rFonts w:ascii="MS Gothic" w:eastAsia="MS Gothic" w:hAnsi="MS Gothic"/>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i/>
                  <w:color w:val="000000"/>
                  <w:szCs w:val="24"/>
                  <w:lang w:bidi="en-US"/>
                </w:rPr>
                <w:t xml:space="preserve"> </w:t>
              </w:r>
              <w:r>
                <w:rPr>
                  <w:rFonts w:eastAsia="Andale Sans UI"/>
                  <w:iCs/>
                  <w:color w:val="000000"/>
                  <w:szCs w:val="24"/>
                  <w:lang w:bidi="en-US"/>
                </w:rPr>
                <w:t>(</w:t>
              </w:r>
              <w:r>
                <w:rPr>
                  <w:rFonts w:eastAsia="Andale Sans UI"/>
                  <w:i/>
                  <w:color w:val="000000"/>
                  <w:szCs w:val="24"/>
                  <w:lang w:bidi="en-US"/>
                </w:rPr>
                <w:t>kai teikiamas įstatymo projektas</w:t>
              </w:r>
              <w:r>
                <w:rPr>
                  <w:rFonts w:eastAsia="Andale Sans UI"/>
                  <w:color w:val="000000"/>
                  <w:szCs w:val="24"/>
                  <w:lang w:bidi="en-US"/>
                </w:rPr>
                <w:t>).</w:t>
              </w:r>
            </w:p>
          </w:sdtContent>
        </w:sdt>
        <w:sdt>
          <w:sdtPr>
            <w:alias w:val="11 p."/>
            <w:tag w:val="part_1b6798eab0014391845fca7dba553239"/>
            <w:lock w:val="sdtLocked"/>
            <w:richText/>
          </w:sdtPr>
          <w:sdtContent>
            <w:p>
              <w:pPr>
                <w:ind w:firstLine="567"/>
                <w:jc w:val="both"/>
                <w:rPr>
                  <w:rFonts w:eastAsia="Andale Sans UI"/>
                  <w:b/>
                  <w:bCs/>
                  <w:szCs w:val="24"/>
                  <w:lang w:bidi="en-US"/>
                </w:rPr>
              </w:pPr>
              <w:sdt>
                <w:sdtPr>
                  <w:alias w:val="Numeris"/>
                  <w:tag w:val="nr_1b6798eab0014391845fca7dba553239"/>
                  <w:lock w:val="sdtLocked"/>
                  <w:richText/>
                </w:sdtPr>
                <w:sdtContent>
                  <w:r>
                    <w:rPr>
                      <w:rFonts w:eastAsia="Andale Sans UI"/>
                      <w:b/>
                      <w:bCs/>
                      <w:szCs w:val="24"/>
                      <w:lang w:bidi="en-US"/>
                    </w:rPr>
                    <w:t>11</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rojekte vartojamos sąvokos aprobuotos Lietuvos Respublikos terminų banko įstatymo ir jo įgyvendinamųjų teisės aktų nustatyta tvarka. </w:t>
              </w:r>
            </w:p>
            <w:p>
              <w:pPr>
                <w:ind w:firstLine="567"/>
                <w:jc w:val="both"/>
                <w:rPr>
                  <w:rFonts w:eastAsia="Andale Sans UI"/>
                  <w:color w:val="000000"/>
                  <w:szCs w:val="24"/>
                  <w:lang w:bidi="en-US"/>
                </w:rPr>
              </w:pPr>
              <w:r>
                <w:rPr>
                  <w:rFonts w:ascii="Segoe UI Symbol" w:eastAsia="MS Gothic" w:hAnsi="Segoe UI Symbol" w:cs="Segoe UI Symbol"/>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i/>
                  <w:color w:val="000000"/>
                  <w:szCs w:val="24"/>
                  <w:lang w:bidi="en-US"/>
                </w:rPr>
                <w:t xml:space="preserve"> </w:t>
              </w:r>
              <w:r>
                <w:rPr>
                  <w:rFonts w:eastAsia="Andale Sans UI"/>
                  <w:iCs/>
                  <w:color w:val="000000"/>
                  <w:szCs w:val="24"/>
                  <w:lang w:bidi="en-US"/>
                </w:rPr>
                <w:t>(</w:t>
              </w:r>
              <w:r>
                <w:rPr>
                  <w:rFonts w:eastAsia="Andale Sans UI"/>
                  <w:i/>
                  <w:color w:val="000000"/>
                  <w:szCs w:val="24"/>
                  <w:lang w:bidi="en-US"/>
                </w:rPr>
                <w:t>kai teikiamas įstatymo projektas</w:t>
              </w:r>
              <w:r>
                <w:rPr>
                  <w:rFonts w:eastAsia="Andale Sans UI"/>
                  <w:color w:val="000000"/>
                  <w:szCs w:val="24"/>
                  <w:lang w:bidi="en-US"/>
                </w:rPr>
                <w:t>).</w:t>
              </w:r>
            </w:p>
          </w:sdtContent>
        </w:sdt>
        <w:sdt>
          <w:sdtPr>
            <w:alias w:val="12 p."/>
            <w:tag w:val="part_2a22b35bcbcc49d985cd5f0edd6d2d6d"/>
            <w:lock w:val="sdtLocked"/>
            <w:richText/>
          </w:sdtPr>
          <w:sdtContent>
            <w:p>
              <w:pPr>
                <w:ind w:firstLine="567"/>
                <w:jc w:val="both"/>
                <w:rPr>
                  <w:rFonts w:eastAsia="Andale Sans UI"/>
                  <w:b/>
                  <w:bCs/>
                  <w:color w:val="000000"/>
                  <w:szCs w:val="24"/>
                  <w:lang w:bidi="en-US"/>
                </w:rPr>
              </w:pPr>
              <w:sdt>
                <w:sdtPr>
                  <w:alias w:val="Numeris"/>
                  <w:tag w:val="nr_2a22b35bcbcc49d985cd5f0edd6d2d6d"/>
                  <w:lock w:val="sdtLocked"/>
                  <w:richText/>
                </w:sdtPr>
                <w:sdtContent>
                  <w:r>
                    <w:rPr>
                      <w:rFonts w:eastAsia="Andale Sans UI"/>
                      <w:b/>
                      <w:bCs/>
                      <w:szCs w:val="24"/>
                      <w:lang w:bidi="en-US"/>
                    </w:rPr>
                    <w:t>12</w:t>
                  </w:r>
                </w:sdtContent>
              </w:sdt>
              <w:r>
                <w:rPr>
                  <w:rFonts w:eastAsia="Andale Sans UI"/>
                  <w:b/>
                  <w:bCs/>
                  <w:szCs w:val="24"/>
                  <w:lang w:bidi="en-US"/>
                </w:rPr>
                <w:t>. Kita reikalinga informacija</w:t>
              </w:r>
            </w:p>
            <w:p>
              <w:pPr>
                <w:shd w:val="clear" w:color="auto" w:fill="FFFFFF"/>
                <w:ind w:firstLine="567"/>
                <w:jc w:val="both"/>
                <w:textAlignment w:val="center"/>
                <w:rPr>
                  <w:rFonts w:eastAsia="Andale Sans UI"/>
                  <w:szCs w:val="24"/>
                  <w:lang w:eastAsia="lt-LT" w:bidi="en-US"/>
                </w:rPr>
              </w:pPr>
              <w:r>
                <w:rPr>
                  <w:rFonts w:eastAsia="Andale Sans UI"/>
                  <w:szCs w:val="24"/>
                  <w:lang w:bidi="en-US"/>
                </w:rPr>
                <w:t>P</w:t>
              </w:r>
              <w:r>
                <w:rPr>
                  <w:rFonts w:eastAsia="Andale Sans UI"/>
                  <w:color w:val="000000"/>
                  <w:szCs w:val="24"/>
                  <w:lang w:bidi="en-US"/>
                </w:rPr>
                <w:t>rojekte nereglamentuojamas asmens duomenų naudojimas</w:t>
              </w:r>
              <w:r>
                <w:rPr>
                  <w:rFonts w:eastAsia="Andale Sans UI"/>
                  <w:szCs w:val="24"/>
                  <w:lang w:eastAsia="lt-LT" w:bidi="en-US"/>
                </w:rPr>
                <w:t>.</w:t>
              </w:r>
            </w:p>
          </w:sdtContent>
        </w:sdt>
        <w:sdt>
          <w:sdtPr>
            <w:alias w:val="13 p."/>
            <w:tag w:val="part_4dffc508364143d3bbee154b5fe06d15"/>
            <w:lock w:val="sdtLocked"/>
            <w:richText/>
          </w:sdtPr>
          <w:sdtContent>
            <w:p>
              <w:pPr>
                <w:ind w:firstLine="567"/>
                <w:jc w:val="both"/>
                <w:rPr>
                  <w:rFonts w:eastAsia="Andale Sans UI"/>
                  <w:b/>
                  <w:bCs/>
                  <w:i/>
                  <w:iCs/>
                  <w:color w:val="000000"/>
                  <w:szCs w:val="24"/>
                  <w:lang w:bidi="en-US"/>
                </w:rPr>
              </w:pPr>
              <w:sdt>
                <w:sdtPr>
                  <w:alias w:val="Numeris"/>
                  <w:tag w:val="nr_4dffc508364143d3bbee154b5fe06d15"/>
                  <w:lock w:val="sdtLocked"/>
                  <w:richText/>
                </w:sdtPr>
                <w:sdtContent>
                  <w:r>
                    <w:rPr>
                      <w:rFonts w:eastAsia="Andale Sans UI"/>
                      <w:b/>
                      <w:bCs/>
                      <w:szCs w:val="24"/>
                      <w:lang w:bidi="en-US"/>
                    </w:rPr>
                    <w:t>13</w:t>
                  </w:r>
                </w:sdtContent>
              </w:sdt>
              <w:r>
                <w:rPr>
                  <w:rFonts w:eastAsia="Andale Sans UI"/>
                  <w:b/>
                  <w:bCs/>
                  <w:szCs w:val="24"/>
                  <w:lang w:bidi="en-US"/>
                </w:rPr>
                <w:t>. Konsultavimasis su visuomene</w:t>
              </w:r>
              <w:r>
                <w:rPr>
                  <w:rFonts w:eastAsia="Andale Sans UI"/>
                  <w:b/>
                  <w:bCs/>
                  <w:szCs w:val="24"/>
                  <w:vertAlign w:val="superscript"/>
                  <w:lang w:bidi="en-US"/>
                </w:rPr>
                <w:footnoteReference w:id="11"/>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szCs w:val="24"/>
                  <w:lang w:eastAsia="lt-LT" w:bidi="en-US"/>
                </w:rPr>
                <w:t>(pažymimas tinkamas variantas)</w:t>
              </w:r>
            </w:p>
            <w:p>
              <w:pPr>
                <w:ind w:firstLine="567"/>
                <w:jc w:val="both"/>
                <w:rPr>
                  <w:i/>
                  <w:iCs/>
                  <w:color w:val="000000"/>
                  <w:szCs w:val="24"/>
                  <w:lang w:eastAsia="lt-LT" w:bidi="en-US"/>
                </w:rPr>
              </w:pPr>
              <w:r>
                <w:rPr>
                  <w:rFonts w:ascii="MS Gothic" w:eastAsia="MS Gothic" w:hAnsi="MS Gothic" w:cs="MS Gothic"/>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 , kur pastabas ir pasiūlymus nuo 202.. m. ... ... d. iki 202.. m. ... ... d. galėjo teikti visi suinteresuoti asmenys (</w:t>
              </w:r>
              <w:r>
                <w:rPr>
                  <w:rFonts w:eastAsia="Andale Sans UI"/>
                  <w:i/>
                  <w:iCs/>
                  <w:color w:val="000000"/>
                  <w:szCs w:val="24"/>
                  <w:lang w:bidi="en-US"/>
                </w:rPr>
                <w:t xml:space="preserve">nurodomas </w:t>
              </w:r>
              <w:r>
                <w:rPr>
                  <w:rFonts w:eastAsia="Andale Sans UI"/>
                  <w:i/>
                  <w:iCs/>
                  <w:szCs w:val="24"/>
                  <w:lang w:bidi="en-US"/>
                </w:rPr>
                <w:t xml:space="preserve">konsultavimosi tikslas (tikslai), būdas (būdai), </w:t>
              </w:r>
              <w:r>
                <w:rPr>
                  <w:i/>
                  <w:iCs/>
                  <w:color w:val="000000"/>
                  <w:szCs w:val="24"/>
                  <w:lang w:eastAsia="lt-LT" w:bidi="en-US"/>
                </w:rPr>
                <w:t>suinteresuoti asmenys, su kuriais konsultuotasi, konsultavimosi trukmė</w:t>
              </w:r>
              <w:r>
                <w:rPr>
                  <w:rFonts w:eastAsia="Andale Sans UI"/>
                  <w:i/>
                  <w:iCs/>
                  <w:szCs w:val="24"/>
                  <w:lang w:bidi="en-US"/>
                </w:rPr>
                <w:t xml:space="preserve"> ir apibendrinti konsultavimosi rezultatai </w:t>
              </w:r>
              <w:r>
                <w:rPr>
                  <w:rFonts w:eastAsia="Andale Sans UI"/>
                  <w:i/>
                  <w:iCs/>
                  <w:color w:val="000000"/>
                  <w:szCs w:val="24"/>
                  <w:lang w:bidi="en-US"/>
                </w:rPr>
                <w:t xml:space="preserve">– </w:t>
              </w:r>
              <w:r>
                <w:rPr>
                  <w:rFonts w:eastAsia="Andale Sans UI"/>
                  <w:i/>
                  <w:iCs/>
                  <w:szCs w:val="24"/>
                  <w:lang w:bidi="en-US"/>
                </w:rPr>
                <w:t>pateikiamos bendros (agreguotos) viešųjų konsultacijų dalyvių nuomonių tendencijos, nurodoma, kaip į konsultavimosi su visuomene rezultatus atsižvelgta Projekte</w:t>
              </w:r>
              <w:r>
                <w:rPr>
                  <w:rFonts w:eastAsia="Andale Sans UI"/>
                  <w:szCs w:val="24"/>
                  <w:lang w:bidi="en-US"/>
                </w:rPr>
                <w:t>)</w:t>
              </w:r>
              <w:r>
                <w:rPr>
                  <w:rFonts w:eastAsia="Andale Sans UI"/>
                  <w:i/>
                  <w:iCs/>
                  <w:szCs w:val="24"/>
                  <w:lang w:bidi="en-US"/>
                </w:rPr>
                <w:t xml:space="preserve"> </w:t>
              </w:r>
              <w:r>
                <w:rPr>
                  <w:rFonts w:eastAsia="Andale Sans UI"/>
                  <w:szCs w:val="24"/>
                  <w:lang w:bidi="en-US"/>
                </w:rPr>
                <w:t>(</w:t>
              </w:r>
              <w:r>
                <w:rPr>
                  <w:rFonts w:eastAsia="Andale Sans UI"/>
                  <w:b/>
                  <w:bCs/>
                  <w:szCs w:val="24"/>
                  <w:lang w:bidi="en-US"/>
                </w:rPr>
                <w:t>arba</w:t>
              </w:r>
              <w:r>
                <w:rPr>
                  <w:rFonts w:eastAsia="Andale Sans UI"/>
                  <w:szCs w:val="24"/>
                  <w:lang w:bidi="en-US"/>
                </w:rPr>
                <w:t xml:space="preserve"> P</w:t>
              </w:r>
              <w:r>
                <w:rPr>
                  <w:rFonts w:eastAsia="Andale Sans UI"/>
                  <w:color w:val="000000"/>
                  <w:szCs w:val="24"/>
                  <w:lang w:bidi="en-US"/>
                </w:rPr>
                <w:t>rojektas viešosioms konsultacijoms paskelbtas (</w:t>
              </w:r>
              <w:r>
                <w:rPr>
                  <w:rFonts w:eastAsia="Andale Sans UI"/>
                  <w:b/>
                  <w:bCs/>
                  <w:color w:val="000000"/>
                  <w:szCs w:val="24"/>
                  <w:lang w:bidi="en-US"/>
                </w:rPr>
                <w:t>arba</w:t>
              </w:r>
              <w:r>
                <w:rPr>
                  <w:rFonts w:eastAsia="Andale Sans UI"/>
                  <w:color w:val="000000"/>
                  <w:szCs w:val="24"/>
                  <w:lang w:bidi="en-US"/>
                </w:rPr>
                <w:t xml:space="preserve"> bus skelbiamas) interneto svetainėje epilietis.lrv.lt, kur pastabas ir pasiūlymus gali teikti (</w:t>
              </w:r>
              <w:r>
                <w:rPr>
                  <w:rFonts w:eastAsia="Andale Sans UI"/>
                  <w:b/>
                  <w:bCs/>
                  <w:color w:val="000000"/>
                  <w:szCs w:val="24"/>
                  <w:lang w:bidi="en-US"/>
                </w:rPr>
                <w:t>arba</w:t>
              </w:r>
              <w:r>
                <w:rPr>
                  <w:rFonts w:eastAsia="Andale Sans UI"/>
                  <w:color w:val="000000"/>
                  <w:szCs w:val="24"/>
                  <w:lang w:bidi="en-US"/>
                </w:rPr>
                <w:t xml:space="preserve"> galės teikti) visi suinteresuoti asmenys (</w:t>
              </w:r>
              <w:r>
                <w:rPr>
                  <w:i/>
                  <w:iCs/>
                  <w:color w:val="000000"/>
                  <w:szCs w:val="24"/>
                  <w:lang w:eastAsia="lt-LT" w:bidi="en-US"/>
                </w:rPr>
                <w:t>nurodomas konsultavimosi tikslas (tikslai), būdas (būdai), suinteresuoti asmenys ir konsultavimosi trukmė</w:t>
              </w:r>
              <w:r>
                <w:rPr>
                  <w:color w:val="000000"/>
                  <w:szCs w:val="24"/>
                  <w:lang w:eastAsia="lt-LT" w:bidi="en-US"/>
                </w:rPr>
                <w:t>)</w:t>
              </w:r>
              <w:r>
                <w:rPr>
                  <w:i/>
                  <w:iCs/>
                  <w:color w:val="000000"/>
                  <w:szCs w:val="24"/>
                  <w:lang w:eastAsia="lt-LT" w:bidi="en-US"/>
                </w:rPr>
                <w:t xml:space="preserve">. </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interneto svetainėje epilietis.lrv.lt </w:t>
              </w:r>
              <w:r>
                <w:rPr>
                  <w:color w:val="000000"/>
                  <w:szCs w:val="24"/>
                  <w:lang w:eastAsia="lt-LT" w:bidi="en-US"/>
                </w:rPr>
                <w:t xml:space="preserve">neplanuojama. </w:t>
              </w:r>
            </w:p>
          </w:sdtContent>
        </w:sdt>
        <w:sdt>
          <w:sdtPr>
            <w:alias w:val="14 p."/>
            <w:tag w:val="part_0158302c4cac4baa9d6e0e54e3d54b25"/>
            <w:lock w:val="sdtLocked"/>
            <w:richText/>
          </w:sdtPr>
          <w:sdtContent>
            <w:p>
              <w:pPr>
                <w:ind w:firstLine="567"/>
                <w:jc w:val="both"/>
                <w:rPr>
                  <w:rFonts w:eastAsia="Andale Sans UI"/>
                  <w:b/>
                  <w:bCs/>
                  <w:color w:val="000000"/>
                  <w:szCs w:val="24"/>
                  <w:lang w:bidi="en-US"/>
                </w:rPr>
              </w:pPr>
              <w:sdt>
                <w:sdtPr>
                  <w:alias w:val="Numeris"/>
                  <w:tag w:val="nr_0158302c4cac4baa9d6e0e54e3d54b25"/>
                  <w:lock w:val="sdtLocked"/>
                  <w:richText/>
                </w:sdtPr>
                <w:sdtContent>
                  <w:r>
                    <w:rPr>
                      <w:rFonts w:eastAsia="Andale Sans UI"/>
                      <w:b/>
                      <w:bCs/>
                      <w:szCs w:val="24"/>
                      <w:lang w:bidi="en-US"/>
                    </w:rPr>
                    <w:t>14</w:t>
                  </w:r>
                </w:sdtContent>
              </w:sdt>
              <w:r>
                <w:rPr>
                  <w:rFonts w:eastAsia="Andale Sans UI"/>
                  <w:b/>
                  <w:bCs/>
                  <w:szCs w:val="24"/>
                  <w:lang w:bidi="en-US"/>
                </w:rPr>
                <w:t>. Derinimas su suinteresuotomis institucijomis ir suinteresuotais asmenimis</w:t>
              </w:r>
            </w:p>
            <w:p>
              <w:pPr>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 xml:space="preserve">Derinimo terminas </w:t>
              </w:r>
              <w:r>
                <w:rPr>
                  <w:szCs w:val="24"/>
                  <w:lang w:eastAsia="lt-LT" w:bidi="en-US"/>
                </w:rPr>
                <w:t>(pažymimas tinkamas variantas)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10 darbo dienų.</w:t>
              </w:r>
            </w:p>
            <w:p>
              <w:pPr>
                <w:ind w:firstLine="567"/>
                <w:jc w:val="both"/>
                <w:rPr>
                  <w:rFonts w:eastAsia="Andale Sans UI"/>
                  <w:i/>
                  <w:iCs/>
                  <w:szCs w:val="24"/>
                  <w:lang w:bidi="en-US"/>
                </w:rPr>
              </w:pPr>
              <w:r>
                <w:rPr>
                  <w:rFonts w:ascii="MS Gothic" w:eastAsia="MS Gothic" w:hAnsi="MS Gothic"/>
                  <w:szCs w:val="24"/>
                  <w:lang w:bidi="en-US"/>
                </w:rPr>
                <w:t>☐</w:t>
              </w:r>
              <w:r>
                <w:rPr>
                  <w:rFonts w:eastAsia="Andale Sans UI"/>
                  <w:szCs w:val="24"/>
                  <w:lang w:bidi="en-US"/>
                </w:rPr>
                <w:t xml:space="preserve"> 5 darbo dienos (</w:t>
              </w:r>
              <w:r>
                <w:rPr>
                  <w:rFonts w:eastAsia="Andale Sans UI"/>
                  <w:i/>
                  <w:iCs/>
                  <w:szCs w:val="24"/>
                  <w:lang w:bidi="en-US"/>
                </w:rPr>
                <w:t xml:space="preserve">dėl Vyriausybės nutarimų projektų, kuriuose teikiamos Vyriausybės išvados dėl Seime svarstomų teisės aktų projektų, arba surašomas motyvuotas prašymas </w:t>
              </w:r>
              <w:r>
                <w:rPr>
                  <w:rFonts w:eastAsia="Andale Sans UI"/>
                  <w:i/>
                  <w:iCs/>
                  <w:color w:val="000000"/>
                  <w:szCs w:val="24"/>
                  <w:lang w:bidi="en-US"/>
                </w:rPr>
                <w:t xml:space="preserve">pateikti išvadas dėl Projekto skubos tvarka </w:t>
              </w:r>
              <w:r>
                <w:rPr>
                  <w:rFonts w:eastAsia="Andale Sans UI"/>
                  <w:i/>
                  <w:iCs/>
                  <w:szCs w:val="24"/>
                  <w:lang w:bidi="en-US"/>
                </w:rPr>
                <w:t>Vyriausybės darbo reglamento</w:t>
              </w:r>
              <w:r>
                <w:rPr>
                  <w:rFonts w:eastAsia="Andale Sans UI"/>
                  <w:i/>
                  <w:iCs/>
                  <w:szCs w:val="24"/>
                  <w:vertAlign w:val="superscript"/>
                  <w:lang w:bidi="en-US"/>
                </w:rPr>
                <w:footnoteReference w:id="12"/>
              </w:r>
              <w:r>
                <w:rPr>
                  <w:rFonts w:eastAsia="Andale Sans UI"/>
                  <w:i/>
                  <w:iCs/>
                  <w:szCs w:val="24"/>
                  <w:lang w:bidi="en-US"/>
                </w:rPr>
                <w:t xml:space="preserve"> 28 punkte išvardytais išimtiniais atvejais </w:t>
              </w:r>
              <w:r>
                <w:rPr>
                  <w:rFonts w:eastAsia="Andale Sans UI"/>
                  <w:szCs w:val="24"/>
                  <w:lang w:bidi="en-US"/>
                </w:rPr>
                <w:t>)</w:t>
              </w:r>
              <w:r>
                <w:rPr>
                  <w:rFonts w:eastAsia="Andale Sans UI"/>
                  <w:i/>
                  <w:iCs/>
                  <w:szCs w:val="24"/>
                  <w:lang w:bidi="en-US"/>
                </w:rPr>
                <w:t>.</w:t>
              </w:r>
            </w:p>
          </w:sdtContent>
        </w:sdt>
        <w:sdt>
          <w:sdtPr>
            <w:alias w:val="15 p."/>
            <w:tag w:val="part_eb8a7c5648174edc9b600fed7a0a13cb"/>
            <w:lock w:val="sdtLocked"/>
            <w:richText/>
          </w:sdtPr>
          <w:sdtContent>
            <w:p>
              <w:pPr>
                <w:ind w:firstLine="567"/>
                <w:jc w:val="both"/>
                <w:rPr>
                  <w:rFonts w:eastAsia="Andale Sans UI"/>
                  <w:szCs w:val="24"/>
                  <w:lang w:bidi="en-US"/>
                </w:rPr>
              </w:pPr>
              <w:sdt>
                <w:sdtPr>
                  <w:alias w:val="Numeris"/>
                  <w:tag w:val="nr_eb8a7c5648174edc9b600fed7a0a13cb"/>
                  <w:lock w:val="sdtLocked"/>
                  <w:richText/>
                </w:sdtPr>
                <w:sdtContent>
                  <w:r>
                    <w:rPr>
                      <w:rFonts w:eastAsia="Andale Sans UI"/>
                      <w:b/>
                      <w:bCs/>
                      <w:szCs w:val="24"/>
                      <w:lang w:bidi="en-US"/>
                    </w:rPr>
                    <w:t>15</w:t>
                  </w:r>
                </w:sdtContent>
              </w:sdt>
              <w:r>
                <w:rPr>
                  <w:rFonts w:eastAsia="Andale Sans UI"/>
                  <w:b/>
                  <w:bCs/>
                  <w:szCs w:val="24"/>
                  <w:lang w:bidi="en-US"/>
                </w:rPr>
                <w:t>. Projekto rengėjai</w:t>
              </w:r>
              <w:r>
                <w:rPr>
                  <w:rFonts w:eastAsia="Andale Sans UI"/>
                  <w:szCs w:val="24"/>
                  <w:lang w:bidi="en-US"/>
                </w:rPr>
                <w:t xml:space="preserve"> </w:t>
              </w:r>
            </w:p>
            <w:p>
              <w:pPr>
                <w:suppressAutoHyphens/>
                <w:ind w:firstLine="567"/>
                <w:jc w:val="both"/>
                <w:rPr>
                  <w:rFonts w:eastAsia="Andale Sans UI" w:cs="Tahoma"/>
                  <w:szCs w:val="24"/>
                  <w:lang w:eastAsia="ar-SA" w:bidi="en-US"/>
                </w:rPr>
              </w:pPr>
              <w:r>
                <w:rPr>
                  <w:rFonts w:eastAsia="Andale Sans UI"/>
                  <w:szCs w:val="24"/>
                  <w:lang w:bidi="en-US"/>
                </w:rPr>
                <w:t xml:space="preserve">Projektą parengė Aplinkos ministerijos Kadastro ir erdvinių duomenų politikos grupės (vadovė – Aušra Kalantaitė, tel. +370 669 52 682, el. p. ausra.kalantaite@am.lt, vyresnioji patarėja – Jurgita Milieškaitė, tel. +370 620 53 766, el. p. jurgita.milieskaite@am.lt) patarėja Kristina Visakavičienė, tel. +370 695 58 677, el. p. kristina.visakaviciene@am.lt; </w:t>
              </w:r>
              <w:r>
                <w:rPr>
                  <w:rFonts w:eastAsia="Calibri" w:cs="Tahoma"/>
                  <w:szCs w:val="24"/>
                  <w:lang w:bidi="en-US"/>
                </w:rPr>
                <w:t xml:space="preserve">Aplinkos ministerijos Taršos prevencijos politikos grupės (vadovas – Vitalijus Auglys, tel. +370 686 46 087, el. p. </w:t>
              </w:r>
              <w:r>
                <w:rPr>
                  <w:rFonts w:eastAsia="Andale Sans UI" w:cs="Tahoma"/>
                  <w:szCs w:val="24"/>
                  <w:lang w:bidi="en-US"/>
                </w:rPr>
                <w:t>vitalijus.auglys@am.lt</w:t>
              </w:r>
              <w:r>
                <w:rPr>
                  <w:rFonts w:eastAsia="Calibri" w:cs="Tahoma"/>
                  <w:szCs w:val="24"/>
                  <w:lang w:bidi="en-US"/>
                </w:rPr>
                <w:t xml:space="preserve">, vyresnysis patarėjas Tomas Želvys, tel. +370 696 74 940, el. p. tomas.zelvys@am.lt) patarėja Tatjana Zabulienė, tel. +370 </w:t>
              </w:r>
              <w:r>
                <w:rPr>
                  <w:rFonts w:eastAsia="Andale Sans UI" w:cs="Tahoma"/>
                  <w:szCs w:val="24"/>
                  <w:lang w:bidi="en-US"/>
                </w:rPr>
                <w:t>695 34 215</w:t>
              </w:r>
              <w:r>
                <w:rPr>
                  <w:rFonts w:eastAsia="Calibri" w:cs="Tahoma"/>
                  <w:szCs w:val="24"/>
                  <w:lang w:bidi="en-US"/>
                </w:rPr>
                <w:t>, el. p. tatjana.zabuliene@am.lt.</w:t>
              </w:r>
            </w:p>
            <w:p>
              <w:pPr>
                <w:ind w:firstLine="567"/>
                <w:jc w:val="both"/>
                <w:rPr>
                  <w:rFonts w:eastAsia="Andale Sans UI"/>
                  <w:szCs w:val="24"/>
                  <w:lang w:bidi="en-US"/>
                </w:rPr>
              </w:pPr>
              <w:r>
                <w:rPr>
                  <w:rFonts w:eastAsia="Andale Sans UI"/>
                  <w:szCs w:val="24"/>
                  <w:lang w:bidi="en-US"/>
                </w:rPr>
                <w:t>PRIDEDAMA:</w:t>
              </w:r>
            </w:p>
          </w:sdtContent>
        </w:sdt>
        <w:sdt>
          <w:sdtPr>
            <w:alias w:val="1 p."/>
            <w:tag w:val="part_32495d313dac4d20b06308680f58cf2c"/>
            <w:lock w:val="sdtLocked"/>
            <w:richText/>
          </w:sdtPr>
          <w:sdtContent>
            <w:p>
              <w:pPr>
                <w:ind w:firstLine="567"/>
                <w:jc w:val="both"/>
                <w:rPr>
                  <w:color w:val="000000"/>
                  <w:szCs w:val="24"/>
                  <w:lang w:eastAsia="lt-LT" w:bidi="en-US"/>
                </w:rPr>
              </w:pPr>
              <w:sdt>
                <w:sdtPr>
                  <w:alias w:val="Numeris"/>
                  <w:tag w:val="nr_32495d313dac4d20b06308680f58cf2c"/>
                  <w:lock w:val="sdtLocked"/>
                  <w:richText/>
                </w:sdtPr>
                <w:sdtContent>
                  <w:r>
                    <w:rPr>
                      <w:color w:val="000000"/>
                      <w:szCs w:val="24"/>
                      <w:lang w:eastAsia="lt-LT" w:bidi="en-US"/>
                    </w:rPr>
                    <w:t>1</w:t>
                  </w:r>
                </w:sdtContent>
              </w:sdt>
              <w:r>
                <w:rPr>
                  <w:color w:val="000000"/>
                  <w:szCs w:val="24"/>
                  <w:lang w:eastAsia="lt-LT" w:bidi="en-US"/>
                </w:rPr>
                <w:t xml:space="preserve">. </w:t>
              </w:r>
              <w:r>
                <w:rPr>
                  <w:rFonts w:eastAsia="Andale Sans UI"/>
                  <w:szCs w:val="24"/>
                  <w:lang w:bidi="en-US"/>
                </w:rPr>
                <w:t>P</w:t>
              </w:r>
              <w:r>
                <w:rPr>
                  <w:color w:val="000000"/>
                  <w:szCs w:val="24"/>
                  <w:lang w:eastAsia="lt-LT" w:bidi="en-US"/>
                </w:rPr>
                <w:t>rojektas, 3 lapai.</w:t>
              </w:r>
            </w:p>
          </w:sdtContent>
        </w:sdt>
        <w:sdt>
          <w:sdtPr>
            <w:alias w:val="2 p."/>
            <w:tag w:val="part_840cedead3964e01bfc74af701870796"/>
            <w:lock w:val="sdtLocked"/>
            <w:richText/>
          </w:sdtPr>
          <w:sdtContent>
            <w:p>
              <w:pPr>
                <w:ind w:firstLine="567"/>
                <w:jc w:val="both"/>
                <w:rPr>
                  <w:color w:val="000000"/>
                  <w:szCs w:val="24"/>
                  <w:lang w:eastAsia="lt-LT" w:bidi="en-US"/>
                </w:rPr>
              </w:pPr>
              <w:sdt>
                <w:sdtPr>
                  <w:alias w:val="Numeris"/>
                  <w:tag w:val="nr_840cedead3964e01bfc74af701870796"/>
                  <w:lock w:val="sdtLocked"/>
                  <w:richText/>
                </w:sdtPr>
                <w:sdtContent>
                  <w:r>
                    <w:rPr>
                      <w:color w:val="000000"/>
                      <w:szCs w:val="24"/>
                      <w:lang w:eastAsia="lt-LT" w:bidi="en-US"/>
                    </w:rPr>
                    <w:t>2</w:t>
                  </w:r>
                </w:sdtContent>
              </w:sdt>
              <w:r>
                <w:rPr>
                  <w:color w:val="000000"/>
                  <w:szCs w:val="24"/>
                  <w:lang w:eastAsia="lt-LT" w:bidi="en-US"/>
                </w:rPr>
                <w:t xml:space="preserve">. </w:t>
              </w:r>
              <w:r>
                <w:rPr>
                  <w:rFonts w:eastAsia="Andale Sans UI"/>
                  <w:szCs w:val="24"/>
                  <w:lang w:bidi="en-US"/>
                </w:rPr>
                <w:t>P</w:t>
              </w:r>
              <w:r>
                <w:rPr>
                  <w:color w:val="000000"/>
                  <w:szCs w:val="24"/>
                  <w:lang w:eastAsia="lt-LT" w:bidi="en-US"/>
                </w:rPr>
                <w:t>rojekto lyginamasis variantas, 3 lapai.</w:t>
              </w:r>
            </w:p>
          </w:sdtContent>
        </w:sdt>
        <w:sdt>
          <w:sdtPr>
            <w:alias w:val="3 p."/>
            <w:tag w:val="part_75021902f3f24025938f5878a912bc50"/>
            <w:lock w:val="sdtLocked"/>
            <w:richText/>
          </w:sdtPr>
          <w:sdtContent>
            <w:p>
              <w:pPr>
                <w:ind w:firstLine="567"/>
                <w:jc w:val="both"/>
                <w:rPr>
                  <w:color w:val="000000"/>
                  <w:szCs w:val="24"/>
                  <w:lang w:eastAsia="lt-LT" w:bidi="en-US"/>
                </w:rPr>
              </w:pPr>
              <w:sdt>
                <w:sdtPr>
                  <w:alias w:val="Numeris"/>
                  <w:tag w:val="nr_75021902f3f24025938f5878a912bc50"/>
                  <w:lock w:val="sdtLocked"/>
                  <w:richText/>
                </w:sdtPr>
                <w:sdtContent>
                  <w:r>
                    <w:rPr>
                      <w:color w:val="000000"/>
                      <w:szCs w:val="24"/>
                      <w:lang w:eastAsia="lt-LT" w:bidi="en-US"/>
                    </w:rPr>
                    <w:t>3</w:t>
                  </w:r>
                </w:sdtContent>
              </w:sdt>
              <w:r>
                <w:rPr>
                  <w:color w:val="000000"/>
                  <w:szCs w:val="24"/>
                  <w:lang w:eastAsia="lt-LT" w:bidi="en-US"/>
                </w:rPr>
                <w:t>. Lietuvos Respublikos Vyriausybės nutarimo „Lietuvos Respublikos specialiųjų žemės naudojimo sąlygų įstatymo Nr. XIII-2166 1, 8, 9 ir 141 straipsnių pakeitimo įstatymo projekto pateikimo Lietuvos Respublikos Seimui“ projektas, 1 lapas.</w:t>
              </w:r>
            </w:p>
          </w:sdtContent>
        </w:sdt>
        <w:sdt>
          <w:sdtPr>
            <w:alias w:val="4 p."/>
            <w:tag w:val="part_67d84e4031474922b0574026273374a8"/>
            <w:lock w:val="sdtLocked"/>
            <w:richText/>
          </w:sdtPr>
          <w:sdtContent>
            <w:p>
              <w:pPr>
                <w:ind w:firstLine="567"/>
                <w:jc w:val="both"/>
                <w:rPr>
                  <w:rFonts w:eastAsia="Andale Sans UI"/>
                  <w:szCs w:val="24"/>
                  <w:lang w:bidi="en-US"/>
                </w:rPr>
              </w:pPr>
              <w:sdt>
                <w:sdtPr>
                  <w:alias w:val="Numeris"/>
                  <w:tag w:val="nr_67d84e4031474922b0574026273374a8"/>
                  <w:lock w:val="sdtLocked"/>
                  <w:richText/>
                </w:sdtPr>
                <w:sdtContent>
                  <w:r>
                    <w:rPr>
                      <w:color w:val="000000"/>
                      <w:szCs w:val="24"/>
                      <w:lang w:eastAsia="lt-LT" w:bidi="en-US"/>
                    </w:rPr>
                    <w:t>4</w:t>
                  </w:r>
                </w:sdtContent>
              </w:sdt>
              <w:r>
                <w:rPr>
                  <w:color w:val="000000"/>
                  <w:szCs w:val="24"/>
                  <w:lang w:eastAsia="lt-LT" w:bidi="en-US"/>
                </w:rPr>
                <w:t>. Aiškinamasis raštas</w:t>
              </w:r>
              <w:r>
                <w:rPr>
                  <w:color w:val="000000"/>
                  <w:szCs w:val="24"/>
                  <w:vertAlign w:val="superscript"/>
                  <w:lang w:eastAsia="lt-LT" w:bidi="en-US"/>
                </w:rPr>
                <w:footnoteReference w:id="13"/>
              </w:r>
              <w:r>
                <w:rPr>
                  <w:color w:val="000000"/>
                  <w:szCs w:val="24"/>
                  <w:lang w:eastAsia="lt-LT" w:bidi="en-US"/>
                </w:rPr>
                <w:t>, 4 lapai.</w:t>
              </w:r>
            </w:p>
          </w:sdtContent>
        </w:sdt>
        <w:sdt>
          <w:sdtPr>
            <w:alias w:val="5 p."/>
            <w:tag w:val="part_2b792699f2c240c1b911dca43b670c20"/>
            <w:lock w:val="sdtLocked"/>
            <w:richText/>
          </w:sdtPr>
          <w:sdtContent>
            <w:p>
              <w:pPr>
                <w:ind w:firstLine="567"/>
                <w:jc w:val="both"/>
                <w:rPr>
                  <w:color w:val="000000"/>
                  <w:szCs w:val="24"/>
                  <w:lang w:eastAsia="lt-LT" w:bidi="en-US"/>
                </w:rPr>
              </w:pPr>
              <w:sdt>
                <w:sdtPr>
                  <w:alias w:val="Numeris"/>
                  <w:tag w:val="nr_2b792699f2c240c1b911dca43b670c20"/>
                  <w:lock w:val="sdtLocked"/>
                  <w:richText/>
                </w:sdtPr>
                <w:sdtContent>
                  <w:r>
                    <w:rPr>
                      <w:color w:val="000000"/>
                      <w:szCs w:val="24"/>
                      <w:lang w:eastAsia="lt-LT" w:bidi="en-US"/>
                    </w:rPr>
                    <w:t>5</w:t>
                  </w:r>
                </w:sdtContent>
              </w:sdt>
              <w:r>
                <w:rPr>
                  <w:color w:val="000000"/>
                  <w:szCs w:val="24"/>
                  <w:lang w:eastAsia="lt-LT" w:bidi="en-US"/>
                </w:rPr>
                <w:t xml:space="preserve">. Antikorupcinio vertinimo pažyma, </w:t>
              </w:r>
              <w:r>
                <w:rPr>
                  <w:szCs w:val="24"/>
                  <w:lang w:eastAsia="lt-LT" w:bidi="en-US"/>
                </w:rPr>
                <w:t xml:space="preserve">7 </w:t>
              </w:r>
              <w:r>
                <w:rPr>
                  <w:color w:val="000000"/>
                  <w:szCs w:val="24"/>
                  <w:lang w:eastAsia="lt-LT" w:bidi="en-US"/>
                </w:rPr>
                <w:t>lapai.</w:t>
              </w:r>
            </w:p>
          </w:sdtContent>
        </w:sdt>
        <w:sdt>
          <w:sdtPr>
            <w:alias w:val="6 p."/>
            <w:tag w:val="part_7df50d1d2e1e4f548818759ee59e8693"/>
            <w:lock w:val="sdtLocked"/>
            <w:richText/>
          </w:sdtPr>
          <w:sdtContent>
            <w:p>
              <w:pPr>
                <w:ind w:firstLine="567"/>
                <w:jc w:val="both"/>
                <w:rPr>
                  <w:szCs w:val="24"/>
                  <w:lang w:eastAsia="lt-LT" w:bidi="en-US"/>
                </w:rPr>
              </w:pPr>
              <w:sdt>
                <w:sdtPr>
                  <w:alias w:val="Numeris"/>
                  <w:tag w:val="nr_7df50d1d2e1e4f548818759ee59e8693"/>
                  <w:lock w:val="sdtLocked"/>
                  <w:richText/>
                </w:sdtPr>
                <w:sdtContent>
                  <w:r>
                    <w:rPr>
                      <w:color w:val="000000"/>
                      <w:szCs w:val="24"/>
                      <w:lang w:eastAsia="lt-LT" w:bidi="en-US"/>
                    </w:rPr>
                    <w:t>6</w:t>
                  </w:r>
                </w:sdtContent>
              </w:sdt>
              <w:r>
                <w:rPr>
                  <w:color w:val="000000"/>
                  <w:szCs w:val="24"/>
                  <w:lang w:eastAsia="lt-LT" w:bidi="en-US"/>
                </w:rPr>
                <w:t xml:space="preserve">. </w:t>
              </w:r>
              <w:r>
                <w:rPr>
                  <w:rFonts w:eastAsia="Andale Sans UI"/>
                  <w:szCs w:val="24"/>
                  <w:lang w:bidi="en-US"/>
                </w:rPr>
                <w:t>P</w:t>
              </w:r>
              <w:r>
                <w:rPr>
                  <w:color w:val="000000"/>
                  <w:szCs w:val="24"/>
                  <w:lang w:eastAsia="lt-LT" w:bidi="en-US"/>
                </w:rPr>
                <w:t>rojektu galimų sukelti ūkio subjektų prisitaikymo prie reguliavimo išlaidų apskaičiavimo ataskaita</w:t>
              </w:r>
              <w:r>
                <w:rPr>
                  <w:color w:val="000000"/>
                  <w:szCs w:val="24"/>
                  <w:vertAlign w:val="superscript"/>
                  <w:lang w:eastAsia="lt-LT" w:bidi="en-US"/>
                </w:rPr>
                <w:footnoteReference w:id="14"/>
              </w:r>
              <w:r>
                <w:rPr>
                  <w:color w:val="000000"/>
                  <w:szCs w:val="24"/>
                  <w:lang w:eastAsia="lt-LT" w:bidi="en-US"/>
                </w:rPr>
                <w:t xml:space="preserve">, </w:t>
              </w:r>
              <w:r>
                <w:rPr>
                  <w:szCs w:val="24"/>
                  <w:lang w:eastAsia="lt-LT" w:bidi="en-US"/>
                </w:rPr>
                <w:t>1 failas</w:t>
              </w:r>
              <w:r>
                <w:rPr>
                  <w:i/>
                  <w:iCs/>
                  <w:szCs w:val="24"/>
                  <w:lang w:eastAsia="lt-LT" w:bidi="en-US"/>
                </w:rPr>
                <w:t xml:space="preserve"> Excel </w:t>
              </w:r>
              <w:r>
                <w:rPr>
                  <w:szCs w:val="24"/>
                  <w:lang w:eastAsia="lt-LT" w:bidi="en-US"/>
                </w:rPr>
                <w:t>formatu.</w:t>
              </w:r>
            </w:p>
            <w:p>
              <w:pPr>
                <w:suppressLineNumbers/>
                <w:jc w:val="both"/>
                <w:rPr>
                  <w:rFonts w:eastAsia="Andale Sans UI"/>
                  <w:bCs/>
                  <w:szCs w:val="24"/>
                  <w:lang w:bidi="en-US"/>
                </w:rPr>
              </w:pPr>
            </w:p>
            <w:p>
              <w:pPr>
                <w:suppressLineNumbers/>
                <w:jc w:val="both"/>
                <w:rPr>
                  <w:rFonts w:eastAsia="Andale Sans UI"/>
                  <w:bCs/>
                  <w:szCs w:val="24"/>
                  <w:lang w:bidi="en-US"/>
                </w:rPr>
              </w:pPr>
            </w:p>
            <w:p>
              <w:pPr>
                <w:suppressLineNumbers/>
                <w:jc w:val="both"/>
                <w:rPr>
                  <w:rFonts w:eastAsia="Andale Sans UI"/>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jc w:val="both"/>
                      <w:rPr>
                        <w:rFonts w:eastAsia="Andale Sans UI"/>
                        <w:szCs w:val="24"/>
                        <w:lang w:bidi="en-US"/>
                      </w:rPr>
                    </w:pPr>
                    <w:r>
                      <w:rPr>
                        <w:rFonts w:eastAsia="Andale Sans UI"/>
                        <w:szCs w:val="24"/>
                        <w:lang w:bidi="en-US"/>
                      </w:rPr>
                      <w:t>Aplinkos viceministrė</w:t>
                    </w:r>
                  </w:p>
                </w:tc>
                <w:tc>
                  <w:tcPr>
                    <w:tcW w:w="4826" w:type="dxa"/>
                    <w:vAlign w:val="bottom"/>
                  </w:tcPr>
                  <w:p>
                    <w:pPr>
                      <w:ind w:right="34"/>
                      <w:jc w:val="right"/>
                      <w:rPr>
                        <w:rFonts w:eastAsia="Andale Sans UI"/>
                        <w:szCs w:val="24"/>
                        <w:lang w:bidi="en-US"/>
                      </w:rPr>
                    </w:pPr>
                    <w:r>
                      <w:rPr>
                        <w:rFonts w:eastAsia="Andale Sans UI"/>
                        <w:szCs w:val="24"/>
                        <w:lang w:bidi="en-US"/>
                      </w:rPr>
                      <w:t>Česlava Lisovska</w:t>
                    </w:r>
                  </w:p>
                </w:tc>
              </w:tr>
              <w:tr>
                <w:trPr>
                  <w:cantSplit/>
                  <w:trHeight w:val="340"/>
                </w:trPr>
                <w:tc>
                  <w:tcPr>
                    <w:tcW w:w="9643" w:type="dxa"/>
                    <w:gridSpan w:val="2"/>
                  </w:tcPr>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r>
                      <w:rPr>
                        <w:rFonts w:eastAsia="Andale Sans UI"/>
                        <w:szCs w:val="24"/>
                        <w:lang w:bidi="en-US"/>
                      </w:rPr>
                      <w:t xml:space="preserve">Kristina Visakavičienė, tel. +370 695 58 677, el. p. kristina.visakaviciene@am.lt </w:t>
                    </w:r>
                  </w:p>
                  <w:p>
                    <w:pPr>
                      <w:suppressLineNumbers/>
                      <w:jc w:val="both"/>
                      <w:rPr>
                        <w:rFonts w:eastAsia="Andale Sans UI"/>
                        <w:szCs w:val="24"/>
                        <w:lang w:bidi="en-US"/>
                      </w:rPr>
                    </w:pPr>
                  </w:p>
                </w:tc>
              </w:tr>
            </w:tbl>
            <w:p>
              <w:pPr>
                <w:jc w:val="center"/>
                <w:rPr>
                  <w:rFonts w:eastAsia="Andale Sans UI"/>
                  <w:szCs w:val="24"/>
                  <w:lang w:bidi="en-US"/>
                </w:rPr>
                <w:sectPr>
                  <w:headerReference w:type="even" r:id="rId11"/>
                  <w:headerReference w:type="default" r:id="rId12"/>
                  <w:footerReference w:type="even" r:id="rId13"/>
                  <w:footerReference w:type="default" r:id="rId14"/>
                  <w:headerReference w:type="first" r:id="rId15"/>
                  <w:footerReference w:type="first" r:id="rId16"/>
                  <w:footnotePr>
                    <w:pos w:val="beneathText"/>
                  </w:footnotePr>
                  <w:endnotePr>
                    <w:numFmt w:val="decimal"/>
                  </w:endnotePr>
                  <w:pgSz w:w="11905" w:h="16837"/>
                  <w:pgMar w:top="1021" w:right="567" w:bottom="1021" w:left="1588" w:header="567" w:footer="232" w:gutter="0"/>
                  <w:cols w:space="1296"/>
                  <w:titlePg/>
                  <w:docGrid w:linePitch="326"/>
                </w:sectPr>
              </w:pPr>
            </w:p>
            <w:p>
              <w:pPr>
                <w:suppressLineNumbers/>
                <w:tabs>
                  <w:tab w:val="center" w:pos="4800"/>
                  <w:tab w:val="right" w:pos="9601"/>
                </w:tabs>
                <w:jc w:val="both"/>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p>
              <w:pPr>
                <w:suppressLineNumbers/>
                <w:jc w:val="both"/>
                <w:rPr>
                  <w:rFonts w:eastAsia="Andale Sans UI" w:cs="Tahoma"/>
                  <w:spacing w:val="10"/>
                  <w:szCs w:val="24"/>
                  <w:lang w:bidi="en-US"/>
                </w:rPr>
              </w:pPr>
              <w:r>
                <w:rPr>
                  <w:rFonts w:eastAsia="Andale Sans UI" w:cs="Tahoma"/>
                  <w:spacing w:val="10"/>
                  <w:szCs w:val="24"/>
                  <w:lang w:bidi="en-US"/>
                </w:rPr>
                <w:t>Lietuvos Respublikos teisingumo ministerijai</w:t>
              </w:r>
            </w:p>
            <w:p>
              <w:pPr>
                <w:suppressLineNumbers/>
                <w:jc w:val="both"/>
                <w:rPr>
                  <w:rFonts w:eastAsia="Andale Sans UI" w:cs="Tahoma"/>
                  <w:spacing w:val="10"/>
                  <w:szCs w:val="24"/>
                  <w:lang w:bidi="en-US"/>
                </w:rPr>
              </w:pPr>
              <w:r>
                <w:rPr>
                  <w:rFonts w:eastAsia="Andale Sans UI" w:cs="Tahoma"/>
                  <w:spacing w:val="10"/>
                  <w:szCs w:val="24"/>
                  <w:lang w:bidi="en-US"/>
                </w:rPr>
                <w:t>Lietuvos Respublikos kultūros ministerijai</w:t>
              </w:r>
            </w:p>
            <w:p>
              <w:pPr>
                <w:suppressLineNumbers/>
                <w:jc w:val="both"/>
                <w:rPr>
                  <w:rFonts w:eastAsia="Andale Sans UI" w:cs="Tahoma"/>
                  <w:spacing w:val="10"/>
                  <w:szCs w:val="24"/>
                  <w:lang w:bidi="en-US"/>
                </w:rPr>
              </w:pPr>
              <w:r>
                <w:rPr>
                  <w:rFonts w:eastAsia="Andale Sans UI" w:cs="Tahoma"/>
                  <w:spacing w:val="10"/>
                  <w:szCs w:val="24"/>
                  <w:lang w:bidi="en-US"/>
                </w:rPr>
                <w:t>Kultūros paveldo departamentui prie Kultūros ministerijos </w:t>
              </w:r>
            </w:p>
            <w:p>
              <w:pPr>
                <w:suppressLineNumbers/>
                <w:jc w:val="both"/>
                <w:rPr>
                  <w:rFonts w:eastAsia="Andale Sans UI" w:cs="Tahoma"/>
                  <w:spacing w:val="10"/>
                  <w:szCs w:val="24"/>
                  <w:lang w:bidi="en-US"/>
                </w:rPr>
              </w:pPr>
              <w:r>
                <w:rPr>
                  <w:rFonts w:eastAsia="Andale Sans UI" w:cs="Tahoma"/>
                  <w:spacing w:val="10"/>
                  <w:szCs w:val="24"/>
                  <w:lang w:bidi="en-US"/>
                </w:rPr>
                <w:t>Valstybinei saugomų teritorijų tarnybai prie Aplinkos ministerijos</w:t>
              </w:r>
            </w:p>
            <w:p>
              <w:pPr>
                <w:suppressLineNumbers/>
                <w:jc w:val="both"/>
                <w:rPr>
                  <w:rFonts w:eastAsia="Andale Sans UI" w:cs="Tahoma"/>
                  <w:spacing w:val="10"/>
                  <w:szCs w:val="24"/>
                  <w:lang w:bidi="en-US"/>
                </w:rPr>
              </w:pPr>
              <w:r>
                <w:rPr>
                  <w:rFonts w:eastAsia="Andale Sans UI" w:cs="Tahoma"/>
                  <w:spacing w:val="10"/>
                  <w:szCs w:val="24"/>
                  <w:lang w:bidi="en-US"/>
                </w:rPr>
                <w:t>Valstybinei teritorijų planavimo ir statybos inspekcijai prie Aplinkos ministerijos</w:t>
              </w:r>
            </w:p>
          </w:sdtContent>
        </w:sdt>
        <w:sdt>
          <w:sdtPr>
            <w:alias w:val="signatura"/>
            <w:tag w:val="part_c54cdb2bafa741ecb37343ef4218c452"/>
            <w:lock w:val="sdtLocked"/>
            <w:richText/>
          </w:sdtPr>
          <w:sdtContent>
            <w:p>
              <w:pPr>
                <w:suppressLineNumbers/>
                <w:jc w:val="both"/>
                <w:rPr>
                  <w:rFonts w:eastAsia="Andale Sans UI" w:cs="Tahoma"/>
                  <w:spacing w:val="10"/>
                  <w:szCs w:val="24"/>
                  <w:lang w:bidi="en-US"/>
                </w:rPr>
              </w:pPr>
              <w:r>
                <w:rPr>
                  <w:rFonts w:eastAsia="Andale Sans UI" w:cs="Tahoma"/>
                  <w:spacing w:val="10"/>
                  <w:szCs w:val="24"/>
                  <w:lang w:bidi="en-US"/>
                </w:rPr>
                <w:t>Valstybės įmonei Valstybinių miškų urėdijai</w:t>
              </w:r>
            </w:p>
            <w:p>
              <w:pPr>
                <w:suppressLineNumbers/>
                <w:jc w:val="both"/>
                <w:rPr>
                  <w:rFonts w:eastAsia="Andale Sans UI" w:cs="Tahoma"/>
                  <w:spacing w:val="10"/>
                  <w:szCs w:val="24"/>
                  <w:lang w:bidi="en-US"/>
                </w:rPr>
              </w:pPr>
              <w:r>
                <w:rPr>
                  <w:rFonts w:eastAsia="Andale Sans UI" w:cs="Tahoma"/>
                  <w:spacing w:val="10"/>
                  <w:szCs w:val="24"/>
                  <w:lang w:bidi="en-US"/>
                </w:rPr>
                <w:t>Valstybės įmonei Registrų centrui</w:t>
              </w:r>
            </w:p>
            <w:p>
              <w:pPr>
                <w:suppressLineNumbers/>
                <w:jc w:val="both"/>
                <w:rPr>
                  <w:rFonts w:eastAsia="Andale Sans UI" w:cs="Tahoma"/>
                  <w:spacing w:val="10"/>
                  <w:szCs w:val="24"/>
                  <w:lang w:bidi="en-US"/>
                </w:rPr>
              </w:pPr>
              <w:r>
                <w:rPr>
                  <w:rFonts w:eastAsia="Andale Sans UI" w:cs="Tahoma"/>
                  <w:spacing w:val="10"/>
                  <w:szCs w:val="24"/>
                  <w:lang w:bidi="en-US"/>
                </w:rPr>
                <w:t>Lietuvos Respublikos specialiųjų tyrimų tarnybai</w:t>
              </w:r>
            </w:p>
            <w:p>
              <w:pPr>
                <w:suppressLineNumbers/>
                <w:jc w:val="both"/>
                <w:rPr>
                  <w:rFonts w:eastAsia="Andale Sans UI" w:cs="Tahoma"/>
                  <w:spacing w:val="10"/>
                  <w:szCs w:val="24"/>
                  <w:lang w:bidi="en-US"/>
                </w:rPr>
              </w:pPr>
              <w:r>
                <w:rPr>
                  <w:rFonts w:eastAsia="Andale Sans UI" w:cs="Tahoma"/>
                  <w:spacing w:val="10"/>
                  <w:szCs w:val="24"/>
                  <w:lang w:bidi="en-US"/>
                </w:rPr>
                <w:t>Lietuvos savivaldybių asociacijai</w:t>
              </w:r>
            </w:p>
            <w:p>
              <w:pPr>
                <w:suppressLineNumbers/>
                <w:jc w:val="both"/>
                <w:rPr>
                  <w:rFonts w:eastAsia="Andale Sans UI" w:cs="Tahoma"/>
                  <w:spacing w:val="10"/>
                  <w:szCs w:val="24"/>
                  <w:lang w:bidi="en-US"/>
                </w:rPr>
              </w:pPr>
              <w:r>
                <w:rPr>
                  <w:rFonts w:eastAsia="Andale Sans UI" w:cs="Tahoma"/>
                  <w:spacing w:val="10"/>
                  <w:szCs w:val="24"/>
                  <w:lang w:bidi="en-US"/>
                </w:rPr>
                <w:t>Vyriausybės atstovų įstaigai</w:t>
              </w:r>
            </w:p>
            <w:p>
              <w:pPr>
                <w:spacing w:line="276" w:lineRule="auto"/>
                <w:ind w:firstLine="567"/>
                <w:jc w:val="both"/>
                <w:rPr>
                  <w:rFonts w:eastAsia="Andale Sans UI" w:cs="Tahoma"/>
                  <w:szCs w:val="24"/>
                  <w:lang w:bidi="en-US"/>
                </w:rPr>
              </w:pP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id="1">
    <w:p>
      <w:pPr>
        <w:jc w:val="both"/>
        <w:rPr>
          <w:rFonts w:eastAsia="Andale Sans UI"/>
          <w:sz w:val="20"/>
        </w:rPr>
      </w:pPr>
      <w:r>
        <w:rPr>
          <w:rFonts w:eastAsia="Andale Sans UI" w:cs="Tahoma"/>
          <w:sz w:val="20"/>
          <w:vertAlign w:val="superscript"/>
        </w:rPr>
        <w:footnoteRef/>
      </w:r>
      <w:r>
        <w:rPr>
          <w:rFonts w:eastAsia="Andale Sans UI" w:cs="Tahoma"/>
          <w:sz w:val="20"/>
        </w:rPr>
        <w:t xml:space="preserve"> </w:t>
      </w:r>
      <w:r>
        <w:rPr>
          <w:rFonts w:eastAsia="Andale Sans UI"/>
          <w:sz w:val="20"/>
        </w:rPr>
        <w:t>Lietuvos Respublikos teisingumo ministro 2025 m. birželio 26 d. įsakymas Nr. 1R-201 „Dėl Nekilnojamojo turto registro informacinės sistemos nuostatų patvirtinimo“.</w:t>
      </w:r>
    </w:p>
  </w:footnote>
  <w:footnote w:id="2">
    <w:p>
      <w:pPr>
        <w:jc w:val="both"/>
        <w:rPr>
          <w:rFonts w:eastAsia="Andale Sans UI" w:cs="Tahoma"/>
          <w:sz w:val="20"/>
        </w:rPr>
      </w:pPr>
      <w:r>
        <w:rPr>
          <w:rFonts w:eastAsia="Andale Sans UI"/>
          <w:sz w:val="20"/>
          <w:vertAlign w:val="superscript"/>
        </w:rPr>
        <w:footnoteRef/>
      </w:r>
      <w:r>
        <w:rPr>
          <w:rFonts w:eastAsia="Andale Sans UI"/>
          <w:sz w:val="20"/>
        </w:rPr>
        <w:t xml:space="preserve"> Lietuvos Respublikos aplinkos ministro 2024 m.  sausio 18 d. įsakymas Nr. D1-21 „Dėl Teritorijų, kuriose taikomos specialiosios žemės naudojimo sąlygos, erdvinių duomenų rinkinio specifikacijos patvirtinimo“.</w:t>
      </w:r>
    </w:p>
  </w:footnote>
  <w:footnote w:id="3">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80"/>
            <w:sz w:val="20"/>
            <w:u w:val="single"/>
          </w:rPr>
          <w:t>Dvidešimtosios Lietuvos Respublikos Vyriausybės programa</w:t>
        </w:r>
      </w:hyperlink>
      <w:r>
        <w:rPr>
          <w:rFonts w:eastAsia="Andale Sans UI"/>
          <w:sz w:val="20"/>
        </w:rPr>
        <w:t>, kuriai pritarta Lietuvos Respublikos Seimo 2025 m. rugsėjo 25 d. nutarimu Nr. XV-439 „Dėl Dvidešimtosios Lietuvos Respublikos Vyriausybės programos“.</w:t>
      </w:r>
    </w:p>
  </w:footnote>
  <w:footnote w:id="4">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2"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5">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6">
    <w:p>
      <w:pPr>
        <w:jc w:val="both"/>
        <w:rPr>
          <w:sz w:val="20"/>
          <w:lang w:eastAsia="lt-LT"/>
        </w:rPr>
      </w:pPr>
      <w:r>
        <w:rPr>
          <w:rFonts w:eastAsia="Andale Sans UI"/>
          <w:sz w:val="20"/>
          <w:vertAlign w:val="superscript"/>
        </w:rPr>
        <w:footnoteRef/>
        <w:t xml:space="preserve"> </w:t>
      </w:r>
      <w:hyperlink r:id="rId4">
        <w:r>
          <w:rPr>
            <w:color w:val="000080"/>
            <w:sz w:val="20"/>
            <w:u w:val="single"/>
            <w:lang w:eastAsia="lt-LT"/>
          </w:rPr>
          <w:t>Pranešimų ir informacijos apie nustatomus įsisteigimo arba nustatomus ar panaikinamus paslaugų teikimo laisvei taikomus reikalavimus teikimo tvarkos aprašas</w:t>
        </w:r>
      </w:hyperlink>
      <w:r>
        <w:rPr>
          <w:sz w:val="20"/>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7">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5"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8">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6"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17</w:t>
      </w:r>
      <w:r>
        <w:rPr>
          <w:sz w:val="20"/>
          <w:vertAlign w:val="superscript"/>
          <w:lang w:eastAsia="lt-LT"/>
        </w:rPr>
        <w:t>1</w:t>
      </w:r>
      <w:r>
        <w:rPr>
          <w:sz w:val="20"/>
          <w:lang w:eastAsia="lt-LT"/>
        </w:rPr>
        <w:t xml:space="preserve"> ir 35 punktai.</w:t>
      </w:r>
    </w:p>
  </w:footnote>
  <w:footnote w:id="9">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7" w:history="1">
        <w:r>
          <w:rPr>
            <w:rFonts w:eastAsia="Andale Sans UI"/>
            <w:color w:val="000080"/>
            <w:sz w:val="20"/>
            <w:u w:val="single"/>
          </w:rPr>
          <w:t>Teisėkūros poveikio aplinkai ir klimato kaitai (</w:t>
        </w:r>
        <w:r>
          <w:rPr>
            <w:rFonts w:eastAsia="Andale Sans UI"/>
            <w:i/>
            <w:iCs/>
            <w:color w:val="000080"/>
            <w:sz w:val="20"/>
            <w:u w:val="single"/>
          </w:rPr>
          <w:t>ex ante</w:t>
        </w:r>
        <w:r>
          <w:rPr>
            <w:rFonts w:eastAsia="Andale Sans UI"/>
            <w:color w:val="000080"/>
            <w:sz w:val="20"/>
            <w:u w:val="single"/>
          </w:rPr>
          <w:t>) vertinimo tvarkos aprašas</w:t>
        </w:r>
      </w:hyperlink>
      <w:r>
        <w:rPr>
          <w:rFonts w:eastAsia="Andale Sans UI"/>
          <w:sz w:val="20"/>
        </w:rPr>
        <w:t>, patvirtintas Lietuvos Respublikos aplinkos ministro 2024 m. vasario 27 d. įsakymu Nr. D1-57 „Dėl Teisėkūros poveikio aplinkai ir klimato kaitai (</w:t>
      </w:r>
      <w:r>
        <w:rPr>
          <w:rFonts w:eastAsia="Andale Sans UI"/>
          <w:i/>
          <w:iCs/>
          <w:sz w:val="20"/>
        </w:rPr>
        <w:t>ex ante</w:t>
      </w:r>
      <w:r>
        <w:rPr>
          <w:rFonts w:eastAsia="Andale Sans UI"/>
          <w:sz w:val="20"/>
        </w:rPr>
        <w:t>) vertinimo tvarkos aprašo patvirtinimo“.</w:t>
      </w:r>
    </w:p>
  </w:footnote>
  <w:footnote w:id="10">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https://aaa.lrv.lt/lt/veiklos-sritys/teisekuros-poveikio-vertinimas/</w:t>
      </w:r>
      <w:r>
        <w:rPr>
          <w:rFonts w:eastAsia="Andale Sans UI"/>
          <w:sz w:val="20"/>
        </w:rPr>
        <w:t xml:space="preserve"> </w:t>
      </w:r>
    </w:p>
  </w:footnote>
  <w:footnote w:id="11">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 w:id="12">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Lietuvos Respublikos Vyriausybės darbo reglamentas</w:t>
      </w:r>
      <w:r>
        <w:rPr>
          <w:rFonts w:eastAsia="Andale Sans UI"/>
          <w:sz w:val="20"/>
        </w:rPr>
        <w:t>, patvirtintas Lietuvos Respublikos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w:t>
      </w:r>
      <w:r>
        <w:rPr>
          <w:rFonts w:eastAsia="Andale Sans UI" w:cs="Tahoma"/>
          <w:sz w:val="20"/>
        </w:rPr>
        <w:t xml:space="preserve"> </w:t>
      </w:r>
      <w:r>
        <w:rPr>
          <w:rFonts w:eastAsia="Andale Sans UI"/>
          <w:sz w:val="20"/>
        </w:rPr>
        <w:t>patvirtinimo“.</w:t>
      </w:r>
    </w:p>
  </w:footnote>
  <w:footnote w:id="13">
    <w:p>
      <w:pPr>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shd w:val="clear" w:color="auto" w:fill="FFFFFF"/>
          <w:lang w:bidi="en-US"/>
        </w:rPr>
        <w:t>Lietuvos Respublikos Seimo statuto</w:t>
      </w:r>
      <w:r>
        <w:rPr>
          <w:rFonts w:eastAsia="Andale Sans UI"/>
          <w:color w:val="000000"/>
          <w:sz w:val="20"/>
          <w:shd w:val="clear" w:color="auto" w:fill="FFFFFF"/>
          <w:lang w:bidi="en-US"/>
        </w:rPr>
        <w:t xml:space="preserve"> 135 straipsnio 3 dalis.</w:t>
      </w:r>
    </w:p>
  </w:footnote>
  <w:footnote w:id="14">
    <w:p>
      <w:pPr>
        <w:suppressLineNumbers/>
        <w:spacing w:line="276" w:lineRule="auto"/>
        <w:jc w:val="both"/>
        <w:rPr>
          <w:rFonts w:eastAsia="Andale Sans UI"/>
          <w:color w:val="000000"/>
          <w:sz w:val="20"/>
          <w:shd w:val="clear" w:color="auto" w:fill="FFFFFF"/>
          <w:lang w:bidi="en-US"/>
        </w:rPr>
      </w:pPr>
      <w:r>
        <w:rPr>
          <w:rFonts w:eastAsia="Andale Sans UI"/>
          <w:sz w:val="20"/>
          <w:vertAlign w:val="superscript"/>
          <w:lang w:bidi="en-US"/>
        </w:rPr>
        <w:footnoteRef/>
      </w:r>
      <w:r>
        <w:rPr>
          <w:rFonts w:eastAsia="Andale Sans UI"/>
          <w:sz w:val="20"/>
          <w:lang w:bidi="en-US"/>
        </w:rPr>
        <w:t xml:space="preserve"> </w:t>
      </w:r>
      <w:r>
        <w:rPr>
          <w:rFonts w:eastAsia="Andale Sans UI"/>
          <w:color w:val="000080"/>
          <w:sz w:val="20"/>
          <w:u w:val="single"/>
          <w:shd w:val="clear" w:color="auto" w:fill="FFFFFF"/>
          <w:lang w:bidi="en-US"/>
        </w:rPr>
        <w:t>Ūkio subjektų administracinės naštos ir prisitaikymo prie reguliavimo išlaidų vertinimo metodika</w:t>
      </w:r>
      <w:r>
        <w:rPr>
          <w:rFonts w:eastAsia="Andale Sans UI"/>
          <w:color w:val="000000"/>
          <w:sz w:val="20"/>
          <w:shd w:val="clear" w:color="auto" w:fill="FFFFFF"/>
          <w:lang w:bidi="en-US"/>
        </w:rPr>
        <w:t xml:space="preserve">, patvirtinta Lietuvos Respublikos Vyriausybės </w:t>
      </w:r>
      <w:r>
        <w:rPr>
          <w:rFonts w:eastAsia="Andale Sans UI"/>
          <w:color w:val="000000"/>
          <w:sz w:val="20"/>
          <w:lang w:bidi="en-US"/>
        </w:rPr>
        <w:t xml:space="preserve">2012 m. sausio 11 d. nutarimu Nr. 4 </w:t>
      </w:r>
      <w:r>
        <w:rPr>
          <w:rFonts w:eastAsia="Andale Sans UI"/>
          <w:color w:val="000000"/>
          <w:sz w:val="20"/>
          <w:shd w:val="clear" w:color="auto" w:fill="FFFFFF"/>
          <w:lang w:bidi="en-US"/>
        </w:rPr>
        <w:t>„Dėl Ūkio subjektų administracinės naštos ir prisitaikymo prie reguliavimo išlaidų vertinimo metodikos 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5</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07E1726-CE52-4D63-88A7-C99DC99DC5D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1093864504">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822156668">
          <w:marLeft w:val="0"/>
          <w:marRight w:val="0"/>
          <w:marTop w:val="0"/>
          <w:marBottom w:val="0"/>
          <w:divBdr>
            <w:top w:val="none" w:sz="0" w:space="0" w:color="auto"/>
            <w:left w:val="none" w:sz="0" w:space="0" w:color="auto"/>
            <w:bottom w:val="none" w:sz="0" w:space="0" w:color="auto"/>
            <w:right w:val="none" w:sz="0" w:space="0" w:color="auto"/>
          </w:divBdr>
        </w:div>
      </w:divsChild>
    </w:div>
    <w:div w:id="1040327560">
      <w:bodyDiv w:val="1"/>
      <w:marLeft w:val="0"/>
      <w:marRight w:val="0"/>
      <w:marTop w:val="0"/>
      <w:marBottom w:val="0"/>
      <w:divBdr>
        <w:top w:val="none" w:sz="0" w:space="0" w:color="auto"/>
        <w:left w:val="none" w:sz="0" w:space="0" w:color="auto"/>
        <w:bottom w:val="none" w:sz="0" w:space="0" w:color="auto"/>
        <w:right w:val="none" w:sz="0" w:space="0" w:color="auto"/>
      </w:divBdr>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336346376">
          <w:marLeft w:val="0"/>
          <w:marRight w:val="0"/>
          <w:marTop w:val="0"/>
          <w:marBottom w:val="0"/>
          <w:divBdr>
            <w:top w:val="none" w:sz="0" w:space="0" w:color="auto"/>
            <w:left w:val="none" w:sz="0" w:space="0" w:color="auto"/>
            <w:bottom w:val="none" w:sz="0" w:space="0" w:color="auto"/>
            <w:right w:val="none" w:sz="0" w:space="0" w:color="auto"/>
          </w:divBdr>
        </w:div>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sChild>
    </w:div>
    <w:div w:id="1670673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568b271299f611f0a8bbd1e98310677d"/>
  <Relationship Id="rId2" Type="http://schemas.openxmlformats.org/officeDocument/2006/relationships/hyperlink" TargetMode="External" Target="https://www.e-tar.lt/portal/lt/legalAct/TAR.DB68BCA9E3A0/asr"/>
  <Relationship Id="rId3" Type="http://schemas.openxmlformats.org/officeDocument/2006/relationships/hyperlink" TargetMode="External" Target="https://www.e-tar.lt/portal/lt/legalAct/TAR.EDD5FD371B32/asr"/>
  <Relationship Id="rId4" Type="http://schemas.openxmlformats.org/officeDocument/2006/relationships/hyperlink" TargetMode="External" Target="https://www.e-tar.lt/portal/lt/legalAct/TAR.DCD24028BD0E"/>
  <Relationship Id="rId5" Type="http://schemas.openxmlformats.org/officeDocument/2006/relationships/hyperlink" TargetMode="External" Target="https://www.e-tar.lt/portal/lt/legalAct/TAR.814F485EB18B/asr"/>
  <Relationship Id="rId6" Type="http://schemas.openxmlformats.org/officeDocument/2006/relationships/hyperlink" TargetMode="External" Target="https://www.e-tar.lt/portal/lt/legalAct/TAR.814F485EB18B/asr"/>
  <Relationship Id="rId7" Type="http://schemas.openxmlformats.org/officeDocument/2006/relationships/hyperlink" TargetMode="External" Target="https://www.e-tar.lt/portal/lt/legalAct/0635c170d54511eead77e967e399526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Jurgita Užkurnienė</DisplayName>
        <AccountId>118</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7cb8063ae6bd6750ce5a6d00791ed29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075dbf29faebe5ae49ecb246484490c0"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59e12ecc8fcd4b9d895c2729f84b094e" PartId="c46e57c9057f48d5af8999231d9c8212"/>
  <Part Type="pastraipa" DocPartId="bb3e89a176534ef4b31bdc1456fb2c1e" PartId="2aa59aca74d94a3781fb586056fece94">
    <Part Type="punktas" Nr="1" Abbr="1 p." DocPartId="fdec203f7b25473bbfd3a0da906004c6" PartId="b63de9f1bd95464e96ca45c7092b92e3"/>
    <Part Type="punktas" Nr="2" Abbr="2 p." DocPartId="f40c185e944a45fba98ed85aaf5310e8" PartId="cde2c4c15ea44f748dd8a1a024031586"/>
    <Part Type="punktas" Nr="3" Abbr="3 p." DocPartId="730099692617458e93c08dcc9b47ac5f" PartId="1a776a16057d4aceb336896eb433ea24"/>
    <Part Type="punktas" Nr="4" Abbr="4 p." DocPartId="bf649c4b204d4b7fb15d627a50c621ab" PartId="fa26c6f2a6de49d886b7b371da649842"/>
    <Part Type="punktas" Nr="5" Abbr="5 p." DocPartId="b01e6c84505f485391b0a2e7adcb3dd2" PartId="a44e91c123c94b5aa89d3d7260ce1e49"/>
    <Part Type="punktas" Nr="6" Abbr="6 p." DocPartId="f66dcf1d1e4449ddabf823a83c1ee27e" PartId="9f282e6029f4434f994748fc5a6bf16c"/>
    <Part Type="punktas" Nr="7" Abbr="7 p." DocPartId="d16499680e9740c38cc391736825654d" PartId="965f3614da994b31ac83d383fd674c6a"/>
    <Part Type="punktas" Nr="8" Abbr="8 p." DocPartId="a795af70de3f4ec9ae0b76f179b02c3b" PartId="11e00e9ece1643bc9a26c01e414e7852"/>
    <Part Type="punktas" Nr="9" Abbr="9 p." DocPartId="d339dad325e340fdad9768f4912b68d0" PartId="b4c815fa00d74e87aa7985cc351e8ba6"/>
    <Part Type="punktas" Nr="10" Abbr="10 p." DocPartId="e5be1a21a4be400dadfac0143dc09afe" PartId="fbc03f9073d4416aa4c65d82b1272762"/>
    <Part Type="punktas" Nr="11" Abbr="11 p." DocPartId="0368ef9534074b90b7de15657eeb1ad1" PartId="1b6798eab0014391845fca7dba553239"/>
    <Part Type="punktas" Nr="12" Abbr="12 p." DocPartId="d4adf29996d348a38271dad44d34c134" PartId="2a22b35bcbcc49d985cd5f0edd6d2d6d"/>
    <Part Type="punktas" Nr="13" Abbr="13 p." DocPartId="aebbaec116db438a989c765ae0cbe0e0" PartId="4dffc508364143d3bbee154b5fe06d15"/>
    <Part Type="punktas" Nr="14" Abbr="14 p." DocPartId="f47f6adc205d4d358448e838de078ecc" PartId="0158302c4cac4baa9d6e0e54e3d54b25"/>
    <Part Type="punktas" Nr="15" Abbr="15 p." DocPartId="1b59c3f1f63344ca9aa338187e43f7fc" PartId="eb8a7c5648174edc9b600fed7a0a13cb"/>
    <Part Type="punktas" Nr="1" Abbr="1 p." Notes="Numeris ne iš eilės. Trūksta dalių? [DocDalys]" DocPartId="8ba77ccc3a90461ba043f68795e08444" PartId="32495d313dac4d20b06308680f58cf2c"/>
    <Part Type="punktas" Nr="2" Abbr="2 p." DocPartId="f4eb325df14447bbbc16c80e31a821b7" PartId="840cedead3964e01bfc74af701870796"/>
    <Part Type="punktas" Nr="3" Abbr="3 p." DocPartId="a6fcce6bffcb4b938d6f0726d3062a99" PartId="75021902f3f24025938f5878a912bc50"/>
    <Part Type="punktas" Nr="4" Abbr="4 p." DocPartId="8e9457af99f14c7d8029567f425bf7a0" PartId="67d84e4031474922b0574026273374a8"/>
    <Part Type="punktas" Nr="5" Abbr="5 p." DocPartId="fab6dd38e7a046f99be1b1038c4c9c9e" PartId="2b792699f2c240c1b911dca43b670c20"/>
    <Part Type="punktas" Nr="6" Abbr="6 p." DocPartId="b16e45eb9cf24cd49272745b9a7b8a42" PartId="7df50d1d2e1e4f548818759ee59e8693"/>
    <Part Type="signatura" DocPartId="a76caa814820453bbb77888d76686363" PartId="c54cdb2bafa741ecb37343ef4218c452"/>
  </Part>
</Parts>
</file>

<file path=customXml/itemProps1.xml><?xml version="1.0" encoding="utf-8"?>
<ds:datastoreItem xmlns:ds="http://schemas.openxmlformats.org/officeDocument/2006/customXml" ds:itemID="{2ECC1323-9F72-4681-9895-5BB6B34E3FBB}">
  <ds:schemaRefs>
    <ds:schemaRef ds:uri="http://schemas.microsoft.com/office/2006/metadata/properties"/>
    <ds:schemaRef ds:uri="http://schemas.microsoft.com/office/infopath/2007/PartnerControls"/>
    <ds:schemaRef ds:uri="0379a545-9986-45d7-9e6d-3845025712a0"/>
    <ds:schemaRef ds:uri="47c1ea38-b788-4873-88f4-3b1f34597b9a"/>
  </ds:schemaRefs>
</ds:datastoreItem>
</file>

<file path=customXml/itemProps2.xml><?xml version="1.0" encoding="utf-8"?>
<ds:datastoreItem xmlns:ds="http://schemas.openxmlformats.org/officeDocument/2006/customXml" ds:itemID="{88DD9D76-F237-4193-827C-14B7FF6D48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4.xml><?xml version="1.0" encoding="utf-8"?>
<ds:datastoreItem xmlns:ds="http://schemas.openxmlformats.org/officeDocument/2006/customXml" ds:itemID="{CCA8FEBB-A483-4457-930F-CAEC3A84F20E}">
  <ds:schemaRefs>
    <ds:schemaRef ds:uri="http://schemas.openxmlformats.org/officeDocument/2006/bibliography"/>
  </ds:schemaRefs>
</ds:datastoreItem>
</file>

<file path=customXml/itemProps5.xml><?xml version="1.0" encoding="utf-8"?>
<ds:datastoreItem xmlns:ds="http://schemas.openxmlformats.org/officeDocument/2006/customXml" ds:itemID="{BF0E3C69-FB5A-4F7F-9E3D-17A4875EBE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1844</Words>
  <Characters>13520</Characters>
  <Application>Microsoft Office Word</Application>
  <DocSecurity>4</DocSecurity>
  <Lines>250</Lines>
  <Paragraphs>101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15263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2026-03-09T13:17:00Z</dcterms:created>
  <dc:creator>Kristina Visakavičienė</dc:creator>
  <lastModifiedBy>adlibuser</lastModifiedBy>
  <dcterms:modified xsi:type="dcterms:W3CDTF">2026-03-09T13:17:00Z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