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4B" w:rsidRDefault="00F77E4B" w:rsidP="00606003">
      <w:pPr>
        <w:overflowPunct w:val="0"/>
        <w:spacing w:line="240" w:lineRule="auto"/>
        <w:ind w:left="6379" w:firstLine="0"/>
        <w:textAlignment w:val="baseline"/>
        <w:rPr>
          <w:szCs w:val="24"/>
        </w:rPr>
      </w:pPr>
      <w:r>
        <w:rPr>
          <w:szCs w:val="24"/>
        </w:rPr>
        <w:t>Leidimų naudotis P</w:t>
      </w:r>
      <w:r w:rsidRPr="00F77E4B">
        <w:rPr>
          <w:szCs w:val="24"/>
        </w:rPr>
        <w:t>rienų rajono savivaldybės vietinės reikšmės viešaisiais keliais važiuojant didžiagabaritėmis ir (ar) sunkiasvorėmis transporto priemonėmis ar jų junginiais išdavimo, mokesčio už važiavimą mokėjimo, administravimo ir kontrolės tv</w:t>
      </w:r>
      <w:r>
        <w:rPr>
          <w:szCs w:val="24"/>
        </w:rPr>
        <w:t>arkos aprašo</w:t>
      </w:r>
    </w:p>
    <w:p w:rsidR="006B3833" w:rsidRPr="001D7294" w:rsidRDefault="00B53109" w:rsidP="00606003">
      <w:pPr>
        <w:overflowPunct w:val="0"/>
        <w:spacing w:line="240" w:lineRule="auto"/>
        <w:ind w:left="6379" w:firstLine="0"/>
        <w:textAlignment w:val="baseline"/>
        <w:rPr>
          <w:szCs w:val="24"/>
        </w:rPr>
      </w:pPr>
      <w:r>
        <w:rPr>
          <w:szCs w:val="24"/>
        </w:rPr>
        <w:t>p</w:t>
      </w:r>
      <w:r w:rsidR="004569B9">
        <w:rPr>
          <w:szCs w:val="24"/>
        </w:rPr>
        <w:t>riedas</w:t>
      </w:r>
    </w:p>
    <w:p w:rsidR="006B3833" w:rsidRDefault="006B3833" w:rsidP="00606003">
      <w:pPr>
        <w:spacing w:line="240" w:lineRule="auto"/>
        <w:ind w:left="6379" w:firstLine="0"/>
        <w:jc w:val="center"/>
        <w:rPr>
          <w:color w:val="000000"/>
          <w:sz w:val="27"/>
          <w:szCs w:val="27"/>
          <w:lang w:eastAsia="lt-LT"/>
        </w:rPr>
      </w:pPr>
    </w:p>
    <w:p w:rsidR="006B77C3" w:rsidRPr="00606003" w:rsidRDefault="006B77C3" w:rsidP="00606003">
      <w:pPr>
        <w:spacing w:line="240" w:lineRule="auto"/>
        <w:ind w:left="6379" w:firstLine="0"/>
        <w:jc w:val="center"/>
        <w:rPr>
          <w:color w:val="000000"/>
          <w:sz w:val="28"/>
          <w:szCs w:val="27"/>
          <w:lang w:eastAsia="lt-LT"/>
        </w:rPr>
      </w:pPr>
    </w:p>
    <w:p w:rsidR="00AC05CD" w:rsidRPr="00606003" w:rsidRDefault="00811BD5" w:rsidP="00606003">
      <w:pPr>
        <w:spacing w:line="240" w:lineRule="auto"/>
        <w:ind w:firstLine="567"/>
        <w:jc w:val="center"/>
        <w:rPr>
          <w:color w:val="000000"/>
          <w:sz w:val="28"/>
          <w:szCs w:val="27"/>
          <w:lang w:eastAsia="lt-LT"/>
        </w:rPr>
      </w:pPr>
      <w:r w:rsidRPr="00606003">
        <w:rPr>
          <w:b/>
          <w:bCs/>
          <w:color w:val="000000"/>
          <w:szCs w:val="22"/>
          <w:lang w:eastAsia="lt-LT"/>
        </w:rPr>
        <w:t xml:space="preserve">MOKESČIŲ UŽ NAUDOJIMĄSI </w:t>
      </w:r>
      <w:r w:rsidRPr="00606003">
        <w:rPr>
          <w:b/>
          <w:color w:val="000000"/>
          <w:szCs w:val="22"/>
        </w:rPr>
        <w:t xml:space="preserve">PRIENŲ RAJONO SAVIVALDYBĖS VIETINĖS REIKŠMĖS VIEŠAISIAIS KELIAIS </w:t>
      </w:r>
      <w:r w:rsidR="00AC05CD" w:rsidRPr="00606003">
        <w:rPr>
          <w:b/>
          <w:bCs/>
          <w:color w:val="000000"/>
          <w:szCs w:val="22"/>
          <w:lang w:eastAsia="lt-LT"/>
        </w:rPr>
        <w:t>TARIFAI</w:t>
      </w:r>
    </w:p>
    <w:p w:rsidR="00AC05CD" w:rsidRPr="00606003" w:rsidRDefault="00AC05CD" w:rsidP="00606003">
      <w:pPr>
        <w:spacing w:line="240" w:lineRule="auto"/>
        <w:ind w:firstLine="0"/>
        <w:jc w:val="center"/>
        <w:rPr>
          <w:color w:val="000000"/>
          <w:sz w:val="28"/>
          <w:szCs w:val="27"/>
          <w:lang w:eastAsia="lt-LT"/>
        </w:rPr>
      </w:pPr>
    </w:p>
    <w:p w:rsidR="00AC05CD" w:rsidRPr="00606003" w:rsidRDefault="00AC05CD" w:rsidP="00606003">
      <w:pPr>
        <w:spacing w:line="240" w:lineRule="auto"/>
        <w:ind w:firstLine="0"/>
        <w:jc w:val="center"/>
        <w:rPr>
          <w:color w:val="000000"/>
          <w:sz w:val="28"/>
          <w:szCs w:val="24"/>
          <w:lang w:eastAsia="lt-LT"/>
        </w:rPr>
      </w:pPr>
      <w:bookmarkStart w:id="0" w:name="part_e5bf5c07d1b740bbb61abaa5f17f56e7"/>
      <w:bookmarkEnd w:id="0"/>
      <w:r w:rsidRPr="00606003">
        <w:rPr>
          <w:b/>
          <w:bCs/>
          <w:color w:val="000000"/>
          <w:szCs w:val="22"/>
          <w:lang w:eastAsia="lt-LT"/>
        </w:rPr>
        <w:t>I</w:t>
      </w:r>
      <w:r w:rsidR="00606003" w:rsidRPr="00606003">
        <w:rPr>
          <w:b/>
          <w:bCs/>
          <w:color w:val="000000"/>
          <w:szCs w:val="22"/>
          <w:lang w:eastAsia="lt-LT"/>
        </w:rPr>
        <w:t xml:space="preserve"> </w:t>
      </w:r>
      <w:r w:rsidRPr="00606003">
        <w:rPr>
          <w:b/>
          <w:bCs/>
          <w:color w:val="000000"/>
          <w:szCs w:val="22"/>
          <w:lang w:eastAsia="lt-LT"/>
        </w:rPr>
        <w:t>SKYRIUS</w:t>
      </w:r>
    </w:p>
    <w:p w:rsidR="00AC05CD" w:rsidRPr="00606003" w:rsidRDefault="00AC05CD" w:rsidP="00606003">
      <w:pPr>
        <w:spacing w:line="240" w:lineRule="auto"/>
        <w:ind w:firstLine="0"/>
        <w:jc w:val="center"/>
        <w:rPr>
          <w:color w:val="000000"/>
          <w:sz w:val="28"/>
          <w:szCs w:val="24"/>
          <w:lang w:eastAsia="lt-LT"/>
        </w:rPr>
      </w:pPr>
      <w:r w:rsidRPr="00606003">
        <w:rPr>
          <w:b/>
          <w:bCs/>
          <w:color w:val="000000"/>
          <w:szCs w:val="22"/>
          <w:lang w:eastAsia="lt-LT"/>
        </w:rPr>
        <w:t>MOKESČIŲ UŽ NAUDOJIMĄSI KELIAIS</w:t>
      </w:r>
      <w:r w:rsidR="004D5F95">
        <w:rPr>
          <w:b/>
          <w:bCs/>
          <w:color w:val="000000"/>
          <w:szCs w:val="22"/>
          <w:lang w:eastAsia="lt-LT"/>
        </w:rPr>
        <w:t xml:space="preserve"> </w:t>
      </w:r>
      <w:r w:rsidRPr="00606003">
        <w:rPr>
          <w:b/>
          <w:bCs/>
          <w:color w:val="000000"/>
          <w:szCs w:val="22"/>
          <w:lang w:eastAsia="lt-LT"/>
        </w:rPr>
        <w:t>VAŽIUOJANT DIDŽIAGABARITĖMIS MOTORINĖMIS TRANSPORTO PRIEMONĖMIS, KURIŲ MATMENYS SU KROVINIU AR BE JO YRA DIDESNI UŽ DIDŽIAUSIUOSIUS</w:t>
      </w:r>
      <w:r w:rsidR="004D5F95">
        <w:rPr>
          <w:b/>
          <w:bCs/>
          <w:color w:val="000000"/>
          <w:szCs w:val="22"/>
          <w:lang w:eastAsia="lt-LT"/>
        </w:rPr>
        <w:t xml:space="preserve"> </w:t>
      </w:r>
      <w:r w:rsidR="00B631C9">
        <w:rPr>
          <w:b/>
          <w:bCs/>
          <w:color w:val="000000"/>
          <w:szCs w:val="22"/>
          <w:lang w:eastAsia="lt-LT"/>
        </w:rPr>
        <w:t>LEIDŽIAMUS NAUDOJANTIS KELIAIS</w:t>
      </w:r>
      <w:r w:rsidR="004D5F95">
        <w:rPr>
          <w:b/>
          <w:bCs/>
          <w:color w:val="000000"/>
          <w:szCs w:val="22"/>
          <w:lang w:eastAsia="lt-LT"/>
        </w:rPr>
        <w:t xml:space="preserve"> </w:t>
      </w:r>
      <w:r w:rsidRPr="00606003">
        <w:rPr>
          <w:b/>
          <w:bCs/>
          <w:color w:val="000000"/>
          <w:szCs w:val="22"/>
          <w:lang w:eastAsia="lt-LT"/>
        </w:rPr>
        <w:t>TRANSPORTO PRIEMONIŲ AR JŲ JUNGINIŲ MATMENIS, TARIFAI</w:t>
      </w:r>
    </w:p>
    <w:p w:rsidR="00AC05CD" w:rsidRPr="00AC05CD" w:rsidRDefault="00AC05CD" w:rsidP="00606003">
      <w:pPr>
        <w:spacing w:line="240" w:lineRule="auto"/>
        <w:ind w:firstLine="720"/>
        <w:jc w:val="center"/>
        <w:rPr>
          <w:color w:val="000000"/>
          <w:szCs w:val="24"/>
          <w:lang w:eastAsia="lt-LT"/>
        </w:rPr>
      </w:pPr>
    </w:p>
    <w:p w:rsidR="00AC05CD" w:rsidRPr="00606003" w:rsidRDefault="00606003" w:rsidP="00606003">
      <w:pPr>
        <w:spacing w:line="240" w:lineRule="auto"/>
        <w:ind w:firstLine="720"/>
        <w:rPr>
          <w:color w:val="000000"/>
          <w:szCs w:val="24"/>
          <w:lang w:eastAsia="lt-LT"/>
        </w:rPr>
      </w:pPr>
      <w:bookmarkStart w:id="1" w:name="part_43f6f0a8f8ce402ebfc4cc61d85bbb8c"/>
      <w:bookmarkEnd w:id="1"/>
      <w:r w:rsidRPr="00606003">
        <w:rPr>
          <w:color w:val="000000"/>
          <w:szCs w:val="24"/>
          <w:lang w:eastAsia="lt-LT"/>
        </w:rPr>
        <w:t xml:space="preserve">1. </w:t>
      </w:r>
      <w:r w:rsidR="00B631C9">
        <w:rPr>
          <w:color w:val="000000"/>
          <w:szCs w:val="24"/>
          <w:lang w:eastAsia="lt-LT"/>
        </w:rPr>
        <w:t xml:space="preserve">Mokesčio už naudojimąsi </w:t>
      </w:r>
      <w:r w:rsidR="00AC05CD" w:rsidRPr="00606003">
        <w:rPr>
          <w:color w:val="000000"/>
          <w:szCs w:val="24"/>
          <w:lang w:eastAsia="lt-LT"/>
        </w:rPr>
        <w:t>važiuojant didžiagabaritėmis motorinėmis transporto priemonėmis ar jų junginiais</w:t>
      </w:r>
      <w:r w:rsidR="00B53109" w:rsidRPr="00B53109">
        <w:rPr>
          <w:szCs w:val="24"/>
          <w:lang w:eastAsia="lt-LT"/>
        </w:rPr>
        <w:t>,</w:t>
      </w:r>
      <w:r w:rsidR="00115C01" w:rsidRPr="00606003">
        <w:rPr>
          <w:color w:val="000000"/>
          <w:szCs w:val="24"/>
          <w:lang w:eastAsia="lt-LT"/>
        </w:rPr>
        <w:t xml:space="preserve"> </w:t>
      </w:r>
      <w:r w:rsidR="00AC05CD" w:rsidRPr="00606003">
        <w:rPr>
          <w:color w:val="000000"/>
          <w:szCs w:val="24"/>
          <w:lang w:eastAsia="lt-LT"/>
        </w:rPr>
        <w:t>kurių matmenys su kroviniu ar be jo yra didesni už didžiausiuosius leidžiamus naudojantis keliais</w:t>
      </w:r>
      <w:r w:rsidR="004D5F95">
        <w:rPr>
          <w:color w:val="000000"/>
          <w:szCs w:val="24"/>
          <w:lang w:eastAsia="lt-LT"/>
        </w:rPr>
        <w:t xml:space="preserve"> </w:t>
      </w:r>
      <w:r w:rsidR="00AC05CD" w:rsidRPr="00606003">
        <w:rPr>
          <w:color w:val="000000"/>
          <w:szCs w:val="24"/>
          <w:lang w:eastAsia="lt-LT"/>
        </w:rPr>
        <w:t>transporto priemonių matmenis (toliau – didžiausieji leidžiamieji matmenys), tarifai:</w:t>
      </w:r>
    </w:p>
    <w:p w:rsidR="00AC05CD" w:rsidRPr="00606003" w:rsidRDefault="00AC05CD" w:rsidP="00606003">
      <w:pPr>
        <w:spacing w:line="240" w:lineRule="auto"/>
        <w:ind w:firstLine="851"/>
        <w:rPr>
          <w:color w:val="000000"/>
          <w:szCs w:val="24"/>
          <w:lang w:eastAsia="lt-LT"/>
        </w:rPr>
      </w:pPr>
    </w:p>
    <w:tbl>
      <w:tblPr>
        <w:tblW w:w="9639" w:type="dxa"/>
        <w:tblInd w:w="108" w:type="dxa"/>
        <w:tblCellMar>
          <w:left w:w="0" w:type="dxa"/>
          <w:right w:w="0" w:type="dxa"/>
        </w:tblCellMar>
        <w:tblLook w:val="04A0"/>
      </w:tblPr>
      <w:tblGrid>
        <w:gridCol w:w="950"/>
        <w:gridCol w:w="1022"/>
        <w:gridCol w:w="1088"/>
        <w:gridCol w:w="1972"/>
        <w:gridCol w:w="2100"/>
        <w:gridCol w:w="2507"/>
      </w:tblGrid>
      <w:tr w:rsidR="00AC05CD" w:rsidRPr="00606003" w:rsidTr="00606003">
        <w:trPr>
          <w:trHeight w:val="20"/>
          <w:tblHeader/>
        </w:trPr>
        <w:tc>
          <w:tcPr>
            <w:tcW w:w="29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0" w:lineRule="atLeast"/>
              <w:ind w:firstLine="0"/>
              <w:jc w:val="center"/>
              <w:rPr>
                <w:szCs w:val="24"/>
                <w:lang w:eastAsia="lt-LT"/>
              </w:rPr>
            </w:pPr>
            <w:r w:rsidRPr="00606003">
              <w:rPr>
                <w:szCs w:val="24"/>
                <w:lang w:eastAsia="lt-LT"/>
              </w:rPr>
              <w:t>Didžiausieji leidžiamieji matmenys viršyti, cm</w:t>
            </w:r>
          </w:p>
        </w:tc>
        <w:tc>
          <w:tcPr>
            <w:tcW w:w="666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Tarifai, eurais</w:t>
            </w:r>
          </w:p>
        </w:tc>
      </w:tr>
      <w:tr w:rsidR="00AC05CD" w:rsidRPr="00606003" w:rsidTr="004D5F95">
        <w:trPr>
          <w:trHeight w:val="20"/>
          <w:tblHeader/>
        </w:trPr>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aukščio</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3"/>
              <w:jc w:val="center"/>
              <w:rPr>
                <w:szCs w:val="24"/>
                <w:lang w:eastAsia="lt-LT"/>
              </w:rPr>
            </w:pPr>
            <w:r w:rsidRPr="00606003">
              <w:rPr>
                <w:szCs w:val="24"/>
                <w:lang w:eastAsia="lt-LT"/>
              </w:rPr>
              <w:t>pločio</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ilgio</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vienkartiniai,</w:t>
            </w:r>
            <w:r w:rsidR="00F9027A" w:rsidRPr="00606003">
              <w:rPr>
                <w:szCs w:val="24"/>
                <w:lang w:eastAsia="lt-LT"/>
              </w:rPr>
              <w:t xml:space="preserve"> </w:t>
            </w:r>
            <w:r w:rsidRPr="00606003">
              <w:rPr>
                <w:szCs w:val="24"/>
                <w:lang w:eastAsia="lt-LT"/>
              </w:rPr>
              <w:t>10 km</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4D5F95">
            <w:pPr>
              <w:spacing w:line="20" w:lineRule="atLeast"/>
              <w:ind w:firstLine="34"/>
              <w:jc w:val="center"/>
              <w:rPr>
                <w:szCs w:val="24"/>
                <w:lang w:eastAsia="lt-LT"/>
              </w:rPr>
            </w:pPr>
            <w:r w:rsidRPr="00606003">
              <w:rPr>
                <w:szCs w:val="24"/>
                <w:lang w:eastAsia="lt-LT"/>
              </w:rPr>
              <w:t>mėnesio</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4D5F95">
            <w:pPr>
              <w:spacing w:line="20" w:lineRule="atLeast"/>
              <w:ind w:firstLine="34"/>
              <w:jc w:val="center"/>
              <w:rPr>
                <w:szCs w:val="24"/>
                <w:lang w:eastAsia="lt-LT"/>
              </w:rPr>
            </w:pPr>
            <w:r w:rsidRPr="00606003">
              <w:rPr>
                <w:szCs w:val="24"/>
                <w:lang w:eastAsia="lt-LT"/>
              </w:rPr>
              <w:t>metų</w:t>
            </w:r>
          </w:p>
        </w:tc>
      </w:tr>
      <w:tr w:rsidR="00AC05CD" w:rsidRPr="00606003" w:rsidTr="00606003">
        <w:trPr>
          <w:trHeight w:val="20"/>
        </w:trPr>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left="-108" w:firstLine="3"/>
              <w:jc w:val="center"/>
              <w:rPr>
                <w:szCs w:val="24"/>
                <w:lang w:eastAsia="lt-LT"/>
              </w:rPr>
            </w:pPr>
            <w:r w:rsidRPr="00606003">
              <w:rPr>
                <w:szCs w:val="24"/>
                <w:lang w:eastAsia="lt-LT"/>
              </w:rPr>
              <w:t>10–20</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1,7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67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hanging="108"/>
              <w:jc w:val="center"/>
              <w:rPr>
                <w:szCs w:val="24"/>
                <w:lang w:eastAsia="lt-LT"/>
              </w:rPr>
            </w:pPr>
            <w:r w:rsidRPr="00606003">
              <w:rPr>
                <w:szCs w:val="24"/>
                <w:lang w:eastAsia="lt-LT"/>
              </w:rPr>
              <w:t>337</w:t>
            </w:r>
          </w:p>
        </w:tc>
      </w:tr>
      <w:tr w:rsidR="00AC05CD" w:rsidRPr="00606003" w:rsidTr="00606003">
        <w:trPr>
          <w:trHeight w:val="20"/>
        </w:trPr>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11–30</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left="-108" w:firstLine="3"/>
              <w:jc w:val="center"/>
              <w:rPr>
                <w:szCs w:val="24"/>
                <w:lang w:eastAsia="lt-LT"/>
              </w:rPr>
            </w:pPr>
            <w:r w:rsidRPr="00606003">
              <w:rPr>
                <w:szCs w:val="24"/>
                <w:lang w:eastAsia="lt-LT"/>
              </w:rPr>
              <w:t>21–60</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101–300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2,0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82</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hanging="108"/>
              <w:jc w:val="center"/>
              <w:rPr>
                <w:szCs w:val="24"/>
                <w:lang w:eastAsia="lt-LT"/>
              </w:rPr>
            </w:pPr>
            <w:r w:rsidRPr="00606003">
              <w:rPr>
                <w:szCs w:val="24"/>
                <w:lang w:eastAsia="lt-LT"/>
              </w:rPr>
              <w:t>412</w:t>
            </w:r>
          </w:p>
        </w:tc>
      </w:tr>
      <w:tr w:rsidR="00AC05CD" w:rsidRPr="00606003" w:rsidTr="00606003">
        <w:trPr>
          <w:trHeight w:val="20"/>
        </w:trPr>
        <w:tc>
          <w:tcPr>
            <w:tcW w:w="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31–50</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left="-108" w:firstLine="3"/>
              <w:jc w:val="center"/>
              <w:rPr>
                <w:szCs w:val="24"/>
                <w:lang w:eastAsia="lt-LT"/>
              </w:rPr>
            </w:pPr>
            <w:r w:rsidRPr="00606003">
              <w:rPr>
                <w:szCs w:val="24"/>
                <w:lang w:eastAsia="lt-LT"/>
              </w:rPr>
              <w:t>61–100</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301–500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2,1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firstLine="0"/>
              <w:jc w:val="center"/>
              <w:rPr>
                <w:szCs w:val="24"/>
                <w:lang w:eastAsia="lt-LT"/>
              </w:rPr>
            </w:pPr>
            <w:r w:rsidRPr="00606003">
              <w:rPr>
                <w:szCs w:val="24"/>
                <w:lang w:eastAsia="lt-LT"/>
              </w:rPr>
              <w:t>95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0" w:lineRule="atLeast"/>
              <w:ind w:hanging="108"/>
              <w:jc w:val="center"/>
              <w:rPr>
                <w:szCs w:val="24"/>
                <w:lang w:eastAsia="lt-LT"/>
              </w:rPr>
            </w:pPr>
            <w:r w:rsidRPr="00606003">
              <w:rPr>
                <w:szCs w:val="24"/>
                <w:lang w:eastAsia="lt-LT"/>
              </w:rPr>
              <w:t>480</w:t>
            </w:r>
          </w:p>
        </w:tc>
      </w:tr>
    </w:tbl>
    <w:p w:rsidR="00AC05CD" w:rsidRPr="00606003" w:rsidRDefault="00AC05CD" w:rsidP="00606003">
      <w:pPr>
        <w:spacing w:line="240" w:lineRule="auto"/>
        <w:ind w:firstLine="0"/>
        <w:jc w:val="left"/>
        <w:rPr>
          <w:color w:val="000000"/>
          <w:szCs w:val="24"/>
          <w:lang w:eastAsia="lt-LT"/>
        </w:rPr>
      </w:pPr>
    </w:p>
    <w:p w:rsidR="00811BD5" w:rsidRPr="00606003" w:rsidRDefault="00606003" w:rsidP="00606003">
      <w:pPr>
        <w:spacing w:line="240" w:lineRule="auto"/>
        <w:ind w:firstLine="720"/>
        <w:rPr>
          <w:color w:val="000000"/>
          <w:szCs w:val="24"/>
          <w:lang w:eastAsia="lt-LT"/>
        </w:rPr>
      </w:pPr>
      <w:bookmarkStart w:id="2" w:name="part_e5a05dc96ed14f25b6f6a5a34ad7e33d"/>
      <w:bookmarkEnd w:id="2"/>
      <w:r w:rsidRPr="00606003">
        <w:rPr>
          <w:color w:val="000000"/>
          <w:szCs w:val="24"/>
          <w:lang w:eastAsia="lt-LT"/>
        </w:rPr>
        <w:t xml:space="preserve">2. </w:t>
      </w:r>
      <w:r w:rsidR="00C660C1" w:rsidRPr="00606003">
        <w:rPr>
          <w:color w:val="000000"/>
          <w:szCs w:val="24"/>
          <w:lang w:eastAsia="lt-LT"/>
        </w:rPr>
        <w:t xml:space="preserve">Jei lentelėje nurodyti transporto priemonės (jų junginio) maksimalūs matmenys viršijami (aukštis – daugiau nei 50 cm, plotis – daugiau nei 100 cm, ilgis – daugiau nei 500 cm), transporto priemonė tampa ypač pavojinga saugiam eismui. </w:t>
      </w:r>
      <w:r w:rsidR="00AC05CD" w:rsidRPr="00606003">
        <w:rPr>
          <w:color w:val="000000"/>
          <w:szCs w:val="24"/>
          <w:lang w:eastAsia="lt-LT"/>
        </w:rPr>
        <w:t xml:space="preserve">Tokioms </w:t>
      </w:r>
      <w:proofErr w:type="spellStart"/>
      <w:r w:rsidR="00AC05CD" w:rsidRPr="00606003">
        <w:rPr>
          <w:color w:val="000000"/>
          <w:szCs w:val="24"/>
          <w:lang w:eastAsia="lt-LT"/>
        </w:rPr>
        <w:t>didžiagabaritėms</w:t>
      </w:r>
      <w:proofErr w:type="spellEnd"/>
      <w:r w:rsidR="00AC05CD" w:rsidRPr="00606003">
        <w:rPr>
          <w:color w:val="000000"/>
          <w:szCs w:val="24"/>
          <w:lang w:eastAsia="lt-LT"/>
        </w:rPr>
        <w:t xml:space="preserve"> motorinėms transporto priemonėms ar jų junginiams taikomas vienkartinis tarifas, kuris apskaičiuojamas taip: prie didžiausiojo ribinio tarifo</w:t>
      </w:r>
      <w:r w:rsidR="004D5F95">
        <w:rPr>
          <w:color w:val="000000"/>
          <w:szCs w:val="24"/>
          <w:lang w:eastAsia="lt-LT"/>
        </w:rPr>
        <w:t xml:space="preserve"> </w:t>
      </w:r>
      <w:r w:rsidR="00AC05CD" w:rsidRPr="00606003">
        <w:rPr>
          <w:color w:val="000000"/>
          <w:szCs w:val="24"/>
          <w:lang w:eastAsia="lt-LT"/>
        </w:rPr>
        <w:t>už atitinkamo didžiausiojo leidžiamojo matmens viršijimą</w:t>
      </w:r>
      <w:r w:rsidR="004D5F95">
        <w:rPr>
          <w:color w:val="000000"/>
          <w:szCs w:val="24"/>
          <w:lang w:eastAsia="lt-LT"/>
        </w:rPr>
        <w:t xml:space="preserve"> </w:t>
      </w:r>
      <w:r w:rsidR="00AC05CD" w:rsidRPr="00606003">
        <w:rPr>
          <w:color w:val="000000"/>
          <w:szCs w:val="24"/>
          <w:lang w:eastAsia="lt-LT"/>
        </w:rPr>
        <w:t>pridedamas papildomas 0,28 euro mokestis už kiekvieną aukščio viršijimą 10 cm, pločio viršijimą 10 cm ar ilgio viršijimą 1 m ir dauginama iš koeficiento</w:t>
      </w:r>
      <w:r w:rsidR="00811BD5" w:rsidRPr="00606003">
        <w:rPr>
          <w:color w:val="000000"/>
          <w:szCs w:val="24"/>
          <w:lang w:eastAsia="lt-LT"/>
        </w:rPr>
        <w:t xml:space="preserve"> </w:t>
      </w:r>
      <w:r w:rsidR="00AC05CD" w:rsidRPr="00606003">
        <w:rPr>
          <w:color w:val="000000"/>
          <w:szCs w:val="24"/>
          <w:lang w:eastAsia="lt-LT"/>
        </w:rPr>
        <w:t xml:space="preserve">1,5. </w:t>
      </w:r>
    </w:p>
    <w:p w:rsidR="00AC05CD" w:rsidRPr="00606003" w:rsidRDefault="00811BD5" w:rsidP="00606003">
      <w:pPr>
        <w:spacing w:line="240" w:lineRule="auto"/>
        <w:ind w:firstLine="720"/>
        <w:rPr>
          <w:color w:val="000000"/>
          <w:szCs w:val="24"/>
          <w:lang w:eastAsia="lt-LT"/>
        </w:rPr>
      </w:pPr>
      <w:r w:rsidRPr="00606003">
        <w:rPr>
          <w:color w:val="000000"/>
          <w:szCs w:val="24"/>
          <w:lang w:eastAsia="lt-LT"/>
        </w:rPr>
        <w:t xml:space="preserve">3. </w:t>
      </w:r>
      <w:r w:rsidR="00AC05CD" w:rsidRPr="00606003">
        <w:rPr>
          <w:color w:val="000000"/>
          <w:szCs w:val="24"/>
          <w:lang w:eastAsia="lt-LT"/>
        </w:rPr>
        <w:t>Visais atvejais, jeigu viršijami du ar visi trys matmenys, mokestis nustatomas sumuojant mokesčius už atskirų didžiausiųjų leidžiamųjų matmenų viršijimą.</w:t>
      </w:r>
      <w:r w:rsidR="000D0F9D" w:rsidRPr="00606003">
        <w:rPr>
          <w:szCs w:val="24"/>
        </w:rPr>
        <w:t xml:space="preserve"> </w:t>
      </w:r>
      <w:r w:rsidR="000D0F9D" w:rsidRPr="00606003">
        <w:rPr>
          <w:color w:val="000000"/>
          <w:szCs w:val="24"/>
          <w:lang w:eastAsia="lt-LT"/>
        </w:rPr>
        <w:t>Kai transporto priemonės (jų junginio) matmenys viršija lentelėje nurodytus maksimalius, būtina gauti atskirą leidimą, kurį išduodant pridedamas papildomas mokestis už maršruto paruošimą, t. y. apskaičiuojama darbų, kuriuos būtina atlikti, kad galima būtų leisti būtent tai transporto priemonei (jų junginiui) važiuoti leidime nurodytu maršrutu, vertė.</w:t>
      </w:r>
    </w:p>
    <w:p w:rsidR="00AC05CD" w:rsidRDefault="00AC05CD" w:rsidP="00606003">
      <w:pPr>
        <w:spacing w:line="240" w:lineRule="auto"/>
        <w:ind w:firstLine="0"/>
        <w:jc w:val="left"/>
        <w:rPr>
          <w:color w:val="000000"/>
          <w:szCs w:val="24"/>
          <w:lang w:eastAsia="lt-LT"/>
        </w:rPr>
      </w:pPr>
    </w:p>
    <w:p w:rsidR="00B53109" w:rsidRPr="00606003" w:rsidRDefault="00B53109" w:rsidP="00606003">
      <w:pPr>
        <w:spacing w:line="240" w:lineRule="auto"/>
        <w:ind w:firstLine="0"/>
        <w:jc w:val="left"/>
        <w:rPr>
          <w:color w:val="000000"/>
          <w:szCs w:val="24"/>
          <w:lang w:eastAsia="lt-LT"/>
        </w:rPr>
      </w:pPr>
    </w:p>
    <w:p w:rsidR="00AC05CD" w:rsidRPr="00606003" w:rsidRDefault="00606003" w:rsidP="00606003">
      <w:pPr>
        <w:spacing w:line="240" w:lineRule="auto"/>
        <w:ind w:firstLine="0"/>
        <w:jc w:val="center"/>
        <w:rPr>
          <w:color w:val="000000"/>
          <w:szCs w:val="24"/>
          <w:lang w:eastAsia="lt-LT"/>
        </w:rPr>
      </w:pPr>
      <w:bookmarkStart w:id="3" w:name="part_c75502cee9ff4778a805acea4c0d3396"/>
      <w:bookmarkEnd w:id="3"/>
      <w:r w:rsidRPr="00606003">
        <w:rPr>
          <w:b/>
          <w:bCs/>
          <w:color w:val="000000"/>
          <w:szCs w:val="24"/>
          <w:lang w:eastAsia="lt-LT"/>
        </w:rPr>
        <w:lastRenderedPageBreak/>
        <w:t xml:space="preserve">II </w:t>
      </w:r>
      <w:r w:rsidR="00AC05CD" w:rsidRPr="00606003">
        <w:rPr>
          <w:b/>
          <w:bCs/>
          <w:color w:val="000000"/>
          <w:szCs w:val="24"/>
          <w:lang w:eastAsia="lt-LT"/>
        </w:rPr>
        <w:t>SKYRIUS</w:t>
      </w:r>
    </w:p>
    <w:p w:rsidR="00AC05CD" w:rsidRPr="00606003" w:rsidRDefault="00B631C9" w:rsidP="00606003">
      <w:pPr>
        <w:spacing w:line="240" w:lineRule="auto"/>
        <w:ind w:firstLine="0"/>
        <w:jc w:val="center"/>
        <w:rPr>
          <w:color w:val="000000"/>
          <w:szCs w:val="24"/>
          <w:lang w:eastAsia="lt-LT"/>
        </w:rPr>
      </w:pPr>
      <w:r>
        <w:rPr>
          <w:b/>
          <w:bCs/>
          <w:color w:val="000000"/>
          <w:szCs w:val="24"/>
          <w:lang w:eastAsia="lt-LT"/>
        </w:rPr>
        <w:t xml:space="preserve">MOKESČIO UŽ NAUDOJIMĄSI KELIAIS </w:t>
      </w:r>
      <w:r w:rsidR="00AC05CD" w:rsidRPr="00606003">
        <w:rPr>
          <w:b/>
          <w:bCs/>
          <w:color w:val="000000"/>
          <w:szCs w:val="24"/>
          <w:lang w:eastAsia="lt-LT"/>
        </w:rPr>
        <w:t>VAŽIUOJANT SUNKIASVORĖMIS TRANSPORTO PRIEMONĖMIS, KURIŲ AŠIES (AŠIŲ) APKROVA SU KROVINIU AR BE JO YRA DIDESNĖ UŽ DIDŽIAUSIĄJ</w:t>
      </w:r>
      <w:r>
        <w:rPr>
          <w:b/>
          <w:bCs/>
          <w:color w:val="000000"/>
          <w:szCs w:val="24"/>
          <w:lang w:eastAsia="lt-LT"/>
        </w:rPr>
        <w:t xml:space="preserve">Ą LEIDŽIAMĄ NAUDOJANTIS KELIAIS </w:t>
      </w:r>
      <w:r w:rsidR="00AC05CD" w:rsidRPr="00606003">
        <w:rPr>
          <w:b/>
          <w:bCs/>
          <w:color w:val="000000"/>
          <w:szCs w:val="24"/>
          <w:lang w:eastAsia="lt-LT"/>
        </w:rPr>
        <w:t>PRIEMONIŲ AR JŲ JUNGINIŲ AŠIES (AŠIŲ) APKROVĄ, RIBINIAI TARIFAI</w:t>
      </w:r>
    </w:p>
    <w:p w:rsidR="00AC05CD" w:rsidRPr="00606003" w:rsidRDefault="00AC05CD" w:rsidP="00606003">
      <w:pPr>
        <w:spacing w:line="240" w:lineRule="auto"/>
        <w:ind w:firstLine="720"/>
        <w:rPr>
          <w:color w:val="000000"/>
          <w:szCs w:val="24"/>
          <w:lang w:eastAsia="lt-LT"/>
        </w:rPr>
      </w:pPr>
    </w:p>
    <w:p w:rsidR="000D0F9D" w:rsidRPr="00606003" w:rsidRDefault="000D0F9D" w:rsidP="00606003">
      <w:pPr>
        <w:spacing w:line="240" w:lineRule="auto"/>
        <w:ind w:firstLine="720"/>
        <w:rPr>
          <w:color w:val="000000"/>
          <w:szCs w:val="24"/>
          <w:lang w:eastAsia="lt-LT"/>
        </w:rPr>
      </w:pPr>
      <w:bookmarkStart w:id="4" w:name="part_03fcb30add9347aeabccdbeda93ee21c"/>
      <w:bookmarkEnd w:id="4"/>
      <w:r w:rsidRPr="00606003">
        <w:rPr>
          <w:color w:val="000000"/>
          <w:szCs w:val="24"/>
          <w:lang w:eastAsia="lt-LT"/>
        </w:rPr>
        <w:t>4</w:t>
      </w:r>
      <w:r w:rsidR="00606003" w:rsidRPr="00606003">
        <w:rPr>
          <w:color w:val="000000"/>
          <w:szCs w:val="24"/>
          <w:lang w:eastAsia="lt-LT"/>
        </w:rPr>
        <w:t xml:space="preserve">. </w:t>
      </w:r>
      <w:r w:rsidRPr="00606003">
        <w:rPr>
          <w:color w:val="000000"/>
          <w:szCs w:val="24"/>
          <w:lang w:eastAsia="lt-LT"/>
        </w:rPr>
        <w:t>Transporto priemonėmis (jų junginiais), kurių ašies (ašių) apkrova viršija leidžiamą apkrovą, nustatytą Lietuvos Respublikos susisiekimo ministro įsakymu, sumokėjus atitinkamo dydžio mokestį leidžiama važiuoti tik su kelio savininku suderintais maršrutais arba kelio savininko nustatytais keliais ir kelio savininko nustatytomis sąlygomis.</w:t>
      </w:r>
    </w:p>
    <w:p w:rsidR="00AC05CD" w:rsidRPr="00606003" w:rsidRDefault="000D0F9D" w:rsidP="00606003">
      <w:pPr>
        <w:spacing w:line="240" w:lineRule="auto"/>
        <w:ind w:firstLine="720"/>
        <w:rPr>
          <w:color w:val="000000"/>
          <w:szCs w:val="24"/>
          <w:lang w:eastAsia="lt-LT"/>
        </w:rPr>
      </w:pPr>
      <w:r w:rsidRPr="00606003">
        <w:rPr>
          <w:color w:val="000000"/>
          <w:szCs w:val="24"/>
          <w:lang w:eastAsia="lt-LT"/>
        </w:rPr>
        <w:t xml:space="preserve">5. </w:t>
      </w:r>
      <w:r w:rsidR="00AC05CD" w:rsidRPr="00606003">
        <w:rPr>
          <w:color w:val="000000"/>
          <w:szCs w:val="24"/>
          <w:lang w:eastAsia="lt-LT"/>
        </w:rPr>
        <w:t>Mo</w:t>
      </w:r>
      <w:r w:rsidR="00B631C9">
        <w:rPr>
          <w:color w:val="000000"/>
          <w:szCs w:val="24"/>
          <w:lang w:eastAsia="lt-LT"/>
        </w:rPr>
        <w:t xml:space="preserve">kesčio už naudojimąsi keliais </w:t>
      </w:r>
      <w:r w:rsidR="00AC05CD" w:rsidRPr="00606003">
        <w:rPr>
          <w:color w:val="000000"/>
          <w:szCs w:val="24"/>
          <w:lang w:eastAsia="lt-LT"/>
        </w:rPr>
        <w:t>sunkiasvorėmis motorinėmis transporto priemonėmis, kurių ašies (ašių) apkrova su kroviniu ar be jo yra didesnė už didžiausiąją leidžiamą naudojantis keliais transporto priemonių ar jų junginių ašies (ašių) apkrovą (toliau – didžiausioji leidžiamoji ašies (ašių) apkrova), tarifai:</w:t>
      </w:r>
    </w:p>
    <w:p w:rsidR="00AC05CD" w:rsidRPr="00606003" w:rsidRDefault="00AC05CD" w:rsidP="00606003">
      <w:pPr>
        <w:spacing w:line="240" w:lineRule="auto"/>
        <w:ind w:firstLine="720"/>
        <w:rPr>
          <w:color w:val="000000"/>
          <w:szCs w:val="24"/>
          <w:lang w:eastAsia="lt-LT"/>
        </w:rPr>
      </w:pPr>
    </w:p>
    <w:tbl>
      <w:tblPr>
        <w:tblW w:w="0" w:type="auto"/>
        <w:tblInd w:w="108" w:type="dxa"/>
        <w:tblCellMar>
          <w:left w:w="0" w:type="dxa"/>
          <w:right w:w="0" w:type="dxa"/>
        </w:tblCellMar>
        <w:tblLook w:val="04A0"/>
      </w:tblPr>
      <w:tblGrid>
        <w:gridCol w:w="2502"/>
        <w:gridCol w:w="3168"/>
        <w:gridCol w:w="3969"/>
      </w:tblGrid>
      <w:tr w:rsidR="00AC05CD" w:rsidRPr="00606003" w:rsidTr="00606003">
        <w:trPr>
          <w:tblHeader/>
        </w:trPr>
        <w:tc>
          <w:tcPr>
            <w:tcW w:w="25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Didžiausioji leidžiamoji ašies (ašių) apkrova viršyta, t</w:t>
            </w:r>
          </w:p>
        </w:tc>
        <w:tc>
          <w:tcPr>
            <w:tcW w:w="71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0D0F9D" w:rsidP="00606003">
            <w:pPr>
              <w:spacing w:line="240" w:lineRule="auto"/>
              <w:ind w:firstLine="14"/>
              <w:jc w:val="center"/>
              <w:rPr>
                <w:szCs w:val="24"/>
                <w:lang w:eastAsia="lt-LT"/>
              </w:rPr>
            </w:pPr>
            <w:r w:rsidRPr="00606003">
              <w:rPr>
                <w:szCs w:val="24"/>
                <w:lang w:eastAsia="lt-LT"/>
              </w:rPr>
              <w:t>Tarifai, eurais</w:t>
            </w:r>
          </w:p>
        </w:tc>
      </w:tr>
      <w:tr w:rsidR="00AC05CD" w:rsidRPr="00606003" w:rsidTr="00606003">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05CD" w:rsidRPr="00606003" w:rsidRDefault="00AC05CD" w:rsidP="00606003">
            <w:pPr>
              <w:spacing w:line="240" w:lineRule="auto"/>
              <w:ind w:firstLine="0"/>
              <w:jc w:val="left"/>
              <w:rPr>
                <w:szCs w:val="24"/>
                <w:lang w:eastAsia="lt-LT"/>
              </w:rPr>
            </w:pPr>
          </w:p>
        </w:tc>
        <w:tc>
          <w:tcPr>
            <w:tcW w:w="3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vienkartiniai,</w:t>
            </w:r>
          </w:p>
          <w:p w:rsidR="00AC05CD" w:rsidRPr="00606003" w:rsidRDefault="00AC05CD" w:rsidP="00606003">
            <w:pPr>
              <w:spacing w:line="240" w:lineRule="auto"/>
              <w:ind w:firstLine="0"/>
              <w:jc w:val="center"/>
              <w:rPr>
                <w:szCs w:val="24"/>
                <w:lang w:eastAsia="lt-LT"/>
              </w:rPr>
            </w:pPr>
            <w:r w:rsidRPr="00606003">
              <w:rPr>
                <w:szCs w:val="24"/>
                <w:lang w:eastAsia="lt-LT"/>
              </w:rPr>
              <w:t>10 km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mėnesio</w:t>
            </w:r>
          </w:p>
        </w:tc>
      </w:tr>
      <w:tr w:rsidR="00AC05CD" w:rsidRPr="00606003" w:rsidTr="00606003">
        <w:trPr>
          <w:trHeight w:val="256"/>
        </w:trPr>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0,6–1,0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0,97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48</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1,1–1,5</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1,52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97</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1,6–2,0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2,22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136</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2,1–3,0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3,85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243</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3,1–4,0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6,25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389</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4,1–5,0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9,03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5,1–6,0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11,12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6,1–7,0</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13,20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r w:rsidR="00AC05CD" w:rsidRPr="00606003" w:rsidTr="00606003">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7,1–8,0 įskaitytinai</w:t>
            </w:r>
          </w:p>
        </w:tc>
        <w:tc>
          <w:tcPr>
            <w:tcW w:w="3168"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15,98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bl>
    <w:p w:rsidR="00AC05CD" w:rsidRPr="00606003" w:rsidRDefault="00AC05CD" w:rsidP="00606003">
      <w:pPr>
        <w:spacing w:line="240" w:lineRule="auto"/>
        <w:ind w:firstLine="720"/>
        <w:rPr>
          <w:color w:val="000000"/>
          <w:szCs w:val="24"/>
          <w:lang w:eastAsia="lt-LT"/>
        </w:rPr>
      </w:pPr>
    </w:p>
    <w:p w:rsidR="000D0F9D" w:rsidRPr="00606003" w:rsidRDefault="000D0F9D" w:rsidP="00606003">
      <w:pPr>
        <w:spacing w:line="240" w:lineRule="auto"/>
        <w:ind w:firstLine="720"/>
        <w:rPr>
          <w:color w:val="000000"/>
          <w:szCs w:val="24"/>
          <w:lang w:eastAsia="lt-LT"/>
        </w:rPr>
      </w:pPr>
      <w:bookmarkStart w:id="5" w:name="part_36f6d1ba0c6946718ff493c2bb4595c9"/>
      <w:bookmarkEnd w:id="5"/>
      <w:r w:rsidRPr="00606003">
        <w:rPr>
          <w:color w:val="000000"/>
          <w:szCs w:val="24"/>
          <w:lang w:eastAsia="lt-LT"/>
        </w:rPr>
        <w:t>6</w:t>
      </w:r>
      <w:r w:rsidR="00AC05CD" w:rsidRPr="00606003">
        <w:rPr>
          <w:color w:val="000000"/>
          <w:szCs w:val="24"/>
          <w:lang w:eastAsia="lt-LT"/>
        </w:rPr>
        <w:t>.</w:t>
      </w:r>
      <w:r w:rsidRPr="00606003">
        <w:rPr>
          <w:szCs w:val="24"/>
        </w:rPr>
        <w:t xml:space="preserve"> </w:t>
      </w:r>
      <w:r w:rsidRPr="00606003">
        <w:rPr>
          <w:color w:val="000000"/>
          <w:szCs w:val="24"/>
          <w:lang w:eastAsia="lt-LT"/>
        </w:rPr>
        <w:t>Triašiu vilkiku su dviaše ar triaše puspriekabe 20, 30, 40, 45 pėdų konteinerius, pagamintus pagal ISO standartus, leidžiama vežti tik magistraliniais keliais. Vežant šiuos konteinerius kitais keliais, būtina gauti kelio savininko leidimą.</w:t>
      </w:r>
      <w:r w:rsidR="00AC05CD" w:rsidRPr="00606003">
        <w:rPr>
          <w:color w:val="000000"/>
          <w:szCs w:val="24"/>
          <w:lang w:eastAsia="lt-LT"/>
        </w:rPr>
        <w:t xml:space="preserve"> </w:t>
      </w:r>
    </w:p>
    <w:p w:rsidR="00AC05CD" w:rsidRPr="00606003" w:rsidRDefault="000D0F9D" w:rsidP="00606003">
      <w:pPr>
        <w:spacing w:line="240" w:lineRule="auto"/>
        <w:ind w:firstLine="720"/>
        <w:rPr>
          <w:color w:val="000000"/>
          <w:szCs w:val="24"/>
          <w:lang w:eastAsia="lt-LT"/>
        </w:rPr>
      </w:pPr>
      <w:r w:rsidRPr="00606003">
        <w:rPr>
          <w:color w:val="000000"/>
          <w:szCs w:val="24"/>
          <w:lang w:eastAsia="lt-LT"/>
        </w:rPr>
        <w:t xml:space="preserve">7. </w:t>
      </w:r>
      <w:r w:rsidR="00AC05CD" w:rsidRPr="00606003">
        <w:rPr>
          <w:color w:val="000000"/>
          <w:szCs w:val="24"/>
          <w:lang w:eastAsia="lt-LT"/>
        </w:rPr>
        <w:t>Mokestis nustatomas sumuojant mokesčius už kiekvienos ašies (ašių) didžiausiosios leidžiamosios ašies (ašių) apkrovos viršijimą.</w:t>
      </w:r>
    </w:p>
    <w:p w:rsidR="00AC05CD" w:rsidRPr="00606003" w:rsidRDefault="000D0F9D" w:rsidP="00606003">
      <w:pPr>
        <w:spacing w:line="240" w:lineRule="auto"/>
        <w:ind w:firstLine="720"/>
        <w:rPr>
          <w:color w:val="000000"/>
          <w:szCs w:val="24"/>
          <w:lang w:eastAsia="lt-LT"/>
        </w:rPr>
      </w:pPr>
      <w:bookmarkStart w:id="6" w:name="part_5270bd444f5e40a3a55f781969ce3c97"/>
      <w:bookmarkEnd w:id="6"/>
      <w:r w:rsidRPr="00606003">
        <w:rPr>
          <w:color w:val="000000"/>
          <w:szCs w:val="24"/>
          <w:lang w:eastAsia="lt-LT"/>
        </w:rPr>
        <w:t>8</w:t>
      </w:r>
      <w:r w:rsidR="00AC05CD" w:rsidRPr="00606003">
        <w:rPr>
          <w:color w:val="000000"/>
          <w:szCs w:val="24"/>
          <w:lang w:eastAsia="lt-LT"/>
        </w:rPr>
        <w:t>. Mokesčio už naudojimąsi keliais važiuojant sunkiasvoriais traktoriais ir savaeigėmis mašinomis ar jų junginiais, kurių ašies (ašių) apkrova su kroviniu ar be jo yra didesnė už didžiausiąją leidžiamąją ašies (ašių) apkrovą, tarifai:</w:t>
      </w:r>
    </w:p>
    <w:p w:rsidR="00AC05CD" w:rsidRPr="00606003" w:rsidRDefault="00AC05CD" w:rsidP="00606003">
      <w:pPr>
        <w:spacing w:line="240" w:lineRule="auto"/>
        <w:ind w:firstLine="567"/>
        <w:rPr>
          <w:color w:val="000000"/>
          <w:szCs w:val="24"/>
          <w:lang w:eastAsia="lt-LT"/>
        </w:rPr>
      </w:pPr>
    </w:p>
    <w:tbl>
      <w:tblPr>
        <w:tblW w:w="9639" w:type="dxa"/>
        <w:tblInd w:w="108" w:type="dxa"/>
        <w:tblCellMar>
          <w:left w:w="0" w:type="dxa"/>
          <w:right w:w="0" w:type="dxa"/>
        </w:tblCellMar>
        <w:tblLook w:val="04A0"/>
      </w:tblPr>
      <w:tblGrid>
        <w:gridCol w:w="2430"/>
        <w:gridCol w:w="3524"/>
        <w:gridCol w:w="3685"/>
      </w:tblGrid>
      <w:tr w:rsidR="00AC05CD" w:rsidRPr="00606003" w:rsidTr="00606003">
        <w:trPr>
          <w:tblHeader/>
        </w:trPr>
        <w:tc>
          <w:tcPr>
            <w:tcW w:w="24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Didžiausioji leidžiamoji ašies (ašių) apkrova viršyta, t</w:t>
            </w:r>
          </w:p>
        </w:tc>
        <w:tc>
          <w:tcPr>
            <w:tcW w:w="72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0D0F9D" w:rsidP="00606003">
            <w:pPr>
              <w:spacing w:line="240" w:lineRule="auto"/>
              <w:ind w:firstLine="14"/>
              <w:jc w:val="center"/>
              <w:rPr>
                <w:szCs w:val="24"/>
                <w:lang w:eastAsia="lt-LT"/>
              </w:rPr>
            </w:pPr>
            <w:r w:rsidRPr="00606003">
              <w:rPr>
                <w:szCs w:val="24"/>
                <w:lang w:eastAsia="lt-LT"/>
              </w:rPr>
              <w:t>Tarifai, eurais</w:t>
            </w:r>
          </w:p>
        </w:tc>
      </w:tr>
      <w:tr w:rsidR="00AC05CD" w:rsidRPr="00606003" w:rsidTr="00606003">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05CD" w:rsidRPr="00606003" w:rsidRDefault="00AC05CD" w:rsidP="00606003">
            <w:pPr>
              <w:spacing w:line="240" w:lineRule="auto"/>
              <w:ind w:firstLine="0"/>
              <w:jc w:val="left"/>
              <w:rPr>
                <w:szCs w:val="24"/>
                <w:lang w:eastAsia="lt-LT"/>
              </w:rPr>
            </w:pPr>
          </w:p>
        </w:tc>
        <w:tc>
          <w:tcPr>
            <w:tcW w:w="3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vienkartiniai,</w:t>
            </w:r>
          </w:p>
          <w:p w:rsidR="00AC05CD" w:rsidRPr="00606003" w:rsidRDefault="00AC05CD" w:rsidP="00606003">
            <w:pPr>
              <w:spacing w:line="240" w:lineRule="auto"/>
              <w:ind w:firstLine="0"/>
              <w:jc w:val="center"/>
              <w:rPr>
                <w:szCs w:val="24"/>
                <w:lang w:eastAsia="lt-LT"/>
              </w:rPr>
            </w:pPr>
            <w:r w:rsidRPr="00606003">
              <w:rPr>
                <w:szCs w:val="24"/>
                <w:lang w:eastAsia="lt-LT"/>
              </w:rPr>
              <w:t>10 km</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Cs w:val="24"/>
                <w:lang w:eastAsia="lt-LT"/>
              </w:rPr>
            </w:pPr>
            <w:r w:rsidRPr="00606003">
              <w:rPr>
                <w:szCs w:val="24"/>
                <w:lang w:eastAsia="lt-LT"/>
              </w:rPr>
              <w:t>mėnesio</w:t>
            </w:r>
          </w:p>
        </w:tc>
      </w:tr>
      <w:tr w:rsidR="00AC05CD" w:rsidRPr="00606003" w:rsidTr="00606003">
        <w:trPr>
          <w:trHeight w:val="256"/>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0,6–1,0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0,32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16</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1,1–1,5</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0,51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32</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1,6–2,0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0,74</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45</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2,1–3,0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1,28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81</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3,1–4,0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2,08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129</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4,1–5,0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3,01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5,1–6,0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3,70</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6,1–7,0</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4,40</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r w:rsidR="00AC05CD" w:rsidRPr="00606003" w:rsidTr="00606003">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7,1–8,0 įskaitytinai</w:t>
            </w:r>
          </w:p>
        </w:tc>
        <w:tc>
          <w:tcPr>
            <w:tcW w:w="3524"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5,32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Cs w:val="24"/>
                <w:lang w:eastAsia="lt-LT"/>
              </w:rPr>
            </w:pPr>
            <w:r w:rsidRPr="00606003">
              <w:rPr>
                <w:szCs w:val="24"/>
                <w:lang w:eastAsia="lt-LT"/>
              </w:rPr>
              <w:t>–</w:t>
            </w:r>
          </w:p>
        </w:tc>
      </w:tr>
    </w:tbl>
    <w:p w:rsidR="00AC05CD" w:rsidRPr="00606003" w:rsidRDefault="000D0F9D" w:rsidP="00606003">
      <w:pPr>
        <w:spacing w:line="240" w:lineRule="auto"/>
        <w:ind w:firstLine="720"/>
        <w:rPr>
          <w:color w:val="000000"/>
          <w:szCs w:val="24"/>
          <w:lang w:eastAsia="lt-LT"/>
        </w:rPr>
      </w:pPr>
      <w:bookmarkStart w:id="7" w:name="part_7723175907fc4028a95a578241757df8"/>
      <w:bookmarkEnd w:id="7"/>
      <w:r w:rsidRPr="00606003">
        <w:rPr>
          <w:color w:val="000000"/>
          <w:szCs w:val="24"/>
          <w:lang w:eastAsia="lt-LT"/>
        </w:rPr>
        <w:lastRenderedPageBreak/>
        <w:t>9</w:t>
      </w:r>
      <w:r w:rsidR="00AC05CD" w:rsidRPr="00606003">
        <w:rPr>
          <w:color w:val="000000"/>
          <w:szCs w:val="24"/>
          <w:lang w:eastAsia="lt-LT"/>
        </w:rPr>
        <w:t>. Mokestis nustatomas sumuojant mokesčius už kiekvienos ašies didžiausiosios leidžiamosios ašies (ašių) apkrovos viršijimą.</w:t>
      </w:r>
    </w:p>
    <w:p w:rsidR="00AC05CD" w:rsidRPr="00606003" w:rsidRDefault="000D0F9D" w:rsidP="00606003">
      <w:pPr>
        <w:spacing w:line="240" w:lineRule="auto"/>
        <w:ind w:firstLine="720"/>
        <w:rPr>
          <w:color w:val="000000"/>
          <w:szCs w:val="24"/>
          <w:lang w:eastAsia="lt-LT"/>
        </w:rPr>
      </w:pPr>
      <w:bookmarkStart w:id="8" w:name="part_192c31a8eeaf4142b9a4b90842cc40b8"/>
      <w:bookmarkEnd w:id="8"/>
      <w:r w:rsidRPr="00606003">
        <w:rPr>
          <w:color w:val="000000"/>
          <w:szCs w:val="24"/>
          <w:lang w:eastAsia="lt-LT"/>
        </w:rPr>
        <w:t>10</w:t>
      </w:r>
      <w:r w:rsidR="00AC05CD" w:rsidRPr="00606003">
        <w:rPr>
          <w:color w:val="000000"/>
          <w:szCs w:val="24"/>
          <w:lang w:eastAsia="lt-LT"/>
        </w:rPr>
        <w:t>. Kai viršijama didžiausioji leidžiamoji ašies (ašių) apkrova ir masė, nustatomas tas mokesčio dydis, kuris yra didesnis.</w:t>
      </w:r>
    </w:p>
    <w:p w:rsidR="00AC05CD" w:rsidRPr="00606003" w:rsidRDefault="00AC05CD" w:rsidP="00606003">
      <w:pPr>
        <w:spacing w:line="240" w:lineRule="auto"/>
        <w:ind w:firstLine="720"/>
        <w:rPr>
          <w:color w:val="000000"/>
          <w:szCs w:val="24"/>
          <w:lang w:eastAsia="lt-LT"/>
        </w:rPr>
      </w:pPr>
    </w:p>
    <w:p w:rsidR="00AC05CD" w:rsidRPr="00606003" w:rsidRDefault="00606003" w:rsidP="00606003">
      <w:pPr>
        <w:spacing w:line="240" w:lineRule="auto"/>
        <w:ind w:firstLine="0"/>
        <w:jc w:val="center"/>
        <w:rPr>
          <w:color w:val="000000"/>
          <w:szCs w:val="24"/>
          <w:lang w:eastAsia="lt-LT"/>
        </w:rPr>
      </w:pPr>
      <w:bookmarkStart w:id="9" w:name="part_b3c8d350b62e4ff6becb4108ec60fbaa"/>
      <w:bookmarkEnd w:id="9"/>
      <w:r w:rsidRPr="00606003">
        <w:rPr>
          <w:b/>
          <w:bCs/>
          <w:color w:val="000000"/>
          <w:szCs w:val="24"/>
          <w:lang w:eastAsia="lt-LT"/>
        </w:rPr>
        <w:t xml:space="preserve">III </w:t>
      </w:r>
      <w:r w:rsidR="00AC05CD" w:rsidRPr="00606003">
        <w:rPr>
          <w:b/>
          <w:bCs/>
          <w:color w:val="000000"/>
          <w:szCs w:val="24"/>
          <w:lang w:eastAsia="lt-LT"/>
        </w:rPr>
        <w:t>SKYRIUS</w:t>
      </w:r>
    </w:p>
    <w:p w:rsidR="00AC05CD" w:rsidRPr="00606003" w:rsidRDefault="00AC05CD" w:rsidP="00606003">
      <w:pPr>
        <w:spacing w:line="240" w:lineRule="auto"/>
        <w:ind w:firstLine="0"/>
        <w:jc w:val="center"/>
        <w:rPr>
          <w:color w:val="000000"/>
          <w:sz w:val="28"/>
          <w:szCs w:val="24"/>
          <w:lang w:eastAsia="lt-LT"/>
        </w:rPr>
      </w:pPr>
      <w:r w:rsidRPr="00606003">
        <w:rPr>
          <w:b/>
          <w:bCs/>
          <w:color w:val="000000"/>
          <w:szCs w:val="24"/>
          <w:lang w:eastAsia="lt-LT"/>
        </w:rPr>
        <w:t xml:space="preserve">MOKESČIO UŽ NAUDOJIMĄSI KELIAIS VAŽIUOJANT SUNKIASVORĖMIS TRANSPORTO PRIEMONĖMIS, KURIŲ MASĖ SU KROVINIU AR BE JO YRA DIDESNĖ UŽ DIDŽIAUSIĄJĄ </w:t>
      </w:r>
      <w:r w:rsidRPr="00606003">
        <w:rPr>
          <w:b/>
          <w:bCs/>
          <w:color w:val="000000"/>
          <w:szCs w:val="22"/>
          <w:lang w:eastAsia="lt-LT"/>
        </w:rPr>
        <w:t>LEIDŽIAMĄ NAUDOJANTIS KELIAIS TRANSPORTO PRIEMONĖS AR JŲ JUNGINIŲ MASĘ, TARIFAI</w:t>
      </w:r>
    </w:p>
    <w:p w:rsidR="00AC05CD" w:rsidRPr="00606003" w:rsidRDefault="00AC05CD" w:rsidP="00606003">
      <w:pPr>
        <w:spacing w:line="240" w:lineRule="auto"/>
        <w:ind w:firstLine="720"/>
        <w:jc w:val="center"/>
        <w:rPr>
          <w:color w:val="000000"/>
          <w:szCs w:val="24"/>
          <w:lang w:eastAsia="lt-LT"/>
        </w:rPr>
      </w:pPr>
    </w:p>
    <w:p w:rsidR="00AC05CD" w:rsidRPr="00606003" w:rsidRDefault="000D0F9D" w:rsidP="00606003">
      <w:pPr>
        <w:spacing w:line="240" w:lineRule="auto"/>
        <w:ind w:firstLine="720"/>
        <w:rPr>
          <w:color w:val="000000"/>
          <w:sz w:val="28"/>
          <w:szCs w:val="24"/>
          <w:lang w:eastAsia="lt-LT"/>
        </w:rPr>
      </w:pPr>
      <w:bookmarkStart w:id="10" w:name="part_1f86dd1d27a64a87b9f7f123ec2ba7c8"/>
      <w:bookmarkEnd w:id="10"/>
      <w:r w:rsidRPr="00606003">
        <w:rPr>
          <w:color w:val="000000"/>
          <w:szCs w:val="22"/>
          <w:lang w:eastAsia="lt-LT"/>
        </w:rPr>
        <w:t>11</w:t>
      </w:r>
      <w:r w:rsidR="00AC05CD" w:rsidRPr="00606003">
        <w:rPr>
          <w:color w:val="000000"/>
          <w:szCs w:val="22"/>
          <w:lang w:eastAsia="lt-LT"/>
        </w:rPr>
        <w:t>. Mokesčio už naudojimąsi keliais važiuojant sunkiasvorėmis motorinėmis transporto priemonėmis ar jų junginiais, kurių masė su kroviniu ar be jo yra didesnė už didžiausiąj</w:t>
      </w:r>
      <w:r w:rsidR="00B631C9">
        <w:rPr>
          <w:color w:val="000000"/>
          <w:szCs w:val="22"/>
          <w:lang w:eastAsia="lt-LT"/>
        </w:rPr>
        <w:t>ą leidžiamą naudojantis keliais</w:t>
      </w:r>
      <w:r w:rsidR="004D5F95">
        <w:rPr>
          <w:color w:val="000000"/>
          <w:szCs w:val="22"/>
          <w:lang w:eastAsia="lt-LT"/>
        </w:rPr>
        <w:t xml:space="preserve"> </w:t>
      </w:r>
      <w:r w:rsidR="00AC05CD" w:rsidRPr="00606003">
        <w:rPr>
          <w:color w:val="000000"/>
          <w:szCs w:val="22"/>
          <w:lang w:eastAsia="lt-LT"/>
        </w:rPr>
        <w:t>transporto priemonės ar jų junginių masę ir yra didesnė kaip 40 t, tarifai:</w:t>
      </w:r>
    </w:p>
    <w:p w:rsidR="00AC05CD" w:rsidRPr="00606003" w:rsidRDefault="00AC05CD" w:rsidP="00606003">
      <w:pPr>
        <w:spacing w:line="240" w:lineRule="auto"/>
        <w:ind w:firstLine="720"/>
        <w:rPr>
          <w:color w:val="000000"/>
          <w:sz w:val="28"/>
          <w:szCs w:val="24"/>
          <w:lang w:eastAsia="lt-LT"/>
        </w:rPr>
      </w:pPr>
    </w:p>
    <w:tbl>
      <w:tblPr>
        <w:tblW w:w="9639" w:type="dxa"/>
        <w:tblInd w:w="54" w:type="dxa"/>
        <w:tblCellMar>
          <w:left w:w="0" w:type="dxa"/>
          <w:right w:w="0" w:type="dxa"/>
        </w:tblCellMar>
        <w:tblLook w:val="04A0"/>
      </w:tblPr>
      <w:tblGrid>
        <w:gridCol w:w="2066"/>
        <w:gridCol w:w="2976"/>
        <w:gridCol w:w="2410"/>
        <w:gridCol w:w="2187"/>
      </w:tblGrid>
      <w:tr w:rsidR="00AC05CD" w:rsidRPr="00606003" w:rsidTr="00606003">
        <w:tc>
          <w:tcPr>
            <w:tcW w:w="2066" w:type="dxa"/>
            <w:tcBorders>
              <w:top w:val="single" w:sz="8" w:space="0" w:color="000000"/>
              <w:left w:val="single" w:sz="8" w:space="0" w:color="000000"/>
              <w:bottom w:val="single" w:sz="8" w:space="0" w:color="000000"/>
              <w:right w:val="single" w:sz="8" w:space="0" w:color="000000"/>
            </w:tcBorders>
            <w:tcMar>
              <w:top w:w="54" w:type="dxa"/>
              <w:left w:w="54" w:type="dxa"/>
              <w:bottom w:w="54" w:type="dxa"/>
              <w:right w:w="54" w:type="dxa"/>
            </w:tcMar>
            <w:vAlign w:val="cente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Didžiausioji leidžiamoji masė viršyta, t</w:t>
            </w:r>
          </w:p>
        </w:tc>
        <w:tc>
          <w:tcPr>
            <w:tcW w:w="2976" w:type="dxa"/>
            <w:tcBorders>
              <w:top w:val="single" w:sz="8" w:space="0" w:color="000000"/>
              <w:left w:val="nil"/>
              <w:bottom w:val="single" w:sz="8" w:space="0" w:color="000000"/>
              <w:right w:val="single" w:sz="8" w:space="0" w:color="000000"/>
            </w:tcBorders>
            <w:tcMar>
              <w:top w:w="54" w:type="dxa"/>
              <w:left w:w="54" w:type="dxa"/>
              <w:bottom w:w="54" w:type="dxa"/>
              <w:right w:w="54" w:type="dxa"/>
            </w:tcMar>
            <w:vAlign w:val="cente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Vienkartiniai tarifai už kiekvieną viršytą toną,</w:t>
            </w:r>
            <w:r w:rsidRPr="00606003">
              <w:rPr>
                <w:color w:val="000000"/>
                <w:szCs w:val="22"/>
                <w:lang w:eastAsia="lt-LT"/>
              </w:rPr>
              <w:br/>
              <w:t>eurais</w:t>
            </w:r>
            <w:r w:rsidRPr="00606003">
              <w:rPr>
                <w:b/>
                <w:bCs/>
                <w:color w:val="000000"/>
                <w:szCs w:val="22"/>
                <w:lang w:eastAsia="lt-LT"/>
              </w:rPr>
              <w:t> </w:t>
            </w:r>
            <w:r w:rsidRPr="00606003">
              <w:rPr>
                <w:color w:val="000000"/>
                <w:szCs w:val="22"/>
                <w:lang w:eastAsia="lt-LT"/>
              </w:rPr>
              <w:t>už 10 km</w:t>
            </w:r>
          </w:p>
        </w:tc>
        <w:tc>
          <w:tcPr>
            <w:tcW w:w="2410" w:type="dxa"/>
            <w:tcBorders>
              <w:top w:val="single" w:sz="8" w:space="0" w:color="000000"/>
              <w:left w:val="nil"/>
              <w:bottom w:val="single" w:sz="8" w:space="0" w:color="000000"/>
              <w:right w:val="single" w:sz="8" w:space="0" w:color="000000"/>
            </w:tcBorders>
            <w:tcMar>
              <w:top w:w="54" w:type="dxa"/>
              <w:left w:w="54" w:type="dxa"/>
              <w:bottom w:w="54" w:type="dxa"/>
              <w:right w:w="54" w:type="dxa"/>
            </w:tcMar>
            <w:vAlign w:val="cente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Mėnesio tarifai*,eurais</w:t>
            </w:r>
          </w:p>
        </w:tc>
        <w:tc>
          <w:tcPr>
            <w:tcW w:w="2187" w:type="dxa"/>
            <w:tcBorders>
              <w:top w:val="single" w:sz="8" w:space="0" w:color="000000"/>
              <w:left w:val="nil"/>
              <w:bottom w:val="single" w:sz="8" w:space="0" w:color="000000"/>
              <w:right w:val="single" w:sz="8" w:space="0" w:color="000000"/>
            </w:tcBorders>
            <w:tcMar>
              <w:top w:w="54" w:type="dxa"/>
              <w:left w:w="54" w:type="dxa"/>
              <w:bottom w:w="54" w:type="dxa"/>
              <w:right w:w="54" w:type="dxa"/>
            </w:tcMar>
            <w:vAlign w:val="cente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Metų tarifai*,eurais</w:t>
            </w:r>
          </w:p>
        </w:tc>
      </w:tr>
      <w:tr w:rsidR="00AC05CD" w:rsidRPr="00606003" w:rsidTr="00606003">
        <w:tc>
          <w:tcPr>
            <w:tcW w:w="2066" w:type="dxa"/>
            <w:tcBorders>
              <w:top w:val="nil"/>
              <w:left w:val="single" w:sz="8" w:space="0" w:color="000000"/>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1,0–20,0</w:t>
            </w:r>
          </w:p>
        </w:tc>
        <w:tc>
          <w:tcPr>
            <w:tcW w:w="2976"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1,30</w:t>
            </w:r>
          </w:p>
        </w:tc>
        <w:tc>
          <w:tcPr>
            <w:tcW w:w="2410"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115</w:t>
            </w:r>
          </w:p>
        </w:tc>
        <w:tc>
          <w:tcPr>
            <w:tcW w:w="2187"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920</w:t>
            </w:r>
          </w:p>
        </w:tc>
      </w:tr>
      <w:tr w:rsidR="00AC05CD" w:rsidRPr="00606003" w:rsidTr="00606003">
        <w:tc>
          <w:tcPr>
            <w:tcW w:w="2066" w:type="dxa"/>
            <w:tcBorders>
              <w:top w:val="nil"/>
              <w:left w:val="single" w:sz="8" w:space="0" w:color="000000"/>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21,0–40,0</w:t>
            </w:r>
          </w:p>
        </w:tc>
        <w:tc>
          <w:tcPr>
            <w:tcW w:w="2976"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1,44</w:t>
            </w:r>
          </w:p>
        </w:tc>
        <w:tc>
          <w:tcPr>
            <w:tcW w:w="2410"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w:t>
            </w:r>
          </w:p>
        </w:tc>
        <w:tc>
          <w:tcPr>
            <w:tcW w:w="2187"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w:t>
            </w:r>
          </w:p>
        </w:tc>
      </w:tr>
      <w:tr w:rsidR="00AC05CD" w:rsidRPr="00606003" w:rsidTr="00606003">
        <w:tc>
          <w:tcPr>
            <w:tcW w:w="2066" w:type="dxa"/>
            <w:tcBorders>
              <w:top w:val="nil"/>
              <w:left w:val="single" w:sz="8" w:space="0" w:color="000000"/>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&gt; 40</w:t>
            </w:r>
          </w:p>
        </w:tc>
        <w:tc>
          <w:tcPr>
            <w:tcW w:w="2976"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1,88</w:t>
            </w:r>
          </w:p>
        </w:tc>
        <w:tc>
          <w:tcPr>
            <w:tcW w:w="2410"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w:t>
            </w:r>
          </w:p>
        </w:tc>
        <w:tc>
          <w:tcPr>
            <w:tcW w:w="2187" w:type="dxa"/>
            <w:tcBorders>
              <w:top w:val="nil"/>
              <w:left w:val="nil"/>
              <w:bottom w:val="single" w:sz="8" w:space="0" w:color="000000"/>
              <w:right w:val="single" w:sz="8" w:space="0" w:color="000000"/>
            </w:tcBorders>
            <w:tcMar>
              <w:top w:w="54" w:type="dxa"/>
              <w:left w:w="54" w:type="dxa"/>
              <w:bottom w:w="54" w:type="dxa"/>
              <w:right w:w="54" w:type="dxa"/>
            </w:tcMar>
            <w:hideMark/>
          </w:tcPr>
          <w:p w:rsidR="00AC05CD" w:rsidRPr="00606003" w:rsidRDefault="00AC05CD" w:rsidP="00606003">
            <w:pPr>
              <w:spacing w:line="240" w:lineRule="auto"/>
              <w:ind w:firstLine="0"/>
              <w:jc w:val="center"/>
              <w:rPr>
                <w:sz w:val="28"/>
                <w:szCs w:val="24"/>
                <w:lang w:eastAsia="lt-LT"/>
              </w:rPr>
            </w:pPr>
            <w:r w:rsidRPr="00606003">
              <w:rPr>
                <w:color w:val="000000"/>
                <w:szCs w:val="22"/>
                <w:lang w:eastAsia="lt-LT"/>
              </w:rPr>
              <w:t>–</w:t>
            </w:r>
          </w:p>
        </w:tc>
      </w:tr>
    </w:tbl>
    <w:p w:rsidR="00AC05CD" w:rsidRPr="00606003" w:rsidRDefault="00AC05CD" w:rsidP="00606003">
      <w:pPr>
        <w:spacing w:line="240" w:lineRule="auto"/>
        <w:ind w:firstLine="0"/>
        <w:rPr>
          <w:i/>
          <w:color w:val="000000"/>
          <w:szCs w:val="24"/>
          <w:lang w:eastAsia="lt-LT"/>
        </w:rPr>
      </w:pPr>
      <w:r w:rsidRPr="00606003">
        <w:rPr>
          <w:i/>
          <w:color w:val="000000"/>
          <w:sz w:val="22"/>
          <w:szCs w:val="22"/>
          <w:lang w:eastAsia="lt-LT"/>
        </w:rPr>
        <w:t>* Taikoma šešių ar daugiau ašių transporto priemonėms, kurias suda</w:t>
      </w:r>
      <w:r w:rsidR="00606003" w:rsidRPr="00606003">
        <w:rPr>
          <w:i/>
          <w:color w:val="000000"/>
          <w:sz w:val="22"/>
          <w:szCs w:val="22"/>
          <w:lang w:eastAsia="lt-LT"/>
        </w:rPr>
        <w:t xml:space="preserve">ro motorinė transporto priemonė </w:t>
      </w:r>
      <w:r w:rsidRPr="00606003">
        <w:rPr>
          <w:i/>
          <w:color w:val="000000"/>
          <w:sz w:val="22"/>
          <w:szCs w:val="22"/>
          <w:lang w:eastAsia="lt-LT"/>
        </w:rPr>
        <w:t xml:space="preserve">ir priekaba </w:t>
      </w:r>
      <w:r w:rsidR="00606003" w:rsidRPr="00606003">
        <w:rPr>
          <w:i/>
          <w:color w:val="000000"/>
          <w:sz w:val="22"/>
          <w:szCs w:val="22"/>
          <w:lang w:eastAsia="lt-LT"/>
        </w:rPr>
        <w:t xml:space="preserve">(puspriekabė), kurių </w:t>
      </w:r>
      <w:r w:rsidRPr="00606003">
        <w:rPr>
          <w:i/>
          <w:color w:val="000000"/>
          <w:sz w:val="22"/>
          <w:szCs w:val="22"/>
          <w:lang w:eastAsia="lt-LT"/>
        </w:rPr>
        <w:t>ne mažiau kaip penkių ašių ratai yra suporinti, ašies</w:t>
      </w:r>
      <w:r w:rsidR="00606003" w:rsidRPr="00606003">
        <w:rPr>
          <w:i/>
          <w:color w:val="000000"/>
          <w:sz w:val="22"/>
          <w:szCs w:val="22"/>
          <w:lang w:eastAsia="lt-LT"/>
        </w:rPr>
        <w:t xml:space="preserve"> </w:t>
      </w:r>
      <w:r w:rsidRPr="00606003">
        <w:rPr>
          <w:i/>
          <w:color w:val="000000"/>
          <w:sz w:val="22"/>
          <w:szCs w:val="22"/>
          <w:lang w:eastAsia="lt-LT"/>
        </w:rPr>
        <w:t>(ašių) apkrova yra ne didesnė už didžiausiąją leidžiamąją ašies (ašių) apkrovą ir masė yra didesnė už</w:t>
      </w:r>
      <w:r w:rsidR="00606003" w:rsidRPr="00606003">
        <w:rPr>
          <w:i/>
          <w:color w:val="000000"/>
          <w:sz w:val="22"/>
          <w:szCs w:val="22"/>
          <w:lang w:eastAsia="lt-LT"/>
        </w:rPr>
        <w:t xml:space="preserve"> didžiausiąją leidžiamąją masę, tačiau </w:t>
      </w:r>
      <w:r w:rsidRPr="00606003">
        <w:rPr>
          <w:i/>
          <w:color w:val="000000"/>
          <w:sz w:val="22"/>
          <w:szCs w:val="22"/>
          <w:lang w:eastAsia="lt-LT"/>
        </w:rPr>
        <w:t>ne didesnė kaip 48 t.</w:t>
      </w:r>
    </w:p>
    <w:p w:rsidR="00AC05CD" w:rsidRPr="00606003" w:rsidRDefault="00AC05CD" w:rsidP="00606003">
      <w:pPr>
        <w:spacing w:line="240" w:lineRule="auto"/>
        <w:ind w:firstLine="0"/>
        <w:jc w:val="left"/>
        <w:rPr>
          <w:color w:val="000000"/>
          <w:sz w:val="28"/>
          <w:szCs w:val="24"/>
          <w:lang w:eastAsia="lt-LT"/>
        </w:rPr>
      </w:pPr>
    </w:p>
    <w:p w:rsidR="000D0F9D" w:rsidRPr="00606003" w:rsidRDefault="000D0F9D" w:rsidP="00606003">
      <w:pPr>
        <w:spacing w:line="240" w:lineRule="auto"/>
        <w:ind w:firstLine="720"/>
        <w:rPr>
          <w:color w:val="000000"/>
          <w:szCs w:val="22"/>
          <w:lang w:eastAsia="lt-LT"/>
        </w:rPr>
      </w:pPr>
      <w:bookmarkStart w:id="11" w:name="part_8af6106e3d7740ca93fab5a8ef62b630"/>
      <w:bookmarkEnd w:id="11"/>
      <w:r w:rsidRPr="00606003">
        <w:rPr>
          <w:color w:val="000000"/>
          <w:szCs w:val="22"/>
          <w:lang w:eastAsia="lt-LT"/>
        </w:rPr>
        <w:t>12. Triašiu vilkiku su dviaše ar triaše puspriekabe 20, 30, 40, 45 pėdų konteinerius, pagamintus pagal ISO standartus, leidžiama vežti tik magistraliniais keliais. Vežant šiuos konteinerius kitais keliais, būtina gauti kelio savininko leidimą.</w:t>
      </w:r>
    </w:p>
    <w:p w:rsidR="00AC05CD" w:rsidRPr="00606003" w:rsidRDefault="000D0F9D" w:rsidP="00606003">
      <w:pPr>
        <w:spacing w:line="240" w:lineRule="auto"/>
        <w:ind w:firstLine="720"/>
        <w:rPr>
          <w:color w:val="000000"/>
          <w:sz w:val="28"/>
          <w:szCs w:val="24"/>
          <w:lang w:eastAsia="lt-LT"/>
        </w:rPr>
      </w:pPr>
      <w:r w:rsidRPr="00606003">
        <w:rPr>
          <w:color w:val="000000"/>
          <w:szCs w:val="22"/>
          <w:lang w:eastAsia="lt-LT"/>
        </w:rPr>
        <w:t xml:space="preserve">13. </w:t>
      </w:r>
      <w:r w:rsidR="00B631C9">
        <w:rPr>
          <w:color w:val="000000"/>
          <w:szCs w:val="22"/>
          <w:lang w:eastAsia="lt-LT"/>
        </w:rPr>
        <w:t>Mokesčio už naudojimąsi keliais</w:t>
      </w:r>
      <w:r w:rsidR="004D5F95">
        <w:rPr>
          <w:color w:val="000000"/>
          <w:szCs w:val="22"/>
          <w:lang w:eastAsia="lt-LT"/>
        </w:rPr>
        <w:t xml:space="preserve"> </w:t>
      </w:r>
      <w:r w:rsidR="00AC05CD" w:rsidRPr="00606003">
        <w:rPr>
          <w:color w:val="000000"/>
          <w:szCs w:val="22"/>
          <w:lang w:eastAsia="lt-LT"/>
        </w:rPr>
        <w:t>važiuojant sunkiasvoriais traktoriais ir savaeigėmis mašinomis ar jų junginiais, kurių masė su kroviniu ar be jo yra didesnė už didžiausiąją leidžiamąją masę, tarifai:</w:t>
      </w:r>
    </w:p>
    <w:p w:rsidR="00AC05CD" w:rsidRPr="00606003" w:rsidRDefault="00AC05CD" w:rsidP="00606003">
      <w:pPr>
        <w:spacing w:line="240" w:lineRule="auto"/>
        <w:ind w:firstLine="567"/>
        <w:rPr>
          <w:color w:val="000000"/>
          <w:sz w:val="28"/>
          <w:szCs w:val="24"/>
          <w:lang w:eastAsia="lt-LT"/>
        </w:rPr>
      </w:pPr>
    </w:p>
    <w:tbl>
      <w:tblPr>
        <w:tblW w:w="0" w:type="auto"/>
        <w:tblInd w:w="108" w:type="dxa"/>
        <w:tblCellMar>
          <w:left w:w="0" w:type="dxa"/>
          <w:right w:w="0" w:type="dxa"/>
        </w:tblCellMar>
        <w:tblLook w:val="04A0"/>
      </w:tblPr>
      <w:tblGrid>
        <w:gridCol w:w="3386"/>
        <w:gridCol w:w="6253"/>
      </w:tblGrid>
      <w:tr w:rsidR="00AC05CD" w:rsidRPr="00606003" w:rsidTr="00606003">
        <w:tc>
          <w:tcPr>
            <w:tcW w:w="3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Didžiausioji leidžiamoji masė viršyta, t</w:t>
            </w:r>
          </w:p>
        </w:tc>
        <w:tc>
          <w:tcPr>
            <w:tcW w:w="6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Vienkartiniai ribiniai tarifai už kiekvieną viršytą toną,</w:t>
            </w:r>
            <w:r w:rsidRPr="00606003">
              <w:rPr>
                <w:szCs w:val="22"/>
                <w:lang w:eastAsia="lt-LT"/>
              </w:rPr>
              <w:br/>
              <w:t>eurais</w:t>
            </w:r>
            <w:r w:rsidRPr="00606003">
              <w:rPr>
                <w:b/>
                <w:bCs/>
                <w:szCs w:val="22"/>
                <w:lang w:eastAsia="lt-LT"/>
              </w:rPr>
              <w:t> </w:t>
            </w:r>
            <w:r w:rsidRPr="00606003">
              <w:rPr>
                <w:szCs w:val="22"/>
                <w:lang w:eastAsia="lt-LT"/>
              </w:rPr>
              <w:t>už 10 km</w:t>
            </w:r>
          </w:p>
        </w:tc>
      </w:tr>
      <w:tr w:rsidR="00AC05CD" w:rsidRPr="00606003" w:rsidTr="00606003">
        <w:tc>
          <w:tcPr>
            <w:tcW w:w="3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1,0–20,0</w:t>
            </w: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0,19</w:t>
            </w:r>
          </w:p>
        </w:tc>
      </w:tr>
      <w:tr w:rsidR="00AC05CD" w:rsidRPr="00606003" w:rsidTr="00606003">
        <w:tc>
          <w:tcPr>
            <w:tcW w:w="3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21,0–40,0</w:t>
            </w: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0,28</w:t>
            </w:r>
          </w:p>
        </w:tc>
      </w:tr>
      <w:tr w:rsidR="00AC05CD" w:rsidRPr="00606003" w:rsidTr="00606003">
        <w:tc>
          <w:tcPr>
            <w:tcW w:w="3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&gt; 40</w:t>
            </w:r>
          </w:p>
        </w:tc>
        <w:tc>
          <w:tcPr>
            <w:tcW w:w="6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5CD" w:rsidRPr="00606003" w:rsidRDefault="00AC05CD" w:rsidP="00606003">
            <w:pPr>
              <w:spacing w:line="240" w:lineRule="auto"/>
              <w:ind w:firstLine="0"/>
              <w:jc w:val="center"/>
              <w:rPr>
                <w:sz w:val="28"/>
                <w:szCs w:val="24"/>
                <w:lang w:eastAsia="lt-LT"/>
              </w:rPr>
            </w:pPr>
            <w:r w:rsidRPr="00606003">
              <w:rPr>
                <w:szCs w:val="22"/>
                <w:lang w:eastAsia="lt-LT"/>
              </w:rPr>
              <w:t>0,41</w:t>
            </w:r>
          </w:p>
        </w:tc>
      </w:tr>
    </w:tbl>
    <w:p w:rsidR="00AC05CD" w:rsidRPr="00606003" w:rsidRDefault="00AC05CD" w:rsidP="00606003">
      <w:pPr>
        <w:spacing w:line="240" w:lineRule="auto"/>
        <w:ind w:firstLine="567"/>
        <w:rPr>
          <w:color w:val="000000"/>
          <w:sz w:val="28"/>
          <w:szCs w:val="24"/>
          <w:lang w:eastAsia="lt-LT"/>
        </w:rPr>
      </w:pPr>
    </w:p>
    <w:p w:rsidR="00AC05CD" w:rsidRDefault="00AC05CD" w:rsidP="00606003">
      <w:pPr>
        <w:spacing w:line="240" w:lineRule="auto"/>
        <w:ind w:firstLine="720"/>
        <w:rPr>
          <w:color w:val="000000"/>
          <w:szCs w:val="22"/>
          <w:lang w:eastAsia="lt-LT"/>
        </w:rPr>
      </w:pPr>
      <w:bookmarkStart w:id="12" w:name="part_5d7a263f32d64fd8808093243ef4bd51"/>
      <w:bookmarkEnd w:id="12"/>
      <w:r w:rsidRPr="00606003">
        <w:rPr>
          <w:color w:val="000000"/>
          <w:szCs w:val="22"/>
          <w:lang w:eastAsia="lt-LT"/>
        </w:rPr>
        <w:t>1</w:t>
      </w:r>
      <w:r w:rsidR="00606003" w:rsidRPr="00606003">
        <w:rPr>
          <w:color w:val="000000"/>
          <w:szCs w:val="22"/>
          <w:lang w:eastAsia="lt-LT"/>
        </w:rPr>
        <w:t>4</w:t>
      </w:r>
      <w:r w:rsidRPr="00606003">
        <w:rPr>
          <w:color w:val="000000"/>
          <w:szCs w:val="22"/>
          <w:lang w:eastAsia="lt-LT"/>
        </w:rPr>
        <w:t>. Kai viršijama didžiausioji leidžiamoji ašies (ašių) apkrova ir masė, nustatomas tas mokesčio dydis, kuris yra didesnis.</w:t>
      </w:r>
    </w:p>
    <w:p w:rsidR="00E74E51" w:rsidRPr="00E74E51" w:rsidRDefault="00E74E51" w:rsidP="00E74E51">
      <w:pPr>
        <w:jc w:val="center"/>
        <w:rPr>
          <w:color w:val="000000"/>
          <w:szCs w:val="24"/>
          <w:shd w:val="clear" w:color="auto" w:fill="FFFFFF"/>
        </w:rPr>
      </w:pPr>
      <w:r>
        <w:rPr>
          <w:color w:val="000000"/>
          <w:szCs w:val="24"/>
          <w:shd w:val="clear" w:color="auto" w:fill="FFFFFF"/>
        </w:rPr>
        <w:t>___________________________</w:t>
      </w:r>
    </w:p>
    <w:sectPr w:rsidR="00E74E51" w:rsidRPr="00E74E51" w:rsidSect="00B631C9">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38" w:rsidRDefault="00346438" w:rsidP="00B631C9">
      <w:pPr>
        <w:spacing w:line="240" w:lineRule="auto"/>
      </w:pPr>
      <w:r>
        <w:separator/>
      </w:r>
    </w:p>
  </w:endnote>
  <w:endnote w:type="continuationSeparator" w:id="0">
    <w:p w:rsidR="00346438" w:rsidRDefault="00346438" w:rsidP="00B631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38" w:rsidRDefault="00346438" w:rsidP="00B631C9">
      <w:pPr>
        <w:spacing w:line="240" w:lineRule="auto"/>
      </w:pPr>
      <w:r>
        <w:separator/>
      </w:r>
    </w:p>
  </w:footnote>
  <w:footnote w:type="continuationSeparator" w:id="0">
    <w:p w:rsidR="00346438" w:rsidRDefault="00346438" w:rsidP="00B631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0485"/>
      <w:docPartObj>
        <w:docPartGallery w:val="Page Numbers (Top of Page)"/>
        <w:docPartUnique/>
      </w:docPartObj>
    </w:sdtPr>
    <w:sdtContent>
      <w:p w:rsidR="00B631C9" w:rsidRDefault="0018488B" w:rsidP="00B631C9">
        <w:pPr>
          <w:pStyle w:val="Header"/>
          <w:ind w:firstLine="0"/>
          <w:jc w:val="center"/>
        </w:pPr>
        <w:fldSimple w:instr=" PAGE   \* MERGEFORMAT ">
          <w:r w:rsidR="00672012">
            <w:rPr>
              <w:noProof/>
            </w:rPr>
            <w:t>3</w:t>
          </w:r>
        </w:fldSimple>
      </w:p>
    </w:sdtContent>
  </w:sdt>
  <w:p w:rsidR="00B631C9" w:rsidRDefault="00B63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AC05CD"/>
    <w:rsid w:val="000D0F9D"/>
    <w:rsid w:val="001137FC"/>
    <w:rsid w:val="00115C01"/>
    <w:rsid w:val="00177656"/>
    <w:rsid w:val="0018488B"/>
    <w:rsid w:val="001A36A7"/>
    <w:rsid w:val="001F158E"/>
    <w:rsid w:val="00293DC9"/>
    <w:rsid w:val="002D7C80"/>
    <w:rsid w:val="00346438"/>
    <w:rsid w:val="00357D44"/>
    <w:rsid w:val="00357D81"/>
    <w:rsid w:val="00381C96"/>
    <w:rsid w:val="004516A4"/>
    <w:rsid w:val="004569B9"/>
    <w:rsid w:val="004A5E52"/>
    <w:rsid w:val="004B130E"/>
    <w:rsid w:val="004D5F95"/>
    <w:rsid w:val="00517EF4"/>
    <w:rsid w:val="005805F5"/>
    <w:rsid w:val="005B65FE"/>
    <w:rsid w:val="005E5D65"/>
    <w:rsid w:val="00606003"/>
    <w:rsid w:val="00667DC5"/>
    <w:rsid w:val="00672012"/>
    <w:rsid w:val="006B3833"/>
    <w:rsid w:val="006B77C3"/>
    <w:rsid w:val="006E3EB9"/>
    <w:rsid w:val="00702551"/>
    <w:rsid w:val="007106B4"/>
    <w:rsid w:val="00764374"/>
    <w:rsid w:val="007650C9"/>
    <w:rsid w:val="00811BD5"/>
    <w:rsid w:val="00884FAE"/>
    <w:rsid w:val="0090171A"/>
    <w:rsid w:val="00911C0E"/>
    <w:rsid w:val="00943DCE"/>
    <w:rsid w:val="009572DD"/>
    <w:rsid w:val="009762F0"/>
    <w:rsid w:val="00A10422"/>
    <w:rsid w:val="00AC05CD"/>
    <w:rsid w:val="00B53109"/>
    <w:rsid w:val="00B631C9"/>
    <w:rsid w:val="00BE698B"/>
    <w:rsid w:val="00BF1CCD"/>
    <w:rsid w:val="00C660C1"/>
    <w:rsid w:val="00C9450D"/>
    <w:rsid w:val="00D27E9F"/>
    <w:rsid w:val="00DA1BBE"/>
    <w:rsid w:val="00E74E51"/>
    <w:rsid w:val="00EF0C92"/>
    <w:rsid w:val="00F66F85"/>
    <w:rsid w:val="00F77E4B"/>
    <w:rsid w:val="00F9027A"/>
    <w:rsid w:val="00FB4F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ašto tekstas"/>
    <w:qFormat/>
    <w:rsid w:val="002D7C80"/>
    <w:pPr>
      <w:spacing w:after="0" w:line="360" w:lineRule="auto"/>
      <w:ind w:firstLine="709"/>
      <w:jc w:val="both"/>
    </w:pPr>
    <w:rPr>
      <w:rFonts w:ascii="Times New Roman" w:hAnsi="Times New Roman" w:cs="Times New Roman"/>
      <w:sz w:val="24"/>
      <w:szCs w:val="20"/>
    </w:rPr>
  </w:style>
  <w:style w:type="paragraph" w:styleId="Heading1">
    <w:name w:val="heading 1"/>
    <w:basedOn w:val="Normal"/>
    <w:next w:val="Normal"/>
    <w:link w:val="Heading1Char"/>
    <w:autoRedefine/>
    <w:qFormat/>
    <w:rsid w:val="002D7C80"/>
    <w:pPr>
      <w:keepNext/>
      <w:spacing w:before="720" w:after="480" w:line="240" w:lineRule="auto"/>
      <w:ind w:firstLine="0"/>
      <w:outlineLvl w:val="0"/>
    </w:pPr>
    <w:rPr>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C80"/>
    <w:rPr>
      <w:rFonts w:ascii="Times New Roman" w:hAnsi="Times New Roman" w:cs="Times New Roman"/>
      <w:b/>
      <w:bCs/>
      <w:caps/>
      <w:sz w:val="24"/>
      <w:szCs w:val="24"/>
    </w:rPr>
  </w:style>
  <w:style w:type="character" w:styleId="Emphasis">
    <w:name w:val="Emphasis"/>
    <w:aliases w:val="lentelė"/>
    <w:basedOn w:val="DefaultParagraphFont"/>
    <w:uiPriority w:val="20"/>
    <w:qFormat/>
    <w:rsid w:val="004A5E52"/>
    <w:rPr>
      <w:rFonts w:ascii="Times New Roman Bold" w:hAnsi="Times New Roman Bold"/>
      <w:b/>
      <w:iCs/>
      <w:sz w:val="24"/>
    </w:rPr>
  </w:style>
  <w:style w:type="paragraph" w:styleId="Quote">
    <w:name w:val="Quote"/>
    <w:aliases w:val="lentelės pavadinimas"/>
    <w:basedOn w:val="Normal"/>
    <w:next w:val="Normal"/>
    <w:link w:val="QuoteChar"/>
    <w:uiPriority w:val="29"/>
    <w:qFormat/>
    <w:rsid w:val="004A5E52"/>
    <w:pPr>
      <w:spacing w:before="100" w:beforeAutospacing="1"/>
      <w:ind w:firstLine="0"/>
    </w:pPr>
    <w:rPr>
      <w:b/>
      <w:iCs/>
      <w:color w:val="000000" w:themeColor="text1"/>
    </w:rPr>
  </w:style>
  <w:style w:type="character" w:customStyle="1" w:styleId="QuoteChar">
    <w:name w:val="Quote Char"/>
    <w:aliases w:val="lentelės pavadinimas Char"/>
    <w:basedOn w:val="DefaultParagraphFont"/>
    <w:link w:val="Quote"/>
    <w:uiPriority w:val="29"/>
    <w:rsid w:val="004A5E52"/>
    <w:rPr>
      <w:rFonts w:ascii="Times New Roman" w:hAnsi="Times New Roman" w:cs="Times New Roman"/>
      <w:b/>
      <w:iCs/>
      <w:color w:val="000000" w:themeColor="text1"/>
      <w:sz w:val="24"/>
      <w:szCs w:val="20"/>
    </w:rPr>
  </w:style>
  <w:style w:type="paragraph" w:styleId="ListParagraph">
    <w:name w:val="List Paragraph"/>
    <w:aliases w:val="šaltinis"/>
    <w:basedOn w:val="Normal"/>
    <w:uiPriority w:val="34"/>
    <w:qFormat/>
    <w:rsid w:val="004A5E52"/>
    <w:pPr>
      <w:spacing w:before="120" w:after="100" w:afterAutospacing="1"/>
      <w:ind w:firstLine="0"/>
      <w:contextualSpacing/>
    </w:pPr>
    <w:rPr>
      <w:i/>
      <w:sz w:val="20"/>
    </w:rPr>
  </w:style>
  <w:style w:type="paragraph" w:styleId="IntenseQuote">
    <w:name w:val="Intense Quote"/>
    <w:aliases w:val="paveikslas"/>
    <w:basedOn w:val="Normal"/>
    <w:next w:val="Normal"/>
    <w:link w:val="IntenseQuoteChar"/>
    <w:uiPriority w:val="30"/>
    <w:qFormat/>
    <w:rsid w:val="00BE698B"/>
    <w:pPr>
      <w:spacing w:before="120" w:after="100" w:afterAutospacing="1"/>
      <w:ind w:firstLine="0"/>
      <w:jc w:val="center"/>
    </w:pPr>
    <w:rPr>
      <w:b/>
      <w:bCs/>
      <w:iCs/>
    </w:rPr>
  </w:style>
  <w:style w:type="character" w:customStyle="1" w:styleId="IntenseQuoteChar">
    <w:name w:val="Intense Quote Char"/>
    <w:aliases w:val="paveikslas Char"/>
    <w:basedOn w:val="DefaultParagraphFont"/>
    <w:link w:val="IntenseQuote"/>
    <w:uiPriority w:val="30"/>
    <w:rsid w:val="00BE698B"/>
    <w:rPr>
      <w:rFonts w:ascii="Times New Roman" w:hAnsi="Times New Roman" w:cs="Times New Roman"/>
      <w:b/>
      <w:bCs/>
      <w:iCs/>
      <w:sz w:val="24"/>
      <w:szCs w:val="20"/>
    </w:rPr>
  </w:style>
  <w:style w:type="character" w:styleId="Hyperlink">
    <w:name w:val="Hyperlink"/>
    <w:basedOn w:val="DefaultParagraphFont"/>
    <w:uiPriority w:val="99"/>
    <w:semiHidden/>
    <w:unhideWhenUsed/>
    <w:rsid w:val="00AC05CD"/>
    <w:rPr>
      <w:color w:val="0000FF"/>
      <w:u w:val="single"/>
    </w:rPr>
  </w:style>
  <w:style w:type="paragraph" w:styleId="Header">
    <w:name w:val="header"/>
    <w:basedOn w:val="Normal"/>
    <w:link w:val="HeaderChar"/>
    <w:uiPriority w:val="99"/>
    <w:unhideWhenUsed/>
    <w:rsid w:val="00B631C9"/>
    <w:pPr>
      <w:tabs>
        <w:tab w:val="center" w:pos="4819"/>
        <w:tab w:val="right" w:pos="9638"/>
      </w:tabs>
      <w:spacing w:line="240" w:lineRule="auto"/>
    </w:pPr>
  </w:style>
  <w:style w:type="character" w:customStyle="1" w:styleId="HeaderChar">
    <w:name w:val="Header Char"/>
    <w:basedOn w:val="DefaultParagraphFont"/>
    <w:link w:val="Header"/>
    <w:uiPriority w:val="99"/>
    <w:rsid w:val="00B631C9"/>
    <w:rPr>
      <w:rFonts w:ascii="Times New Roman" w:hAnsi="Times New Roman" w:cs="Times New Roman"/>
      <w:sz w:val="24"/>
      <w:szCs w:val="20"/>
    </w:rPr>
  </w:style>
  <w:style w:type="paragraph" w:styleId="Footer">
    <w:name w:val="footer"/>
    <w:basedOn w:val="Normal"/>
    <w:link w:val="FooterChar"/>
    <w:uiPriority w:val="99"/>
    <w:semiHidden/>
    <w:unhideWhenUsed/>
    <w:rsid w:val="00B631C9"/>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631C9"/>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69840139">
      <w:bodyDiv w:val="1"/>
      <w:marLeft w:val="0"/>
      <w:marRight w:val="0"/>
      <w:marTop w:val="0"/>
      <w:marBottom w:val="0"/>
      <w:divBdr>
        <w:top w:val="none" w:sz="0" w:space="0" w:color="auto"/>
        <w:left w:val="none" w:sz="0" w:space="0" w:color="auto"/>
        <w:bottom w:val="none" w:sz="0" w:space="0" w:color="auto"/>
        <w:right w:val="none" w:sz="0" w:space="0" w:color="auto"/>
      </w:divBdr>
      <w:divsChild>
        <w:div w:id="1138835136">
          <w:marLeft w:val="0"/>
          <w:marRight w:val="0"/>
          <w:marTop w:val="0"/>
          <w:marBottom w:val="0"/>
          <w:divBdr>
            <w:top w:val="none" w:sz="0" w:space="0" w:color="auto"/>
            <w:left w:val="none" w:sz="0" w:space="0" w:color="auto"/>
            <w:bottom w:val="none" w:sz="0" w:space="0" w:color="auto"/>
            <w:right w:val="none" w:sz="0" w:space="0" w:color="auto"/>
          </w:divBdr>
          <w:divsChild>
            <w:div w:id="180318314">
              <w:marLeft w:val="0"/>
              <w:marRight w:val="0"/>
              <w:marTop w:val="0"/>
              <w:marBottom w:val="0"/>
              <w:divBdr>
                <w:top w:val="none" w:sz="0" w:space="0" w:color="auto"/>
                <w:left w:val="none" w:sz="0" w:space="0" w:color="auto"/>
                <w:bottom w:val="none" w:sz="0" w:space="0" w:color="auto"/>
                <w:right w:val="none" w:sz="0" w:space="0" w:color="auto"/>
              </w:divBdr>
            </w:div>
            <w:div w:id="880439319">
              <w:marLeft w:val="0"/>
              <w:marRight w:val="0"/>
              <w:marTop w:val="0"/>
              <w:marBottom w:val="0"/>
              <w:divBdr>
                <w:top w:val="none" w:sz="0" w:space="0" w:color="auto"/>
                <w:left w:val="none" w:sz="0" w:space="0" w:color="auto"/>
                <w:bottom w:val="none" w:sz="0" w:space="0" w:color="auto"/>
                <w:right w:val="none" w:sz="0" w:space="0" w:color="auto"/>
              </w:divBdr>
            </w:div>
          </w:divsChild>
        </w:div>
        <w:div w:id="1138187242">
          <w:marLeft w:val="0"/>
          <w:marRight w:val="0"/>
          <w:marTop w:val="0"/>
          <w:marBottom w:val="0"/>
          <w:divBdr>
            <w:top w:val="none" w:sz="0" w:space="0" w:color="auto"/>
            <w:left w:val="none" w:sz="0" w:space="0" w:color="auto"/>
            <w:bottom w:val="none" w:sz="0" w:space="0" w:color="auto"/>
            <w:right w:val="none" w:sz="0" w:space="0" w:color="auto"/>
          </w:divBdr>
          <w:divsChild>
            <w:div w:id="1931280958">
              <w:marLeft w:val="0"/>
              <w:marRight w:val="0"/>
              <w:marTop w:val="0"/>
              <w:marBottom w:val="0"/>
              <w:divBdr>
                <w:top w:val="none" w:sz="0" w:space="0" w:color="auto"/>
                <w:left w:val="none" w:sz="0" w:space="0" w:color="auto"/>
                <w:bottom w:val="none" w:sz="0" w:space="0" w:color="auto"/>
                <w:right w:val="none" w:sz="0" w:space="0" w:color="auto"/>
              </w:divBdr>
            </w:div>
            <w:div w:id="2147355826">
              <w:marLeft w:val="0"/>
              <w:marRight w:val="0"/>
              <w:marTop w:val="0"/>
              <w:marBottom w:val="0"/>
              <w:divBdr>
                <w:top w:val="none" w:sz="0" w:space="0" w:color="auto"/>
                <w:left w:val="none" w:sz="0" w:space="0" w:color="auto"/>
                <w:bottom w:val="none" w:sz="0" w:space="0" w:color="auto"/>
                <w:right w:val="none" w:sz="0" w:space="0" w:color="auto"/>
              </w:divBdr>
            </w:div>
            <w:div w:id="102963380">
              <w:marLeft w:val="0"/>
              <w:marRight w:val="0"/>
              <w:marTop w:val="0"/>
              <w:marBottom w:val="0"/>
              <w:divBdr>
                <w:top w:val="none" w:sz="0" w:space="0" w:color="auto"/>
                <w:left w:val="none" w:sz="0" w:space="0" w:color="auto"/>
                <w:bottom w:val="none" w:sz="0" w:space="0" w:color="auto"/>
                <w:right w:val="none" w:sz="0" w:space="0" w:color="auto"/>
              </w:divBdr>
            </w:div>
            <w:div w:id="1338654815">
              <w:marLeft w:val="0"/>
              <w:marRight w:val="0"/>
              <w:marTop w:val="0"/>
              <w:marBottom w:val="0"/>
              <w:divBdr>
                <w:top w:val="none" w:sz="0" w:space="0" w:color="auto"/>
                <w:left w:val="none" w:sz="0" w:space="0" w:color="auto"/>
                <w:bottom w:val="none" w:sz="0" w:space="0" w:color="auto"/>
                <w:right w:val="none" w:sz="0" w:space="0" w:color="auto"/>
              </w:divBdr>
            </w:div>
            <w:div w:id="500242132">
              <w:marLeft w:val="0"/>
              <w:marRight w:val="0"/>
              <w:marTop w:val="0"/>
              <w:marBottom w:val="0"/>
              <w:divBdr>
                <w:top w:val="none" w:sz="0" w:space="0" w:color="auto"/>
                <w:left w:val="none" w:sz="0" w:space="0" w:color="auto"/>
                <w:bottom w:val="none" w:sz="0" w:space="0" w:color="auto"/>
                <w:right w:val="none" w:sz="0" w:space="0" w:color="auto"/>
              </w:divBdr>
            </w:div>
          </w:divsChild>
        </w:div>
        <w:div w:id="653489875">
          <w:marLeft w:val="0"/>
          <w:marRight w:val="0"/>
          <w:marTop w:val="0"/>
          <w:marBottom w:val="0"/>
          <w:divBdr>
            <w:top w:val="none" w:sz="0" w:space="0" w:color="auto"/>
            <w:left w:val="none" w:sz="0" w:space="0" w:color="auto"/>
            <w:bottom w:val="none" w:sz="0" w:space="0" w:color="auto"/>
            <w:right w:val="none" w:sz="0" w:space="0" w:color="auto"/>
          </w:divBdr>
          <w:divsChild>
            <w:div w:id="963000603">
              <w:marLeft w:val="0"/>
              <w:marRight w:val="0"/>
              <w:marTop w:val="0"/>
              <w:marBottom w:val="0"/>
              <w:divBdr>
                <w:top w:val="none" w:sz="0" w:space="0" w:color="auto"/>
                <w:left w:val="none" w:sz="0" w:space="0" w:color="auto"/>
                <w:bottom w:val="none" w:sz="0" w:space="0" w:color="auto"/>
                <w:right w:val="none" w:sz="0" w:space="0" w:color="auto"/>
              </w:divBdr>
            </w:div>
            <w:div w:id="1361666387">
              <w:marLeft w:val="0"/>
              <w:marRight w:val="0"/>
              <w:marTop w:val="0"/>
              <w:marBottom w:val="0"/>
              <w:divBdr>
                <w:top w:val="none" w:sz="0" w:space="0" w:color="auto"/>
                <w:left w:val="none" w:sz="0" w:space="0" w:color="auto"/>
                <w:bottom w:val="none" w:sz="0" w:space="0" w:color="auto"/>
                <w:right w:val="none" w:sz="0" w:space="0" w:color="auto"/>
              </w:divBdr>
            </w:div>
            <w:div w:id="15378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4091</Words>
  <Characters>2332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2020-12-14T08:28:00Z</dcterms:created>
  <dcterms:modified xsi:type="dcterms:W3CDTF">2020-12-14T08:28:00Z</dcterms:modified>
</cp:coreProperties>
</file>