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60" w:h="28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3E81C774" wp14:editId="13CD7DB1">
            <wp:extent cx="542925" cy="647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60" w:h="2822" w:hRule="exact" w:hSpace="181" w:wrap="auto" w:vAnchor="page" w:hAnchor="page" w:x="1584" w:y="1153"/>
        <w:jc w:val="center"/>
        <w:rPr>
          <w:sz w:val="10"/>
        </w:rPr>
      </w:pPr>
    </w:p>
    <w:p>
      <w:pPr>
        <w:framePr w:w="9760" w:h="28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60" w:h="28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ŽEMĖS ŪKIO SKYRIUS</w:t>
      </w:r>
    </w:p>
    <w:p>
      <w:pPr>
        <w:framePr w:w="9760" w:h="2822" w:hRule="exact" w:hSpace="181" w:wrap="auto" w:vAnchor="page" w:hAnchor="page" w:x="1584" w:y="1153"/>
        <w:jc w:val="center"/>
        <w:rPr>
          <w:sz w:val="20"/>
        </w:rPr>
      </w:pPr>
    </w:p>
    <w:p>
      <w:pPr>
        <w:framePr w:w="9760" w:h="28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Biudžetinė įstaiga, Laisvės a. 12, LT-59126 Prienai, </w:t>
      </w:r>
    </w:p>
    <w:p>
      <w:pPr>
        <w:framePr w:w="9760" w:h="28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61 160, el. p. </w:t>
      </w:r>
      <w:r>
        <w:rPr>
          <w:color w:val="0000FF"/>
          <w:sz w:val="20"/>
          <w:u w:val="single"/>
        </w:rPr>
        <w:t>zemesukis@prienai.lt</w:t>
      </w:r>
      <w:r>
        <w:rPr>
          <w:sz w:val="20"/>
        </w:rPr>
        <w:t>.</w:t>
      </w:r>
    </w:p>
    <w:p>
      <w:pPr>
        <w:framePr w:w="9760" w:h="28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60" w:h="28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5BACE4" wp14:editId="51048C81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60" w:h="28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60" w:h="28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60" w:h="28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60" w:h="28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60" w:h="28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jc w:val="both"/>
        <w:rPr>
          <w:szCs w:val="24"/>
          <w:lang w:val="en-US"/>
        </w:rPr>
      </w:pPr>
    </w:p>
    <w:p>
      <w:pPr>
        <w:spacing w:line="360" w:lineRule="auto"/>
        <w:ind w:right="567"/>
        <w:jc w:val="center"/>
        <w:rPr>
          <w:szCs w:val="24"/>
        </w:rPr>
      </w:pPr>
    </w:p>
    <w:p>
      <w:pPr>
        <w:spacing w:line="360" w:lineRule="auto"/>
        <w:ind w:right="567"/>
        <w:jc w:val="both"/>
        <w:rPr>
          <w:szCs w:val="24"/>
        </w:rPr>
      </w:pPr>
    </w:p>
    <w:p>
      <w:pPr>
        <w:spacing w:line="360" w:lineRule="auto"/>
        <w:ind w:right="567"/>
        <w:jc w:val="center"/>
        <w:rPr>
          <w:szCs w:val="24"/>
        </w:rPr>
      </w:pPr>
    </w:p>
    <w:p>
      <w:pPr>
        <w:spacing w:line="360" w:lineRule="auto"/>
        <w:ind w:right="567"/>
        <w:jc w:val="both"/>
        <w:rPr>
          <w:szCs w:val="24"/>
        </w:rPr>
      </w:pPr>
    </w:p>
    <w:p>
      <w:pPr>
        <w:tabs>
          <w:tab w:val="left" w:pos="6237"/>
          <w:tab w:val="right" w:pos="8306"/>
        </w:tabs>
        <w:rPr>
          <w:szCs w:val="24"/>
        </w:rPr>
      </w:pPr>
    </w:p>
    <w:p>
      <w:pPr>
        <w:tabs>
          <w:tab w:val="left" w:pos="6237"/>
          <w:tab w:val="right" w:pos="8306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rPr>
          <w:szCs w:val="24"/>
        </w:rPr>
      </w:pPr>
    </w:p>
    <w:p>
      <w:pPr>
        <w:rPr>
          <w:szCs w:val="24"/>
        </w:rPr>
      </w:pPr>
    </w:p>
    <w:p>
      <w:pPr>
        <w:spacing w:line="276" w:lineRule="auto"/>
        <w:ind w:right="278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bCs/>
          <w:color w:val="000000"/>
          <w:szCs w:val="24"/>
        </w:rPr>
        <w:t>DĖL PRIENŲ RAJONO SAVIVALDYBĖS 2021–2023 M. MELIORACIJOS PROGRAMOS PATVIRTINIMO</w:t>
      </w:r>
      <w:r>
        <w:rPr>
          <w:b/>
          <w:szCs w:val="24"/>
        </w:rPr>
        <w:t>“</w:t>
      </w:r>
      <w:r>
        <w:rPr>
          <w:b/>
          <w:bCs/>
          <w:szCs w:val="24"/>
        </w:rPr>
        <w:t xml:space="preserve"> PROJEKTO </w:t>
      </w:r>
    </w:p>
    <w:p>
      <w:pPr>
        <w:spacing w:line="276" w:lineRule="auto"/>
        <w:ind w:right="278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aiškinamasis Raštas</w:t>
      </w:r>
    </w:p>
    <w:p>
      <w:pPr>
        <w:spacing w:line="360" w:lineRule="auto"/>
        <w:jc w:val="center"/>
        <w:rPr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2021-04-16</w:t>
      </w:r>
    </w:p>
    <w:p>
      <w:pPr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</w:p>
    <w:p>
      <w:pPr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Parengto sprendimo projekto tikslas – patvirtinti Prienų rajono savivaldybės </w:t>
      </w:r>
      <w:r>
        <w:rPr>
          <w:bCs/>
          <w:color w:val="000000"/>
          <w:szCs w:val="24"/>
        </w:rPr>
        <w:t>2021–2023 m. melioracijos programą.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Programa skirta savivaldybės teritorijoje esančių, valstybei nuosavybės teise priklausančių melioracijos statinių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eastAsia="lt-LT"/>
        </w:rPr>
        <w:t>ir įrenginių, kuriuos patikėjimo teise valdo ir naudoja Prienų rajono savivaldybė, racionalaus naudojimo tikslui ir uždaviniams nustatyti, priemonėms ir būtinoms lėšoms numatyti, programos vertinimo rezultatams nustatyti.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szCs w:val="24"/>
        </w:rPr>
        <w:t>Šis sprendimo projektas parengtas</w:t>
      </w:r>
      <w:r>
        <w:rPr>
          <w:rFonts w:eastAsia="Calibri"/>
          <w:szCs w:val="24"/>
        </w:rPr>
        <w:t xml:space="preserve"> vadovaujantis Lietuvos Respublikos </w:t>
      </w:r>
      <w:r>
        <w:rPr>
          <w:color w:val="000000"/>
          <w:szCs w:val="24"/>
        </w:rPr>
        <w:t>žemės ūkio ministro 2013 m. kovo 21 d. įsakymu Nr. 3D-211 „Dėl Valstybei nuosavybės teise priklausančių melioracijos statinių ir melioracijos sistemų naudojimo, būklės vertinimo ir melioracijos darbų finansavimo taisyklių patvirtinimo“ patvirtintomis taisyklėmis.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Laukiami rezultatai: </w:t>
      </w:r>
      <w:r>
        <w:rPr>
          <w:color w:val="000000"/>
          <w:szCs w:val="24"/>
          <w:lang w:eastAsia="lt-LT"/>
        </w:rPr>
        <w:t>Bus užtikrintas racionalus lėšų panaudojimas, suremontuoti melioracijos statiniai, pagerės melioruotos žemės būklė.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Programos įgyvendinimas bus finansuojamas iš valstybės biudžeto specialių tikslinių dotacijų savivaldybių biudžetams lėšų. 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Valstybės lėšomis finansuojamų melioracijos darbų žemė ūkio paskirties žemėje objektams parinkti komisija 2021-04-15 posėdyje Prienų rajono savivaldybės </w:t>
      </w:r>
      <w:r>
        <w:rPr>
          <w:bCs/>
          <w:color w:val="000000"/>
          <w:szCs w:val="24"/>
        </w:rPr>
        <w:t xml:space="preserve">2021–2023 m. melioracijos programai </w:t>
      </w:r>
      <w:r>
        <w:rPr>
          <w:szCs w:val="24"/>
        </w:rPr>
        <w:t>pritarė.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  <w:lang w:eastAsia="lt-LT"/>
        </w:rPr>
        <w:t xml:space="preserve">Nepridedamas. </w:t>
      </w:r>
    </w:p>
    <w:p>
      <w:pPr>
        <w:tabs>
          <w:tab w:val="left" w:pos="1276"/>
          <w:tab w:val="center" w:pos="4820"/>
          <w:tab w:val="left" w:pos="6237"/>
          <w:tab w:val="right" w:pos="8306"/>
        </w:tabs>
        <w:spacing w:line="276" w:lineRule="auto"/>
        <w:rPr>
          <w:szCs w:val="24"/>
        </w:rPr>
      </w:pPr>
    </w:p>
    <w:p>
      <w:pPr>
        <w:tabs>
          <w:tab w:val="left" w:pos="1276"/>
          <w:tab w:val="center" w:pos="4820"/>
          <w:tab w:val="left" w:pos="6237"/>
          <w:tab w:val="right" w:pos="8306"/>
        </w:tabs>
        <w:spacing w:line="276" w:lineRule="auto"/>
        <w:rPr>
          <w:szCs w:val="24"/>
        </w:rPr>
      </w:pPr>
    </w:p>
    <w:p>
      <w:pPr>
        <w:tabs>
          <w:tab w:val="left" w:pos="1276"/>
          <w:tab w:val="center" w:pos="4820"/>
          <w:tab w:val="left" w:pos="6237"/>
          <w:tab w:val="right" w:pos="8306"/>
        </w:tabs>
        <w:spacing w:line="276" w:lineRule="auto"/>
        <w:rPr>
          <w:szCs w:val="24"/>
        </w:rPr>
      </w:pPr>
      <w:r>
        <w:rPr>
          <w:szCs w:val="24"/>
        </w:rPr>
        <w:t>Skyriaus vedėja</w:t>
        <w:tab/>
        <w:tab/>
        <w:tab/>
        <w:t xml:space="preserve">                   Aušra Tamošiūnienė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276" w:right="567" w:bottom="851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98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1794</Characters>
  <Application>Microsoft Office Word</Application>
  <DocSecurity>4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2021-04-22T10:02:00Z</dcterms:created>
  <dc:creator>-</dc:creator>
  <lastModifiedBy>adlibuser</lastModifiedBy>
  <lastPrinted>2021-04-20T06:24:00Z</lastPrinted>
  <dcterms:modified xsi:type="dcterms:W3CDTF">2021-04-22T10:02:00Z</dcterms:modified>
  <revision>2</revision>
</coreProperties>
</file>