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ee2d53dedf4686a152fc00fa44669f"/>
        <w:lock w:val="sdtLocked"/>
        <w:richText/>
      </w:sdtPr>
      <w:sdtContent>
        <w:p>
          <w:pPr>
            <w:tabs>
              <w:tab w:val="center" w:pos="4986"/>
              <w:tab w:val="right" w:pos="9972"/>
            </w:tabs>
            <w:rPr>
              <w:sz w:val="22"/>
              <w:szCs w:val="22"/>
            </w:rPr>
          </w:pPr>
        </w:p>
        <w:p>
          <w:pPr>
            <w:jc w:val="center"/>
            <w:rPr>
              <w:b/>
              <w:szCs w:val="24"/>
              <w:lang w:val="en-GB"/>
            </w:rPr>
          </w:pPr>
          <w:r>
            <w:rPr>
              <w:b/>
              <w:szCs w:val="24"/>
            </w:rPr>
            <w:t>ŠIAULIŲ MIESTO SAVIVALDYBĖS ADMINISTRACIJOS</w:t>
          </w:r>
        </w:p>
        <w:sdt>
          <w:sdtPr>
            <w:alias w:val="skyrius"/>
            <w:tag w:val="part_20b0530cb69849c9bcee96788d377899"/>
            <w:lock w:val="sdtLocked"/>
            <w:richText/>
          </w:sdtPr>
          <w:sdtContent>
            <w:p>
              <w:pPr>
                <w:suppressAutoHyphens/>
                <w:jc w:val="center"/>
                <w:rPr>
                  <w:b/>
                  <w:szCs w:val="24"/>
                </w:rPr>
              </w:pPr>
              <w:r>
                <w:rPr>
                  <w:b/>
                  <w:szCs w:val="24"/>
                </w:rPr>
                <w:t xml:space="preserve">MIESTO ŪKIO IR APLINKOS SKYRIUS </w:t>
              </w:r>
            </w:p>
            <w:p>
              <w:pPr>
                <w:suppressAutoHyphens/>
                <w:jc w:val="center"/>
                <w:rPr>
                  <w:b/>
                  <w:szCs w:val="24"/>
                </w:rPr>
              </w:pPr>
            </w:p>
            <w:p>
              <w:pPr>
                <w:suppressAutoHyphens/>
                <w:spacing w:line="259" w:lineRule="auto"/>
                <w:jc w:val="center"/>
                <w:textAlignment w:val="baseline"/>
                <w:rPr>
                  <w:color w:val="000000"/>
                  <w:szCs w:val="24"/>
                  <w:lang w:eastAsia="zh-CN"/>
                </w:rPr>
              </w:pPr>
              <w:sdt>
                <w:sdtPr>
                  <w:alias w:val="Pavadinimas"/>
                  <w:tag w:val="title_20b0530cb69849c9bcee96788d377899"/>
                  <w:lock w:val="sdtLocked"/>
                  <w:richText/>
                </w:sdtPr>
                <w:sdtContent>
                  <w:r>
                    <w:rPr>
                      <w:b/>
                      <w:szCs w:val="24"/>
                    </w:rPr>
                    <w:t xml:space="preserve">SPRENDIMO </w:t>
                  </w:r>
                  <w:r>
                    <w:rPr>
                      <w:b/>
                      <w:bCs/>
                      <w:color w:val="000000"/>
                      <w:szCs w:val="24"/>
                      <w:lang w:eastAsia="lt-LT"/>
                    </w:rPr>
                    <w:t xml:space="preserve">DĖL ŠIAULIŲ MIESTO SAVIVALDYBĖS TARYBOS 2022 M. BALANDŽIO 7 D. SPRENDIMO NR. T-106 „DĖL ŠIAULIŲ MIESTO SAVIVALDYBĖS </w:t>
                  </w:r>
                  <w:r>
                    <w:rPr>
                      <w:rFonts w:eastAsia="SimSun"/>
                      <w:b/>
                      <w:caps/>
                      <w:color w:val="000000"/>
                      <w:szCs w:val="24"/>
                      <w:lang w:eastAsia="zh-CN"/>
                    </w:rPr>
                    <w:t>ŽELDYNŲ IR ŽELDINIŲ APSAUGOS, PRIEŽIŪROS IR TVARKYMO KOMISIJOS SUDARYMO IR JOS NUOSTATŲ PATVIRTINIMO“ PAKEITIMO</w:t>
                  </w:r>
                </w:sdtContent>
              </w:sdt>
            </w:p>
            <w:p>
              <w:pPr>
                <w:rPr>
                  <w:sz w:val="14"/>
                  <w:szCs w:val="14"/>
                </w:rPr>
              </w:pPr>
            </w:p>
            <w:p>
              <w:pPr>
                <w:keepNext/>
                <w:jc w:val="center"/>
                <w:rPr>
                  <w:b/>
                  <w:szCs w:val="24"/>
                </w:rPr>
              </w:pPr>
            </w:p>
            <w:sdt>
              <w:sdtPr>
                <w:alias w:val="poskyris"/>
                <w:tag w:val="part_7edad48be77e41c5ad041561532d743a"/>
                <w:lock w:val="sdtLocked"/>
                <w:richText/>
              </w:sdtPr>
              <w:sdtContent>
                <w:p>
                  <w:pPr>
                    <w:suppressAutoHyphens/>
                    <w:jc w:val="center"/>
                    <w:rPr>
                      <w:b/>
                      <w:szCs w:val="24"/>
                      <w:lang w:val="en-GB"/>
                    </w:rPr>
                  </w:pPr>
                  <w:sdt>
                    <w:sdtPr>
                      <w:alias w:val="Pavadinimas"/>
                      <w:tag w:val="title_7edad48be77e41c5ad041561532d743a"/>
                      <w:lock w:val="sdtLocked"/>
                      <w:richText/>
                    </w:sdtPr>
                    <w:sdtContent>
                      <w:r>
                        <w:rPr>
                          <w:b/>
                          <w:szCs w:val="24"/>
                        </w:rPr>
                        <w:t>AIŠKINAMASIS RAŠTAS</w:t>
                      </w:r>
                    </w:sdtContent>
                  </w:sdt>
                </w:p>
                <w:p>
                  <w:pPr>
                    <w:suppressAutoHyphens/>
                    <w:jc w:val="center"/>
                    <w:rPr>
                      <w:szCs w:val="24"/>
                    </w:rPr>
                  </w:pPr>
                </w:p>
                <w:p>
                  <w:pPr>
                    <w:suppressAutoHyphens/>
                    <w:jc w:val="center"/>
                    <w:rPr>
                      <w:szCs w:val="24"/>
                      <w:lang w:val="en-GB"/>
                    </w:rPr>
                  </w:pPr>
                  <w:r>
                    <w:rPr>
                      <w:szCs w:val="24"/>
                    </w:rPr>
                    <w:t>2025 m. vasario 21 d. Nr.</w:t>
                  </w:r>
                </w:p>
                <w:p>
                  <w:pPr>
                    <w:suppressAutoHyphens/>
                    <w:jc w:val="center"/>
                    <w:rPr>
                      <w:szCs w:val="24"/>
                      <w:lang w:val="en-GB"/>
                    </w:rPr>
                  </w:pPr>
                  <w:r>
                    <w:rPr>
                      <w:szCs w:val="24"/>
                    </w:rPr>
                    <w:t>Šiauliai</w:t>
                  </w:r>
                </w:p>
                <w:p>
                  <w:pPr>
                    <w:suppressAutoHyphens/>
                    <w:rPr>
                      <w:szCs w:val="24"/>
                    </w:rPr>
                  </w:pPr>
                </w:p>
              </w:sdtContent>
            </w:sdt>
            <w:sdt>
              <w:sdtPr>
                <w:alias w:val="poskyris"/>
                <w:tag w:val="part_32c9a49dadbf47d197b72299be20fc6b"/>
                <w:lock w:val="sdtLocked"/>
                <w:richText/>
              </w:sdtPr>
              <w:sdtContent>
                <w:p>
                  <w:pPr>
                    <w:tabs>
                      <w:tab w:val="left" w:pos="855"/>
                    </w:tabs>
                    <w:suppressAutoHyphens/>
                    <w:ind w:firstLine="855"/>
                    <w:jc w:val="both"/>
                    <w:rPr>
                      <w:szCs w:val="24"/>
                      <w:lang w:val="en-GB"/>
                    </w:rPr>
                  </w:pPr>
                  <w:sdt>
                    <w:sdtPr>
                      <w:alias w:val="Pavadinimas"/>
                      <w:tag w:val="title_32c9a49dadbf47d197b72299be20fc6b"/>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pPr>
                    <w:tabs>
                      <w:tab w:val="left" w:pos="855"/>
                    </w:tabs>
                    <w:suppressAutoHyphens/>
                    <w:ind w:firstLine="855"/>
                    <w:jc w:val="both"/>
                    <w:rPr>
                      <w:rFonts w:eastAsia="SimSun"/>
                      <w:strike/>
                      <w:color w:val="000000"/>
                      <w:szCs w:val="24"/>
                      <w:lang w:eastAsia="lt-LT"/>
                    </w:rPr>
                  </w:pPr>
                  <w:r>
                    <w:rPr>
                      <w:rFonts w:eastAsia="SimSun"/>
                      <w:color w:val="000000"/>
                      <w:szCs w:val="24"/>
                      <w:lang w:eastAsia="lt-LT"/>
                    </w:rPr>
                    <w:t xml:space="preserve">Pakeisti Šiaulių miesto savivaldybės tarybos 2022 m. balandžio 7 d. sprendimu Nr. T-106 „Dėl Šiaulių miesto savivaldybės želdynų ir želdinių apsaugos, priežiūros ir tvarkymo komisijos sudarymo ir jos nuostatų patvirtinimo“ sudarytą  Šiaulių miesto želdynų ir želdinių apsaugos, priežiūros ir tvarkymo komisijos (toliau – Komisija) sudėtį bei atnaujinti </w:t>
                  </w:r>
                  <w:r>
                    <w:rPr>
                      <w:color w:val="000000"/>
                      <w:szCs w:val="24"/>
                    </w:rPr>
                    <w:t>Šiaulių miesto želdynų ir želdinių apsaugos ir priežiūros komisijos nuostatus (toliau – Nuostatai)</w:t>
                  </w:r>
                  <w:r>
                    <w:rPr>
                      <w:rFonts w:eastAsia="SimSun"/>
                      <w:color w:val="000000"/>
                      <w:szCs w:val="24"/>
                      <w:lang w:eastAsia="lt-LT"/>
                    </w:rPr>
                    <w:t xml:space="preserve">. </w:t>
                  </w:r>
                </w:p>
                <w:p>
                  <w:pPr>
                    <w:tabs>
                      <w:tab w:val="left" w:pos="855"/>
                    </w:tabs>
                    <w:suppressAutoHyphens/>
                    <w:jc w:val="both"/>
                    <w:rPr>
                      <w:i/>
                      <w:szCs w:val="24"/>
                      <w:shd w:val="clear" w:color="auto" w:fill="FFFFFF"/>
                    </w:rPr>
                  </w:pPr>
                </w:p>
              </w:sdtContent>
            </w:sdt>
            <w:sdt>
              <w:sdtPr>
                <w:alias w:val="poskyris"/>
                <w:tag w:val="part_6376ecc77cc343c28f0fdd3b8864ac9c"/>
                <w:lock w:val="sdtLocked"/>
                <w:richText/>
              </w:sdtPr>
              <w:sdtContent>
                <w:p>
                  <w:pPr>
                    <w:tabs>
                      <w:tab w:val="left" w:pos="855"/>
                    </w:tabs>
                    <w:suppressAutoHyphens/>
                    <w:ind w:firstLine="855"/>
                    <w:jc w:val="both"/>
                    <w:rPr>
                      <w:b/>
                      <w:szCs w:val="24"/>
                      <w:shd w:val="clear" w:color="auto" w:fill="FFFFFF"/>
                    </w:rPr>
                  </w:pPr>
                  <w:sdt>
                    <w:sdtPr>
                      <w:alias w:val="Pavadinimas"/>
                      <w:tag w:val="title_6376ecc77cc343c28f0fdd3b8864ac9c"/>
                      <w:lock w:val="sdtLocked"/>
                      <w:richText/>
                    </w:sdtPr>
                    <w:sdtContent>
                      <w:r>
                        <w:rPr>
                          <w:b/>
                          <w:szCs w:val="24"/>
                          <w:shd w:val="clear" w:color="auto" w:fill="FFFFFF"/>
                        </w:rPr>
                        <w:t xml:space="preserve">Dabartinis sprendimo projekte aptariamų klausimų reguliavimas. </w:t>
                      </w:r>
                    </w:sdtContent>
                  </w:sdt>
                </w:p>
                <w:p>
                  <w:pPr>
                    <w:tabs>
                      <w:tab w:val="left" w:pos="855"/>
                    </w:tabs>
                    <w:suppressAutoHyphens/>
                    <w:ind w:firstLine="855"/>
                    <w:jc w:val="both"/>
                    <w:rPr>
                      <w:szCs w:val="24"/>
                    </w:rPr>
                  </w:pPr>
                  <w:r>
                    <w:rPr>
                      <w:szCs w:val="24"/>
                    </w:rPr>
                    <w:t xml:space="preserve">Šiuo metu Komisija dirba vadovaujantis </w:t>
                  </w:r>
                  <w:r>
                    <w:rPr>
                      <w:rFonts w:eastAsia="SimSun"/>
                      <w:color w:val="000000"/>
                      <w:szCs w:val="24"/>
                      <w:lang w:eastAsia="lt-LT"/>
                    </w:rPr>
                    <w:t>Šiaulių miesto savivaldybės tarybos 2022 m. balandžio 7 d. sprendimu Nr. T-106 „Dėl Šiaulių miesto savivaldybės želdynų ir želdinių apsaugos, priežiūros ir tvarkymo komisijos sudarymo ir jos nuostatų patvirtinimo“</w:t>
                  </w:r>
                  <w:r>
                    <w:rPr>
                      <w:szCs w:val="24"/>
                    </w:rPr>
                    <w:t xml:space="preserve">. Naujausia Komisijos sudėtis buvo pakeista 2024 m. liepos 5 d. Šiaulių miesto savivaldybės tarybos sprendimu  Nr. T-293.</w:t>
                  </w:r>
                </w:p>
                <w:p>
                  <w:pPr>
                    <w:tabs>
                      <w:tab w:val="left" w:pos="855"/>
                    </w:tabs>
                    <w:suppressAutoHyphens/>
                    <w:ind w:firstLine="917"/>
                    <w:jc w:val="both"/>
                    <w:rPr>
                      <w:b/>
                      <w:szCs w:val="24"/>
                      <w:shd w:val="clear" w:color="auto" w:fill="FFFFFF"/>
                    </w:rPr>
                  </w:pPr>
                </w:p>
              </w:sdtContent>
            </w:sdt>
            <w:sdt>
              <w:sdtPr>
                <w:alias w:val="poskyris"/>
                <w:tag w:val="part_736312f58252426089b740e6934a925b"/>
                <w:lock w:val="sdtLocked"/>
                <w:richText/>
              </w:sdtPr>
              <w:sdtContent>
                <w:p>
                  <w:pPr>
                    <w:tabs>
                      <w:tab w:val="left" w:pos="855"/>
                    </w:tabs>
                    <w:suppressAutoHyphens/>
                    <w:ind w:firstLine="855"/>
                    <w:jc w:val="both"/>
                    <w:rPr>
                      <w:szCs w:val="24"/>
                      <w:lang w:val="en-GB"/>
                    </w:rPr>
                  </w:pPr>
                  <w:sdt>
                    <w:sdtPr>
                      <w:alias w:val="Pavadinimas"/>
                      <w:tag w:val="title_736312f58252426089b740e6934a925b"/>
                      <w:lock w:val="sdtLocked"/>
                      <w:richText/>
                    </w:sdtPr>
                    <w:sdtContent>
                      <w:r>
                        <w:rPr>
                          <w:b/>
                          <w:szCs w:val="24"/>
                          <w:shd w:val="clear" w:color="auto" w:fill="FFFFFF"/>
                        </w:rPr>
                        <w:t>Sprendimo projekte numatytos naujos teisinio reglamentavimo nuostatos</w:t>
                      </w:r>
                      <w:r>
                        <w:rPr>
                          <w:b/>
                          <w:szCs w:val="24"/>
                        </w:rPr>
                        <w:t>.</w:t>
                      </w:r>
                    </w:sdtContent>
                  </w:sdt>
                </w:p>
                <w:p>
                  <w:pPr>
                    <w:tabs>
                      <w:tab w:val="left" w:pos="855"/>
                    </w:tabs>
                    <w:suppressAutoHyphens/>
                    <w:ind w:firstLine="855"/>
                    <w:jc w:val="both"/>
                    <w:rPr>
                      <w:szCs w:val="24"/>
                    </w:rPr>
                  </w:pPr>
                  <w:r>
                    <w:rPr>
                      <w:szCs w:val="24"/>
                    </w:rPr>
                    <w:t>Nuo 2024 m. spalio 14 d.</w:t>
                  </w:r>
                  <w:r>
                    <w:rPr>
                      <w:rFonts w:eastAsia="SimSun"/>
                      <w:color w:val="000000"/>
                      <w:szCs w:val="24"/>
                      <w:lang w:eastAsia="lt-LT"/>
                    </w:rPr>
                    <w:t xml:space="preserve"> Šiaulių miesto savivaldybės administracijos Miesto ūkio ir aplinkos skyriaus Aplinkosaugos ir miesto tvarkymo poskyryje pradėjo dirbti  vyriausioji specialistė</w:t>
                  </w:r>
                  <w:r>
                    <w:rPr>
                      <w:szCs w:val="24"/>
                    </w:rPr>
                    <w:t xml:space="preserve"> </w:t>
                  </w:r>
                  <w:r>
                    <w:rPr>
                      <w:rFonts w:eastAsia="SimSun"/>
                      <w:color w:val="000000"/>
                      <w:szCs w:val="24"/>
                      <w:lang w:eastAsia="lt-LT"/>
                    </w:rPr>
                    <w:t xml:space="preserve">Roberta Dubosaitė–Lepeškevičė, kuri pagal pareigybės aprašymą yra atsakinga už sprendimų priėmimą dėl medžių kirtimo bei genėjimo, o taip pat ir už Komisijos darbo organizavimą. Atsižvelgiant į tai, šiuo sprendimo projektu siūloma vyr. specialistę įtraukti į Komisijos sudėtį, kaip narę – sekretorę, kuri nagrinėja prašymus dėl želdinių kirtimo, ir pagal Želdynų įstatymo reikalavimus, tam tikrais atvejais juos perduos svarstyti Komisijai, o taip pat organizuos Komisijos darbą. </w:t>
                  </w:r>
                  <w:r>
                    <w:rPr>
                      <w:szCs w:val="24"/>
                    </w:rPr>
                    <w:tab/>
                  </w:r>
                </w:p>
                <w:p>
                  <w:pPr>
                    <w:tabs>
                      <w:tab w:val="left" w:pos="855"/>
                    </w:tabs>
                    <w:suppressAutoHyphens/>
                    <w:ind w:firstLine="855"/>
                    <w:jc w:val="both"/>
                    <w:rPr>
                      <w:szCs w:val="24"/>
                    </w:rPr>
                  </w:pPr>
                  <w:r>
                    <w:rPr>
                      <w:szCs w:val="24"/>
                    </w:rPr>
                    <w:t>Nuo 2024 m. pabaigoje Šiaulių miesto savivaldybės narė Roma Janušonienė tapo seimo nare ir Komisijos darbe nebedalyvauja. Atsirado poreikis atnaujinti Komisijos sudėtį.</w:t>
                  </w:r>
                </w:p>
                <w:p>
                  <w:pPr>
                    <w:tabs>
                      <w:tab w:val="left" w:pos="855"/>
                    </w:tabs>
                    <w:suppressAutoHyphens/>
                    <w:ind w:firstLine="855"/>
                    <w:jc w:val="both"/>
                    <w:rPr>
                      <w:bCs/>
                      <w:szCs w:val="24"/>
                    </w:rPr>
                  </w:pPr>
                  <w:r>
                    <w:rPr>
                      <w:bCs/>
                      <w:szCs w:val="24"/>
                    </w:rPr>
                    <w:t xml:space="preserve">Kvietimas tapti Želdynų ir želdinių apsaugos, priežiūros ir tvarkymo komisijos nariu buvo paskelbtas Šiaulių miesto savivaldybės internetinėje svetainėje </w:t>
                  </w:r>
                  <w:r>
                    <w:rPr>
                      <w:bCs/>
                      <w:color w:val="0563C1"/>
                      <w:szCs w:val="24"/>
                      <w:u w:val="single"/>
                    </w:rPr>
                    <w:t>www.siauliai.lt</w:t>
                  </w:r>
                  <w:r>
                    <w:rPr>
                      <w:bCs/>
                      <w:szCs w:val="24"/>
                    </w:rPr>
                    <w:t xml:space="preserve"> nuo 2025-01-13 iki 2025-01-24. Komisijos darbe sutiko dalyvauti Šiaulių miesto savivaldybės tarybos narė Irina Barabanova. Daugiau pageidavimų nebuvo gauta. </w:t>
                  </w:r>
                  <w:r>
                    <w:rPr>
                      <w:szCs w:val="24"/>
                      <w:shd w:val="clear" w:color="auto" w:fill="FFFFFF"/>
                    </w:rPr>
                    <w:t>Komisija sudaroma vadovaujantis Želdynų įstatymo 25 str. Komisijos narių atranka vykdoma vadovaujantis 2023 m. rugpjūčio 11 d. Šiaulių miesto savivaldybės mero potvarkiu Nr. M-730 „D</w:t>
                  </w:r>
                  <w:r>
                    <w:rPr>
                      <w:bCs/>
                      <w:szCs w:val="24"/>
                    </w:rPr>
                    <w:t xml:space="preserve">ėl </w:t>
                  </w:r>
                  <w:r>
                    <w:rPr>
                      <w:szCs w:val="24"/>
                    </w:rPr>
                    <w:t xml:space="preserve">želdynų ir želdinių apsaugos, priežiūros ir tvarkymo </w:t>
                  </w:r>
                  <w:r>
                    <w:rPr>
                      <w:bCs/>
                      <w:szCs w:val="24"/>
                    </w:rPr>
                    <w:t>komisijos narių atrankos kriterijų patvirtinimo“ (toliau – kriterijai).</w:t>
                  </w:r>
                </w:p>
                <w:p>
                  <w:pPr>
                    <w:widowControl w:val="0"/>
                    <w:tabs>
                      <w:tab w:val="left" w:pos="4260"/>
                    </w:tabs>
                    <w:ind w:firstLine="851"/>
                    <w:jc w:val="both"/>
                    <w:rPr>
                      <w:color w:val="000000"/>
                      <w:szCs w:val="24"/>
                    </w:rPr>
                  </w:pPr>
                  <w:r>
                    <w:rPr>
                      <w:color w:val="000000"/>
                      <w:szCs w:val="24"/>
                    </w:rPr>
                    <w:t>Taip pat šiuo sprendimo projektu siūloma atnaujinti Nuostatus, kurie papildomi šiais aspektais:</w:t>
                  </w:r>
                </w:p>
                <w:sdt>
                  <w:sdtPr>
                    <w:alias w:val="1 p."/>
                    <w:tag w:val="part_8a451b7f65074912a208b8ab3b1e8909"/>
                    <w:lock w:val="sdtLocked"/>
                    <w:richText/>
                  </w:sdtPr>
                  <w:sdtContent>
                    <w:p>
                      <w:pPr>
                        <w:widowControl w:val="0"/>
                        <w:tabs>
                          <w:tab w:val="left" w:pos="4260"/>
                        </w:tabs>
                        <w:ind w:firstLine="851"/>
                        <w:jc w:val="both"/>
                        <w:rPr>
                          <w:szCs w:val="24"/>
                        </w:rPr>
                      </w:pPr>
                      <w:sdt>
                        <w:sdtPr>
                          <w:alias w:val="Numeris"/>
                          <w:tag w:val="nr_8a451b7f65074912a208b8ab3b1e8909"/>
                          <w:lock w:val="sdtLocked"/>
                          <w:richText/>
                        </w:sdtPr>
                        <w:sdtContent>
                          <w:r>
                            <w:rPr>
                              <w:szCs w:val="24"/>
                              <w:lang w:bidi="lt-LT"/>
                            </w:rPr>
                            <w:t>1</w:t>
                          </w:r>
                        </w:sdtContent>
                      </w:sdt>
                      <w:r>
                        <w:rPr>
                          <w:szCs w:val="24"/>
                          <w:lang w:bidi="lt-LT"/>
                        </w:rPr>
                        <w:t>. Komisijos darbas grindžiamas kolegialumo, nešališkumo, teisėtumo, viešumo, protingumo, sąžiningumo, interesų konfliktų vengimo principais.</w:t>
                      </w:r>
                      <w:r>
                        <w:rPr>
                          <w:szCs w:val="24"/>
                        </w:rPr>
                        <w:t xml:space="preserve"> Priimdama sprendimus, Komisija yra savarankiška;</w:t>
                      </w:r>
                    </w:p>
                  </w:sdtContent>
                </w:sdt>
                <w:sdt>
                  <w:sdtPr>
                    <w:alias w:val="2 p."/>
                    <w:tag w:val="part_bd5e283ade694ffdaff74e3dec9ca238"/>
                    <w:lock w:val="sdtLocked"/>
                    <w:richText/>
                  </w:sdtPr>
                  <w:sdtContent>
                    <w:p>
                      <w:pPr>
                        <w:widowControl w:val="0"/>
                        <w:tabs>
                          <w:tab w:val="left" w:pos="4260"/>
                        </w:tabs>
                        <w:ind w:firstLine="851"/>
                        <w:jc w:val="both"/>
                        <w:rPr>
                          <w:szCs w:val="24"/>
                        </w:rPr>
                      </w:pPr>
                      <w:sdt>
                        <w:sdtPr>
                          <w:alias w:val="Numeris"/>
                          <w:tag w:val="nr_bd5e283ade694ffdaff74e3dec9ca238"/>
                          <w:lock w:val="sdtLocked"/>
                          <w:richText/>
                        </w:sdtPr>
                        <w:sdtContent>
                          <w:r>
                            <w:rPr>
                              <w:szCs w:val="24"/>
                            </w:rPr>
                            <w:t>2</w:t>
                          </w:r>
                        </w:sdtContent>
                      </w:sdt>
                      <w:r>
                        <w:rPr>
                          <w:szCs w:val="24"/>
                        </w:rPr>
                        <w:t>. aprašomos Komisijos sekretoriaus pareigos;</w:t>
                      </w:r>
                    </w:p>
                  </w:sdtContent>
                </w:sdt>
                <w:sdt>
                  <w:sdtPr>
                    <w:alias w:val="3 p."/>
                    <w:tag w:val="part_65f20963c4af44ad96572099c9f7da47"/>
                    <w:lock w:val="sdtLocked"/>
                    <w:richText/>
                  </w:sdtPr>
                  <w:sdtContent>
                    <w:p>
                      <w:pPr>
                        <w:widowControl w:val="0"/>
                        <w:tabs>
                          <w:tab w:val="left" w:pos="4260"/>
                        </w:tabs>
                        <w:ind w:firstLine="851"/>
                        <w:jc w:val="both"/>
                        <w:rPr>
                          <w:szCs w:val="24"/>
                        </w:rPr>
                      </w:pPr>
                      <w:sdt>
                        <w:sdtPr>
                          <w:alias w:val="Numeris"/>
                          <w:tag w:val="nr_65f20963c4af44ad96572099c9f7da47"/>
                          <w:lock w:val="sdtLocked"/>
                          <w:richText/>
                        </w:sdtPr>
                        <w:sdtContent>
                          <w:r>
                            <w:rPr>
                              <w:szCs w:val="24"/>
                            </w:rPr>
                            <w:t>3</w:t>
                          </w:r>
                        </w:sdtContent>
                      </w:sdt>
                      <w:r>
                        <w:rPr>
                          <w:szCs w:val="24"/>
                        </w:rPr>
                        <w:t>. padidinamas Komisijos narių skaičius iki 6 asmenų;</w:t>
                      </w:r>
                    </w:p>
                  </w:sdtContent>
                </w:sdt>
                <w:sdt>
                  <w:sdtPr>
                    <w:alias w:val="4 p."/>
                    <w:tag w:val="part_a08be6e1d8924ea294e39bf86b7c666f"/>
                    <w:lock w:val="sdtLocked"/>
                    <w:richText/>
                  </w:sdtPr>
                  <w:sdtContent>
                    <w:p>
                      <w:pPr>
                        <w:widowControl w:val="0"/>
                        <w:tabs>
                          <w:tab w:val="left" w:pos="4260"/>
                        </w:tabs>
                        <w:ind w:firstLine="851"/>
                        <w:jc w:val="both"/>
                        <w:rPr>
                          <w:szCs w:val="24"/>
                        </w:rPr>
                      </w:pPr>
                      <w:sdt>
                        <w:sdtPr>
                          <w:alias w:val="Numeris"/>
                          <w:tag w:val="nr_a08be6e1d8924ea294e39bf86b7c666f"/>
                          <w:lock w:val="sdtLocked"/>
                          <w:richText/>
                        </w:sdtPr>
                        <w:sdtContent>
                          <w:r>
                            <w:rPr>
                              <w:szCs w:val="24"/>
                            </w:rPr>
                            <w:t>4</w:t>
                          </w:r>
                        </w:sdtContent>
                      </w:sdt>
                      <w:r>
                        <w:rPr>
                          <w:szCs w:val="24"/>
                        </w:rPr>
                        <w:t>. nustatoma kada atnaujinama Komisijos sudėtis;</w:t>
                      </w:r>
                    </w:p>
                  </w:sdtContent>
                </w:sdt>
                <w:sdt>
                  <w:sdtPr>
                    <w:alias w:val="5 p."/>
                    <w:tag w:val="part_fa119b0f0bcd4b078c9ffbe5e3d4c012"/>
                    <w:lock w:val="sdtLocked"/>
                    <w:richText/>
                  </w:sdtPr>
                  <w:sdtContent>
                    <w:p>
                      <w:pPr>
                        <w:widowControl w:val="0"/>
                        <w:tabs>
                          <w:tab w:val="left" w:pos="4260"/>
                        </w:tabs>
                        <w:ind w:firstLine="851"/>
                        <w:jc w:val="both"/>
                        <w:rPr>
                          <w:szCs w:val="24"/>
                        </w:rPr>
                      </w:pPr>
                      <w:sdt>
                        <w:sdtPr>
                          <w:alias w:val="Numeris"/>
                          <w:tag w:val="nr_fa119b0f0bcd4b078c9ffbe5e3d4c012"/>
                          <w:lock w:val="sdtLocked"/>
                          <w:richText/>
                        </w:sdtPr>
                        <w:sdtContent>
                          <w:r>
                            <w:rPr>
                              <w:szCs w:val="24"/>
                            </w:rPr>
                            <w:t>5</w:t>
                          </w:r>
                        </w:sdtContent>
                      </w:sdt>
                      <w:r>
                        <w:rPr>
                          <w:szCs w:val="24"/>
                        </w:rPr>
                        <w:t>. nustatoma, kad esant būtinumui, Komisijos posėdžiai gali vykti nuotoliniu būdu;</w:t>
                      </w:r>
                    </w:p>
                  </w:sdtContent>
                </w:sdt>
                <w:sdt>
                  <w:sdtPr>
                    <w:alias w:val="6 p."/>
                    <w:tag w:val="part_1b8403aeff304d06872e3bc57e099edb"/>
                    <w:lock w:val="sdtLocked"/>
                    <w:richText/>
                  </w:sdtPr>
                  <w:sdtContent>
                    <w:p>
                      <w:pPr>
                        <w:widowControl w:val="0"/>
                        <w:tabs>
                          <w:tab w:val="left" w:pos="4260"/>
                        </w:tabs>
                        <w:ind w:firstLine="851"/>
                        <w:jc w:val="both"/>
                        <w:rPr>
                          <w:szCs w:val="24"/>
                        </w:rPr>
                      </w:pPr>
                      <w:sdt>
                        <w:sdtPr>
                          <w:alias w:val="Numeris"/>
                          <w:tag w:val="nr_1b8403aeff304d06872e3bc57e099edb"/>
                          <w:lock w:val="sdtLocked"/>
                          <w:richText/>
                        </w:sdtPr>
                        <w:sdtContent>
                          <w:r>
                            <w:rPr>
                              <w:szCs w:val="24"/>
                            </w:rPr>
                            <w:t>6</w:t>
                          </w:r>
                        </w:sdtContent>
                      </w:sdt>
                      <w:r>
                        <w:rPr>
                          <w:szCs w:val="24"/>
                        </w:rPr>
                        <w:t>. patikslintas terminas per kiek laiko Komisija turi pateikti išvadą Savivaldybės vykdomajai institucijai, vietoje 10 darbo dienų keičiama į 20 darbo dienų, nes toks terminas yra nustatytas Želdynų įstatyme;</w:t>
                      </w:r>
                    </w:p>
                  </w:sdtContent>
                </w:sdt>
                <w:sdt>
                  <w:sdtPr>
                    <w:alias w:val="7 p."/>
                    <w:tag w:val="part_f68341f6c28d49bab4fa7a46dd006790"/>
                    <w:lock w:val="sdtLocked"/>
                    <w:richText/>
                  </w:sdtPr>
                  <w:sdtContent>
                    <w:p>
                      <w:pPr>
                        <w:tabs>
                          <w:tab w:val="left" w:pos="142"/>
                          <w:tab w:val="left" w:pos="1134"/>
                          <w:tab w:val="left" w:pos="1701"/>
                        </w:tabs>
                        <w:suppressAutoHyphens/>
                        <w:ind w:firstLine="851"/>
                        <w:jc w:val="both"/>
                        <w:textAlignment w:val="baseline"/>
                        <w:rPr>
                          <w:color w:val="000000"/>
                          <w:szCs w:val="24"/>
                        </w:rPr>
                      </w:pPr>
                      <w:sdt>
                        <w:sdtPr>
                          <w:alias w:val="Numeris"/>
                          <w:tag w:val="nr_f68341f6c28d49bab4fa7a46dd006790"/>
                          <w:lock w:val="sdtLocked"/>
                          <w:richText/>
                        </w:sdtPr>
                        <w:sdtContent>
                          <w:r>
                            <w:rPr>
                              <w:szCs w:val="24"/>
                            </w:rPr>
                            <w:t>7</w:t>
                          </w:r>
                        </w:sdtContent>
                      </w:sdt>
                      <w:r>
                        <w:rPr>
                          <w:szCs w:val="24"/>
                        </w:rPr>
                        <w:t>. išbraukta nuostata, kad „</w:t>
                      </w:r>
                      <w:r>
                        <w:rPr>
                          <w:color w:val="000000"/>
                          <w:szCs w:val="24"/>
                        </w:rPr>
                        <w:t>Komisija privalo į Komisijos posėdžius kviesti Aplinkos apsaugos departamento prie Aplinkos ministerijos atstovą pateikti nuomonę,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 Ši nuostata buvo perkelta iš LR želdynų įstatymo, tačiau tai perteklinis reikalavimas, nes Komisija privalo vadovautis įstatymu.</w:t>
                      </w:r>
                    </w:p>
                  </w:sdtContent>
                </w:sdt>
                <w:sdt>
                  <w:sdtPr>
                    <w:alias w:val="8 p."/>
                    <w:tag w:val="part_288223e732704e8784166c83bfd8ce27"/>
                    <w:lock w:val="sdtLocked"/>
                    <w:richText/>
                  </w:sdtPr>
                  <w:sdtContent>
                    <w:p>
                      <w:pPr>
                        <w:tabs>
                          <w:tab w:val="left" w:pos="142"/>
                          <w:tab w:val="left" w:pos="1134"/>
                          <w:tab w:val="left" w:pos="1701"/>
                        </w:tabs>
                        <w:suppressAutoHyphens/>
                        <w:ind w:firstLine="851"/>
                        <w:jc w:val="both"/>
                        <w:textAlignment w:val="baseline"/>
                        <w:rPr>
                          <w:rFonts w:eastAsia="SimSun"/>
                          <w:color w:val="000000"/>
                          <w:szCs w:val="24"/>
                          <w:lang w:eastAsia="lt-LT"/>
                        </w:rPr>
                      </w:pPr>
                      <w:sdt>
                        <w:sdtPr>
                          <w:alias w:val="Numeris"/>
                          <w:tag w:val="nr_288223e732704e8784166c83bfd8ce27"/>
                          <w:lock w:val="sdtLocked"/>
                          <w:richText/>
                        </w:sdtPr>
                        <w:sdtContent>
                          <w:r>
                            <w:rPr>
                              <w:rFonts w:eastAsia="SimSun"/>
                              <w:color w:val="000000"/>
                              <w:szCs w:val="24"/>
                              <w:lang w:eastAsia="lt-LT"/>
                            </w:rPr>
                            <w:t>8</w:t>
                          </w:r>
                        </w:sdtContent>
                      </w:sdt>
                      <w:r>
                        <w:rPr>
                          <w:rFonts w:eastAsia="SimSun"/>
                          <w:color w:val="000000"/>
                          <w:szCs w:val="24"/>
                          <w:lang w:eastAsia="lt-LT"/>
                        </w:rPr>
                        <w:t>. Nurodoma, kad Komisijos sudėtis skelbiama viešai.</w:t>
                      </w:r>
                    </w:p>
                  </w:sdtContent>
                </w:sdt>
                <w:sdt>
                  <w:sdtPr>
                    <w:alias w:val="9 p."/>
                    <w:tag w:val="part_feaef882bd08485e9bd82693380fc7b6"/>
                    <w:lock w:val="sdtLocked"/>
                    <w:richText/>
                  </w:sdtPr>
                  <w:sdtContent>
                    <w:p>
                      <w:pPr>
                        <w:widowControl w:val="0"/>
                        <w:tabs>
                          <w:tab w:val="left" w:pos="4260"/>
                        </w:tabs>
                        <w:ind w:firstLine="851"/>
                        <w:jc w:val="both"/>
                        <w:rPr>
                          <w:szCs w:val="24"/>
                        </w:rPr>
                      </w:pPr>
                      <w:sdt>
                        <w:sdtPr>
                          <w:alias w:val="Numeris"/>
                          <w:tag w:val="nr_feaef882bd08485e9bd82693380fc7b6"/>
                          <w:lock w:val="sdtLocked"/>
                          <w:richText/>
                        </w:sdtPr>
                        <w:sdtContent>
                          <w:r>
                            <w:rPr>
                              <w:szCs w:val="24"/>
                            </w:rPr>
                            <w:t>9</w:t>
                          </w:r>
                        </w:sdtContent>
                      </w:sdt>
                      <w:r>
                        <w:rPr>
                          <w:szCs w:val="24"/>
                        </w:rPr>
                        <w:t>. atlikti kiti redakcinio pobūdžio pataisymai.</w:t>
                      </w:r>
                    </w:p>
                    <w:p>
                      <w:pPr>
                        <w:widowControl w:val="0"/>
                        <w:tabs>
                          <w:tab w:val="left" w:pos="4260"/>
                        </w:tabs>
                        <w:ind w:firstLine="851"/>
                        <w:jc w:val="both"/>
                        <w:rPr>
                          <w:szCs w:val="24"/>
                        </w:rPr>
                      </w:pPr>
                      <w:r>
                        <w:rPr>
                          <w:szCs w:val="24"/>
                        </w:rPr>
                        <w:t>2025 m. vasario 21 d. buvo gautos Vyriausybės atstovo pastabos dėl nuostatų. Atlikti šie pataisymai:</w:t>
                      </w:r>
                    </w:p>
                  </w:sdtContent>
                </w:sdt>
                <w:sdt>
                  <w:sdtPr>
                    <w:alias w:val="1 p."/>
                    <w:tag w:val="part_2d7e71a8fbcb41e68c8829931bbae145"/>
                    <w:lock w:val="sdtLocked"/>
                    <w:richText/>
                  </w:sdtPr>
                  <w:sdtContent>
                    <w:p>
                      <w:pPr>
                        <w:widowControl w:val="0"/>
                        <w:tabs>
                          <w:tab w:val="left" w:pos="4260"/>
                        </w:tabs>
                        <w:ind w:firstLine="851"/>
                        <w:jc w:val="both"/>
                        <w:rPr>
                          <w:bCs/>
                          <w:szCs w:val="24"/>
                          <w:lang w:eastAsia="lt-LT"/>
                        </w:rPr>
                      </w:pPr>
                      <w:sdt>
                        <w:sdtPr>
                          <w:alias w:val="Numeris"/>
                          <w:tag w:val="nr_2d7e71a8fbcb41e68c8829931bbae145"/>
                          <w:lock w:val="sdtLocked"/>
                          <w:richText/>
                        </w:sdtPr>
                        <w:sdtContent>
                          <w:r>
                            <w:rPr>
                              <w:szCs w:val="24"/>
                            </w:rPr>
                            <w:t>1</w:t>
                          </w:r>
                        </w:sdtContent>
                      </w:sdt>
                      <w:r>
                        <w:rPr>
                          <w:szCs w:val="24"/>
                        </w:rPr>
                        <w:t>. Patikslintas Nuostatų projekto 16 punktas „</w:t>
                      </w:r>
                      <w:r>
                        <w:rPr>
                          <w:bCs/>
                          <w:szCs w:val="24"/>
                          <w:lang w:eastAsia="lt-LT"/>
                        </w:rPr>
                        <w:t>Komisijos posėdžiai organizuojami laikantis Lietuvos Respublikos vietos savivaldos įstatyme nustatyta Savivaldybės tarybos komisijų posėdžių organizavimo tvarka.“</w:t>
                      </w:r>
                    </w:p>
                  </w:sdtContent>
                </w:sdt>
                <w:sdt>
                  <w:sdtPr>
                    <w:alias w:val="2 p."/>
                    <w:tag w:val="part_75700f17497e48e8bbd9ff80cfda8905"/>
                    <w:lock w:val="sdtLocked"/>
                    <w:richText/>
                  </w:sdtPr>
                  <w:sdtContent>
                    <w:p>
                      <w:pPr>
                        <w:widowControl w:val="0"/>
                        <w:tabs>
                          <w:tab w:val="left" w:pos="4260"/>
                        </w:tabs>
                        <w:ind w:firstLine="851"/>
                        <w:jc w:val="both"/>
                        <w:rPr>
                          <w:rFonts w:eastAsia="SimSun"/>
                          <w:color w:val="000000"/>
                          <w:szCs w:val="24"/>
                          <w:lang w:eastAsia="lt-LT"/>
                        </w:rPr>
                      </w:pPr>
                      <w:sdt>
                        <w:sdtPr>
                          <w:alias w:val="Numeris"/>
                          <w:tag w:val="nr_75700f17497e48e8bbd9ff80cfda8905"/>
                          <w:lock w:val="sdtLocked"/>
                          <w:richText/>
                        </w:sdtPr>
                        <w:sdtContent>
                          <w:r>
                            <w:rPr>
                              <w:szCs w:val="24"/>
                            </w:rPr>
                            <w:t>2</w:t>
                          </w:r>
                        </w:sdtContent>
                      </w:sdt>
                      <w:r>
                        <w:rPr>
                          <w:szCs w:val="24"/>
                        </w:rPr>
                        <w:t>. 28 punkte išbraukiami žodžiai „</w:t>
                      </w:r>
                      <w:r>
                        <w:rPr>
                          <w:rFonts w:eastAsia="SimSun"/>
                          <w:color w:val="000000"/>
                          <w:szCs w:val="24"/>
                          <w:lang w:eastAsia="lt-LT"/>
                        </w:rPr>
                        <w:t>ar darbuotojai, dirbantys pagal darbo sutartis“, nes pagal Želdynų įstatymą Komisijos nariais negali būti darbuotojai, dirbantys pagal darbo sutartį.</w:t>
                      </w:r>
                    </w:p>
                    <w:p>
                      <w:pPr>
                        <w:widowControl w:val="0"/>
                        <w:tabs>
                          <w:tab w:val="left" w:pos="4260"/>
                        </w:tabs>
                        <w:ind w:firstLine="851"/>
                        <w:jc w:val="both"/>
                        <w:rPr>
                          <w:rFonts w:eastAsia="SimSun"/>
                          <w:color w:val="000000"/>
                          <w:szCs w:val="24"/>
                          <w:lang w:eastAsia="lt-LT"/>
                        </w:rPr>
                      </w:pPr>
                      <w:r>
                        <w:rPr>
                          <w:szCs w:val="24"/>
                        </w:rPr>
                        <w:t>Neatsižvelgta į Vyriausybės atstovo pastabą „</w:t>
                      </w:r>
                      <w:r>
                        <w:rPr>
                          <w:i/>
                          <w:szCs w:val="24"/>
                        </w:rPr>
                        <w:t xml:space="preserve">Nuostatų 17 punktas reglamentuojantis balsų skaičiavimą komisijoje neatitinka VSĮ 22 straipsnio 10 punkto nuostatų, kurios nurodo, jog „Savivaldybės tarybos komisijų posėdžiai yra teisėti, jeigu juose dalyvauja daugiau kaip pusė visų komisijos narių. Savivaldybės tarybos komisijų sprendimai priimami posėdyje dalyvaujančių komisijos narių balsų dauguma. Jeigu balsai pasiskirsto po lygiai (laikoma, kad balsai pasiskirstė po lygiai tada, kai balsų už gauta tiek pat, kiek prieš, taip pat kai balsų už gauta tiek pat, kiek prieš ir susilaikiusių kartu sudėjus), balsuojama dar kartą. </w:t>
                      </w:r>
                      <w:r>
                        <w:rPr>
                          <w:i/>
                          <w:iCs/>
                          <w:szCs w:val="24"/>
                        </w:rPr>
                        <w:t>Jeigu balsavus dar kartą balsai pasiskirsto po lygiai, balsavimas tęsiamas komisijos nuostatų nustatyta tvarka.</w:t>
                      </w:r>
                      <w:r>
                        <w:rPr>
                          <w:i/>
                          <w:szCs w:val="24"/>
                        </w:rPr>
                        <w:t>“</w:t>
                      </w:r>
                      <w:r>
                        <w:rPr>
                          <w:szCs w:val="24"/>
                        </w:rPr>
                        <w:t xml:space="preserve">“, todėl, kad VSĮ 22 str. 10 dalyje yra nurodoma, kad po antrojo balsavimo balsams pasiskirsčius po lygiai, </w:t>
                      </w:r>
                      <w:r>
                        <w:rPr>
                          <w:iCs/>
                          <w:szCs w:val="24"/>
                        </w:rPr>
                        <w:t>balsavimas tęsiamas komisijos nuostatų nustatyta tvarka. Nuostatų 17 punkte ir yra nustatoma tokia tvarka, kad „</w:t>
                      </w:r>
                      <w:r>
                        <w:rPr>
                          <w:color w:val="000000"/>
                          <w:szCs w:val="24"/>
                        </w:rPr>
                        <w:t xml:space="preserve">Jeigu balsavus dar kartą balsai pasiskirsto po lygiai, sprendimą lemia Komisijos pirmininko, jo nesant, – posėdžio pirmininko balsas.“ </w:t>
                      </w:r>
                    </w:p>
                  </w:sdtContent>
                </w:sdt>
              </w:sdtContent>
            </w:sdt>
            <w:sdt>
              <w:sdtPr>
                <w:alias w:val="poskyris"/>
                <w:tag w:val="part_d110f63b96d745e68f5c5226903beed5"/>
                <w:lock w:val="sdtLocked"/>
                <w:richText/>
              </w:sdtPr>
              <w:sdtContent>
                <w:p>
                  <w:pPr>
                    <w:tabs>
                      <w:tab w:val="left" w:pos="855"/>
                    </w:tabs>
                    <w:suppressAutoHyphens/>
                    <w:ind w:firstLine="855"/>
                    <w:jc w:val="both"/>
                    <w:rPr>
                      <w:szCs w:val="24"/>
                      <w:lang w:val="en-GB"/>
                    </w:rPr>
                  </w:pPr>
                  <w:sdt>
                    <w:sdtPr>
                      <w:alias w:val="Pavadinimas"/>
                      <w:tag w:val="title_d110f63b96d745e68f5c5226903beed5"/>
                      <w:lock w:val="sdtLocked"/>
                      <w:richText/>
                    </w:sdtPr>
                    <w:sdtContent>
                      <w:r>
                        <w:rPr>
                          <w:b/>
                          <w:szCs w:val="24"/>
                          <w:shd w:val="clear" w:color="auto" w:fill="FFFFFF"/>
                        </w:rPr>
                        <w:t>Priėmus sprendimą, galimos pasekmės.</w:t>
                      </w:r>
                    </w:sdtContent>
                  </w:sdt>
                </w:p>
                <w:p>
                  <w:pPr>
                    <w:tabs>
                      <w:tab w:val="left" w:pos="855"/>
                    </w:tabs>
                    <w:spacing w:line="259" w:lineRule="auto"/>
                    <w:ind w:firstLine="855"/>
                    <w:jc w:val="both"/>
                    <w:rPr>
                      <w:szCs w:val="24"/>
                    </w:rPr>
                  </w:pPr>
                  <w:r>
                    <w:rPr>
                      <w:szCs w:val="24"/>
                    </w:rPr>
                    <w:t>Priėmus sprendimą numatomos teigiamos pasekmės: bus patvirtinta naujos sudėties Komisija ir atnaujinti Komisijos nuostatai.</w:t>
                  </w:r>
                </w:p>
                <w:p>
                  <w:pPr>
                    <w:tabs>
                      <w:tab w:val="left" w:pos="855"/>
                    </w:tabs>
                    <w:spacing w:line="259" w:lineRule="auto"/>
                    <w:ind w:firstLine="855"/>
                    <w:jc w:val="both"/>
                    <w:rPr>
                      <w:szCs w:val="24"/>
                    </w:rPr>
                  </w:pPr>
                  <w:r>
                    <w:rPr>
                      <w:szCs w:val="24"/>
                    </w:rPr>
                    <w:t>Priėmus sprendimą neigiamų pasekmių nenumatoma.</w:t>
                  </w:r>
                </w:p>
                <w:p>
                  <w:pPr>
                    <w:tabs>
                      <w:tab w:val="left" w:pos="855"/>
                    </w:tabs>
                    <w:suppressAutoHyphens/>
                    <w:jc w:val="both"/>
                    <w:rPr>
                      <w:szCs w:val="24"/>
                      <w:shd w:val="clear" w:color="auto" w:fill="FFFFFF"/>
                    </w:rPr>
                  </w:pPr>
                </w:p>
              </w:sdtContent>
            </w:sdt>
            <w:sdt>
              <w:sdtPr>
                <w:alias w:val="poskyris"/>
                <w:tag w:val="part_602d3faaeef0404cb6cf970ed356e63d"/>
                <w:lock w:val="sdtLocked"/>
                <w:richText/>
              </w:sdtPr>
              <w:sdtContent>
                <w:p>
                  <w:pPr>
                    <w:tabs>
                      <w:tab w:val="left" w:pos="855"/>
                    </w:tabs>
                    <w:suppressAutoHyphens/>
                    <w:ind w:firstLine="855"/>
                    <w:jc w:val="both"/>
                    <w:rPr>
                      <w:szCs w:val="24"/>
                      <w:lang w:val="en-GB"/>
                    </w:rPr>
                  </w:pPr>
                  <w:sdt>
                    <w:sdtPr>
                      <w:alias w:val="Pavadinimas"/>
                      <w:tag w:val="title_602d3faaeef0404cb6cf970ed356e63d"/>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855"/>
                    </w:tabs>
                    <w:suppressAutoHyphens/>
                    <w:ind w:firstLine="855"/>
                    <w:jc w:val="both"/>
                    <w:rPr>
                      <w:szCs w:val="24"/>
                      <w:lang w:eastAsia="lt-LT"/>
                    </w:rPr>
                  </w:pPr>
                  <w:r>
                    <w:rPr>
                      <w:szCs w:val="24"/>
                      <w:lang w:eastAsia="lt-LT"/>
                    </w:rPr>
                    <w:t>Nėra.</w:t>
                  </w:r>
                </w:p>
                <w:p>
                  <w:pPr>
                    <w:tabs>
                      <w:tab w:val="left" w:pos="855"/>
                    </w:tabs>
                    <w:suppressAutoHyphens/>
                    <w:jc w:val="both"/>
                    <w:rPr>
                      <w:szCs w:val="24"/>
                      <w:shd w:val="clear" w:color="auto" w:fill="FFFFFF"/>
                    </w:rPr>
                  </w:pPr>
                </w:p>
              </w:sdtContent>
            </w:sdt>
            <w:sdt>
              <w:sdtPr>
                <w:alias w:val="poskyris"/>
                <w:tag w:val="part_65c3e36e7a7440ba9762e0a878fe98fb"/>
                <w:lock w:val="sdtLocked"/>
                <w:richText/>
              </w:sdtPr>
              <w:sdtContent>
                <w:p>
                  <w:pPr>
                    <w:tabs>
                      <w:tab w:val="left" w:pos="855"/>
                    </w:tabs>
                    <w:suppressAutoHyphens/>
                    <w:ind w:firstLine="855"/>
                    <w:jc w:val="both"/>
                    <w:rPr>
                      <w:szCs w:val="24"/>
                      <w:lang w:val="en-GB"/>
                    </w:rPr>
                  </w:pPr>
                  <w:sdt>
                    <w:sdtPr>
                      <w:alias w:val="Pavadinimas"/>
                      <w:tag w:val="title_65c3e36e7a7440ba9762e0a878fe98fb"/>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pPr>
                    <w:widowControl w:val="0"/>
                    <w:suppressAutoHyphens/>
                    <w:spacing w:line="259" w:lineRule="auto"/>
                    <w:ind w:firstLine="868"/>
                    <w:jc w:val="both"/>
                    <w:rPr>
                      <w:szCs w:val="24"/>
                      <w:shd w:val="clear" w:color="auto" w:fill="FFFFFF"/>
                    </w:rPr>
                  </w:pPr>
                  <w:r>
                    <w:rPr>
                      <w:szCs w:val="24"/>
                    </w:rPr>
                    <w:t>Spendimui įgyvendinti papildomų teisės aktų priimti nereikės.</w:t>
                  </w:r>
                </w:p>
                <w:p>
                  <w:pPr>
                    <w:rPr>
                      <w:sz w:val="14"/>
                      <w:szCs w:val="14"/>
                    </w:rPr>
                  </w:pPr>
                </w:p>
                <w:p>
                  <w:pPr>
                    <w:tabs>
                      <w:tab w:val="left" w:pos="855"/>
                    </w:tabs>
                    <w:suppressAutoHyphens/>
                    <w:jc w:val="both"/>
                    <w:rPr>
                      <w:szCs w:val="24"/>
                      <w:shd w:val="clear" w:color="auto" w:fill="FFFFFF"/>
                    </w:rPr>
                  </w:pPr>
                </w:p>
                <w:p>
                  <w:pPr>
                    <w:tabs>
                      <w:tab w:val="left" w:pos="855"/>
                    </w:tabs>
                    <w:suppressAutoHyphens/>
                    <w:ind w:firstLine="855"/>
                    <w:jc w:val="both"/>
                    <w:rPr>
                      <w:szCs w:val="24"/>
                      <w:lang w:val="en-GB"/>
                    </w:rPr>
                  </w:pPr>
                  <w:r>
                    <w:rPr>
                      <w:b/>
                      <w:szCs w:val="24"/>
                      <w:shd w:val="clear" w:color="auto" w:fill="FFFFFF"/>
                    </w:rPr>
                    <w:t>Sprendimui įgyvendinti reikalingos lėšos</w:t>
                  </w:r>
                  <w:r>
                    <w:rPr>
                      <w:szCs w:val="24"/>
                      <w:shd w:val="clear" w:color="auto" w:fill="FFFFFF"/>
                    </w:rPr>
                    <w:t xml:space="preserve">. </w:t>
                  </w:r>
                </w:p>
                <w:p>
                  <w:pPr>
                    <w:widowControl w:val="0"/>
                    <w:suppressAutoHyphens/>
                    <w:spacing w:line="259" w:lineRule="auto"/>
                    <w:ind w:firstLine="680"/>
                    <w:jc w:val="both"/>
                    <w:rPr>
                      <w:color w:val="000000"/>
                      <w:szCs w:val="24"/>
                    </w:rPr>
                  </w:pPr>
                  <w:r>
                    <w:rPr>
                      <w:szCs w:val="24"/>
                    </w:rPr>
                    <w:t xml:space="preserve">Vadovaujantis Želdynų įstatymo 25 str. </w:t>
                  </w:r>
                  <w:r>
                    <w:rPr>
                      <w:color w:val="000000"/>
                      <w:szCs w:val="24"/>
                    </w:rPr>
                    <w:t>3 dalimi Želdynų ir želdinių apsaugos, priežiūros ir tvarkymo komisijos nariams už darbo laiką atliekant komisijos nario pareigas mokamas atlygis, numatytas Lietuvos Respublikos valstybės ir savivaldybių įstaigų darbuotojų darbo apmokėjimo ir komisijų narių atlygio už darbą įstatyme (toliau – įstatymas). Vadovaujantis įstatymu valstybės tarnautojams atlygis nėra mokamas. Numatoma, kad komisijos nariui (kuris nėra valstybės tarnautojas) bus mokama iki 500 eurų per metus.</w:t>
                  </w:r>
                </w:p>
                <w:p>
                  <w:pPr>
                    <w:rPr>
                      <w:sz w:val="14"/>
                      <w:szCs w:val="14"/>
                    </w:rPr>
                  </w:pPr>
                </w:p>
              </w:sdtContent>
            </w:sdt>
            <w:sdt>
              <w:sdtPr>
                <w:alias w:val="poskyris"/>
                <w:tag w:val="part_22d117beb3e7464ca1766a7aac299b11"/>
                <w:lock w:val="sdtLocked"/>
                <w:richText/>
              </w:sdtPr>
              <w:sdtContent>
                <w:p>
                  <w:pPr>
                    <w:suppressAutoHyphens/>
                    <w:ind w:firstLine="851"/>
                    <w:jc w:val="both"/>
                    <w:rPr>
                      <w:b/>
                      <w:szCs w:val="24"/>
                      <w:shd w:val="clear" w:color="auto" w:fill="FFFFFF"/>
                    </w:rPr>
                  </w:pPr>
                  <w:sdt>
                    <w:sdtPr>
                      <w:alias w:val="Pavadinimas"/>
                      <w:tag w:val="title_22d117beb3e7464ca1766a7aac299b11"/>
                      <w:lock w:val="sdtLocked"/>
                      <w:richText/>
                    </w:sdtPr>
                    <w:sdtContent>
                      <w:r>
                        <w:rPr>
                          <w:b/>
                          <w:szCs w:val="24"/>
                          <w:shd w:val="clear" w:color="auto" w:fill="FFFFFF"/>
                        </w:rPr>
                        <w:t>Sprendimo projekto antikorupcinis vertinimas.</w:t>
                      </w:r>
                    </w:sdtContent>
                  </w:sdt>
                </w:p>
                <w:p>
                  <w:pPr>
                    <w:suppressAutoHyphens/>
                    <w:ind w:firstLine="851"/>
                    <w:jc w:val="both"/>
                    <w:rPr>
                      <w:szCs w:val="24"/>
                    </w:rPr>
                  </w:pPr>
                  <w:r>
                    <w:rPr>
                      <w:szCs w:val="24"/>
                    </w:rPr>
                    <w:t>Pridedama 2025 m. sausio 30 d. antikorupcinio vertinimo pažyma Nr. TAVP-18.</w:t>
                  </w:r>
                </w:p>
                <w:p>
                  <w:pPr>
                    <w:tabs>
                      <w:tab w:val="left" w:pos="855"/>
                    </w:tabs>
                    <w:suppressAutoHyphens/>
                    <w:jc w:val="both"/>
                    <w:rPr>
                      <w:b/>
                      <w:szCs w:val="24"/>
                      <w:shd w:val="clear" w:color="auto" w:fill="FFFFFF"/>
                    </w:rPr>
                  </w:pPr>
                </w:p>
                <w:p>
                  <w:pPr>
                    <w:tabs>
                      <w:tab w:val="left" w:pos="855"/>
                    </w:tabs>
                    <w:suppressAutoHyphens/>
                    <w:ind w:firstLine="855"/>
                    <w:jc w:val="both"/>
                    <w:rPr>
                      <w:szCs w:val="24"/>
                      <w:lang w:val="en-GB"/>
                    </w:rPr>
                  </w:pPr>
                  <w:r>
                    <w:rPr>
                      <w:b/>
                      <w:szCs w:val="24"/>
                      <w:shd w:val="clear" w:color="auto" w:fill="FFFFFF"/>
                    </w:rPr>
                    <w:t>Sprendimo projektą parengė</w:t>
                  </w:r>
                  <w:r>
                    <w:rPr>
                      <w:szCs w:val="24"/>
                      <w:shd w:val="clear" w:color="auto" w:fill="FFFFFF"/>
                    </w:rPr>
                    <w:t xml:space="preserve"> Šiaulių miesto savivaldybės administracijos Miesto ūkio ir aplinkos skyriaus, Aplinkosaugos ir miesto tvarkymo poskyrio vedėja Toma Vilutienė tel. +370 41 500 528. Tiesioginis rengėjas – Miesto ūkio ir aplinkos skyrius. </w:t>
                  </w:r>
                </w:p>
                <w:p>
                  <w:pPr>
                    <w:tabs>
                      <w:tab w:val="left" w:pos="855"/>
                    </w:tabs>
                    <w:suppressAutoHyphens/>
                    <w:jc w:val="both"/>
                    <w:rPr>
                      <w:szCs w:val="24"/>
                      <w:shd w:val="clear" w:color="auto" w:fill="FFFFFF"/>
                    </w:rPr>
                  </w:pPr>
                </w:p>
              </w:sdtContent>
            </w:sdt>
            <w:sdt>
              <w:sdtPr>
                <w:alias w:val="poskyris"/>
                <w:tag w:val="part_fcbd5658b0a7425fb57251b5e282e2d1"/>
                <w:lock w:val="sdtLocked"/>
                <w:richText/>
              </w:sdtPr>
              <w:sdtContent>
                <w:p>
                  <w:pPr>
                    <w:tabs>
                      <w:tab w:val="left" w:pos="855"/>
                    </w:tabs>
                    <w:suppressAutoHyphens/>
                    <w:ind w:firstLine="855"/>
                    <w:jc w:val="both"/>
                    <w:rPr>
                      <w:szCs w:val="24"/>
                      <w:lang w:val="en-GB"/>
                    </w:rPr>
                  </w:pPr>
                  <w:sdt>
                    <w:sdtPr>
                      <w:alias w:val="Pavadinimas"/>
                      <w:tag w:val="title_fcbd5658b0a7425fb57251b5e282e2d1"/>
                      <w:lock w:val="sdtLocked"/>
                      <w:richText/>
                    </w:sdtPr>
                    <w:sdtContent>
                      <w:r>
                        <w:rPr>
                          <w:b/>
                          <w:szCs w:val="24"/>
                          <w:shd w:val="clear" w:color="auto" w:fill="FFFFFF"/>
                        </w:rPr>
                        <w:t>N</w:t>
                      </w:r>
                      <w:r>
                        <w:rPr>
                          <w:b/>
                          <w:szCs w:val="24"/>
                        </w:rPr>
                        <w:t>umatomo teisinio reguliavimo poveikio vertinimo rezultatai</w:t>
                      </w:r>
                      <w:r>
                        <w:rPr>
                          <w:b/>
                          <w:szCs w:val="24"/>
                          <w:shd w:val="clear" w:color="auto" w:fill="FFFFFF"/>
                        </w:rPr>
                        <w:t>.</w:t>
                      </w:r>
                    </w:sdtContent>
                  </w:sdt>
                </w:p>
                <w:p>
                  <w:pPr>
                    <w:spacing w:line="259" w:lineRule="auto"/>
                    <w:ind w:firstLine="851"/>
                    <w:jc w:val="both"/>
                    <w:rPr>
                      <w:szCs w:val="24"/>
                    </w:rPr>
                  </w:pPr>
                  <w:r>
                    <w:rPr>
                      <w:szCs w:val="24"/>
                    </w:rPr>
                    <w:t>N</w:t>
                  </w:r>
                  <w:r>
                    <w:rPr>
                      <w:bCs/>
                      <w:color w:val="000000"/>
                      <w:szCs w:val="24"/>
                    </w:rPr>
                    <w:t>umatomo teisinio poveikio reguliavimo poveikio vertinimas neatliktinas, nes sprendimo projektu nėra numatoma reguliuoti iki tol nereglamentuotus santykius ar iš esmės keisti teisinį reguliavimą.</w:t>
                  </w:r>
                </w:p>
                <w:p>
                  <w:pPr>
                    <w:rPr>
                      <w:sz w:val="14"/>
                      <w:szCs w:val="14"/>
                    </w:rPr>
                  </w:pPr>
                </w:p>
                <w:p>
                  <w:pPr>
                    <w:tabs>
                      <w:tab w:val="left" w:pos="855"/>
                    </w:tabs>
                    <w:suppressAutoHyphens/>
                    <w:jc w:val="both"/>
                    <w:rPr>
                      <w:szCs w:val="24"/>
                      <w:lang w:val="en-GB"/>
                    </w:rPr>
                  </w:pPr>
                </w:p>
                <w:p>
                  <w:pPr>
                    <w:suppressAutoHyphens/>
                    <w:rPr>
                      <w:szCs w:val="24"/>
                    </w:rPr>
                  </w:pPr>
                </w:p>
                <w:p>
                  <w:pPr>
                    <w:suppressAutoHyphens/>
                    <w:rPr>
                      <w:szCs w:val="24"/>
                    </w:rPr>
                  </w:pPr>
                </w:p>
              </w:sdtContent>
            </w:sdt>
          </w:sdtContent>
        </w:sdt>
        <w:sdt>
          <w:sdtPr>
            <w:alias w:val="signatura"/>
            <w:tag w:val="part_b158578878974c82b5b60f229a3e51c3"/>
            <w:lock w:val="sdtLocked"/>
            <w:richText/>
          </w:sdtPr>
          <w:sdtContent>
            <w:p>
              <w:pPr>
                <w:widowControl w:val="0"/>
                <w:tabs>
                  <w:tab w:val="right" w:pos="9638"/>
                </w:tabs>
                <w:suppressAutoHyphens/>
                <w:ind w:right="-1"/>
                <w:jc w:val="both"/>
                <w:rPr>
                  <w:szCs w:val="24"/>
                </w:rPr>
              </w:pPr>
              <w:r>
                <w:rPr>
                  <w:szCs w:val="24"/>
                </w:rPr>
                <w:t xml:space="preserve">Vedėja                                                             </w:t>
                <w:tab/>
                <w:t>Eglė Bružienė</w:t>
              </w:r>
            </w:p>
            <w:p>
              <w:pPr>
                <w:suppressAutoHyphens/>
                <w:rPr>
                  <w:szCs w:val="24"/>
                </w:rPr>
              </w:pPr>
            </w:p>
            <w:p>
              <w:pPr>
                <w:spacing w:line="259" w:lineRule="auto"/>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567" w:footer="567" w:gutter="0"/>
      <w:cols w:space="1296"/>
      <w:formProt w:val="0"/>
      <w:noEndnote/>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A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0CE590-0F18-4001-87EB-EFB604BB6FA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6aecf710b444dd9a76d41b430e21633" PartId="4aee2d53dedf4686a152fc00fa44669f">
    <Part Type="skyrius" Nr="999" Title="SPRENDIMO DĖL ŠIAULIŲ MIESTO SAVIVALDYBĖS TARYBOS 2022 M. BALANDŽIO 7 D. SPRENDIMO NR. T-106 „DĖL ŠIAULIŲ MIESTO SAVIVALDYBĖS ŽELDYNŲ IR ŽELDINIŲ APSAUGOS, PRIEŽIŪROS IR TVARKYMO KOMISIJOS SUDARYMO IR JOS NUOSTATŲ PATVIRTINIMO“ PAKEITIMO" DocPartId="d02f4f422a914bfb9f78ad939c90dee4" PartId="20b0530cb69849c9bcee96788d377899">
      <Part Type="poskyris" Title="AIŠKINAMASIS RAŠTAS" DocPartId="977bb41dc12e4191b5d85e0ff2270a35" PartId="7edad48be77e41c5ad041561532d743a"/>
      <Part Type="poskyris" Title="Parengto sprendimo projekto tikslai ir uždaviniai." DocPartId="cb094e2e9bd242c6b0f852b71738aa88" PartId="32c9a49dadbf47d197b72299be20fc6b"/>
      <Part Type="poskyris" Title="Dabartinis sprendimo projekte aptariamų klausimų reguliavimas." DocPartId="62279fccb5ac465aa9f7f79d39c73fda" PartId="6376ecc77cc343c28f0fdd3b8864ac9c"/>
      <Part Type="poskyris" Title="Sprendimo projekte numatytos naujos teisinio reglamentavimo nuostatos." DocPartId="2fe187f7dabc41f28d727b270d86dd18" PartId="736312f58252426089b740e6934a925b">
        <Part Type="punktas" Nr="1" Abbr="1 p." DocPartId="662a67604aea48059450556a018321ad" PartId="8a451b7f65074912a208b8ab3b1e8909"/>
        <Part Type="punktas" Nr="2" Abbr="2 p." DocPartId="319ba3dd3faf4419adfbb6d3b3d18502" PartId="bd5e283ade694ffdaff74e3dec9ca238"/>
        <Part Type="punktas" Nr="3" Abbr="3 p." DocPartId="73c1f40c426441619b1cedd109ec16ca" PartId="65f20963c4af44ad96572099c9f7da47"/>
        <Part Type="punktas" Nr="4" Abbr="4 p." DocPartId="fb36d9703c2144189a5655ea042bbf2a" PartId="a08be6e1d8924ea294e39bf86b7c666f"/>
        <Part Type="punktas" Nr="5" Abbr="5 p." DocPartId="3cc9b412a42a4b239d3a809ab3c2e082" PartId="fa119b0f0bcd4b078c9ffbe5e3d4c012"/>
        <Part Type="punktas" Nr="6" Abbr="6 p." DocPartId="fe6cc1af223d47318ec90744fc807b5c" PartId="1b8403aeff304d06872e3bc57e099edb"/>
        <Part Type="punktas" Nr="7" Abbr="7 p." DocPartId="28ee7ac2c0b943249f1b8eb8e51f4363" PartId="f68341f6c28d49bab4fa7a46dd006790"/>
        <Part Type="punktas" Nr="8" Abbr="8 p." DocPartId="0c27a897280a440085e935edf44021b8" PartId="288223e732704e8784166c83bfd8ce27"/>
        <Part Type="punktas" Nr="9" Abbr="9 p." DocPartId="4ba8bc4414814938bc29b6737d257924" PartId="feaef882bd08485e9bd82693380fc7b6"/>
        <Part Type="punktas" Nr="1" Abbr="1 p." Notes="Numeris ne iš eilės. Trūksta dalių? [DocDalys]" DocPartId="2f143dab7511494893291b47d8fcdd30" PartId="2d7e71a8fbcb41e68c8829931bbae145"/>
        <Part Type="punktas" Nr="2" Abbr="2 p." DocPartId="5a3628023a9c466693a0c52340f46ab6" PartId="75700f17497e48e8bbd9ff80cfda8905"/>
      </Part>
      <Part Type="poskyris" Title="Priėmus sprendimą, galimos pasekmės." DocPartId="e1aa7ce04a974aefb5c02d3e219d3ab0" PartId="d110f63b96d745e68f5c5226903beed5"/>
      <Part Type="poskyris" Title="Priėmus sprendimą, keičiami ar pripažįstami negaliojančiais teisės aktai." DocPartId="d24dfa259cf241b2867d1dd3aff49f55" PartId="602d3faaeef0404cb6cf970ed356e63d"/>
      <Part Type="poskyris" Title="Sprendimui įgyvendinti reikalingi priimti papildomi teisės aktai." DocPartId="7c214f8e9dcd43148f2c0bd514bb1a9f" PartId="65c3e36e7a7440ba9762e0a878fe98fb"/>
      <Part Type="poskyris" Title="Sprendimo projekto antikorupcinis vertinimas." DocPartId="147e906e62514831a2bde2707070f84e" PartId="22d117beb3e7464ca1766a7aac299b11"/>
      <Part Type="poskyris" Title="Numatomo teisinio reguliavimo poveikio vertinimo rezultatai." DocPartId="8300f524b2f54050afcb45214cc5b899" PartId="fcbd5658b0a7425fb57251b5e282e2d1"/>
    </Part>
    <Part Type="signatura" DocPartId="30a3af891ec148cf9858fa150e3fe31e" PartId="b158578878974c82b5b60f229a3e51c3"/>
  </Part>
</Parts>
</file>

<file path=customXml/itemProps1.xml><?xml version="1.0" encoding="utf-8"?>
<ds:datastoreItem xmlns:ds="http://schemas.openxmlformats.org/officeDocument/2006/customXml" ds:itemID="{E621187C-EE1E-47B2-9CD5-BBC6BCFFED08}">
  <ds:schemaRefs>
    <ds:schemaRef ds:uri="http://schemas.openxmlformats.org/officeDocument/2006/bibliography"/>
  </ds:schemaRefs>
</ds:datastoreItem>
</file>

<file path=customXml/itemProps2.xml><?xml version="1.0" encoding="utf-8"?>
<ds:datastoreItem xmlns:ds="http://schemas.openxmlformats.org/officeDocument/2006/customXml" ds:itemID="{94A31149-5284-47E1-ACAF-DDE76F4BC6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974</Words>
  <Characters>6686</Characters>
  <Application>Microsoft Office Word</Application>
  <DocSecurity>4</DocSecurity>
  <Lines>121</Lines>
  <Paragraphs>50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7610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2025-02-25T07:40:00Z</dcterms:created>
  <dc:creator>Toma Vilutienė</dc:creator>
  <lastModifiedBy>adlibuser</lastModifiedBy>
  <dcterms:modified xsi:type="dcterms:W3CDTF">2025-02-25T07:40:00Z</dcterms:modified>
  <revision>2</revision>
</coreProperties>
</file>