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0ba0fcb3ace41c68000338a4ea0b26f"/>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rPr>
                    <w:szCs w:val="24"/>
                  </w:rPr>
                </w:pPr>
              </w:p>
              <w:p>
                <w:pPr>
                  <w:keepNext/>
                  <w:widowControl w:val="0"/>
                  <w:suppressAutoHyphens/>
                  <w:jc w:val="center"/>
                  <w:rPr>
                    <w:rFonts w:eastAsia="Andale Sans UI" w:cs="Tahoma"/>
                    <w:b/>
                    <w:bCs/>
                    <w:caps/>
                    <w:sz w:val="28"/>
                    <w:szCs w:val="32"/>
                    <w:lang w:bidi="en-US"/>
                  </w:rPr>
                </w:pPr>
                <w:r>
                  <w:rPr>
                    <w:rFonts w:eastAsia="Andale Sans UI" w:cs="Tahoma"/>
                    <w:b/>
                    <w:bCs/>
                    <w:caps/>
                    <w:sz w:val="28"/>
                    <w:szCs w:val="32"/>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sdtContent>
    </w:sdt>
    <w:sdt>
      <w:sdtPr>
        <w:alias w:val="pastraipa"/>
        <w:tag w:val="part_691b65f0719b4078aa1403d3ee2fd7c9"/>
        <w:lock w:val="sdtLocked"/>
        <w:richText/>
      </w:sdtPr>
      <w:sdtContent>
        <w:p>
          <w:pPr>
            <w:ind w:firstLine="567"/>
            <w:jc w:val="both"/>
            <w:rPr>
              <w:rFonts w:eastAsia="Andale Sans UI" w:cs="Tahoma"/>
              <w:szCs w:val="24"/>
              <w:lang w:eastAsia="lt-LT" w:bidi="en-US"/>
            </w:rPr>
          </w:pPr>
          <w:r>
            <w:rPr>
              <w:rFonts w:eastAsia="Andale Sans UI"/>
              <w:szCs w:val="24"/>
              <w:lang w:bidi="en-US"/>
            </w:rPr>
            <w:t xml:space="preserve">Aplinkos ministerija teikia derinti </w:t>
          </w:r>
          <w:r>
            <w:rPr>
              <w:rFonts w:eastAsia="Andale Sans UI" w:cs="Tahoma"/>
              <w:szCs w:val="24"/>
              <w:lang w:bidi="en-US"/>
            </w:rPr>
            <w:t>2022–2030 metų Lietuvos Respublikos aplinkos ministerijos aplinkos apsaugos ir klimato kaitos valdymo plėtros programos pažangos priemonės Nr. 02-001-06-04-02 „Didinti klimato kaitos politikos veiksmingumą“ veiklos „</w:t>
          </w:r>
          <w:r>
            <w:rPr>
              <w:rFonts w:eastAsia="Andale Sans UI" w:cs="Tahoma"/>
              <w:color w:val="000000"/>
              <w:szCs w:val="24"/>
              <w:lang w:bidi="en-US"/>
            </w:rPr>
            <w:t>Privačių juridinių asmenų energijos vartojimo efektyvumo priemonių įgyvendinimas“</w:t>
          </w:r>
          <w:r>
            <w:rPr>
              <w:rFonts w:eastAsia="Andale Sans UI" w:cs="Tahoma"/>
              <w:szCs w:val="24"/>
              <w:lang w:bidi="en-US"/>
            </w:rPr>
            <w:t xml:space="preserve"> projektų finansavimo sąlygų aprašą (toliau – Projektas).</w:t>
          </w:r>
        </w:p>
        <w:sdt>
          <w:sdtPr>
            <w:alias w:val="1 p."/>
            <w:tag w:val="part_3e68a244fed0420e820709cf703220d3"/>
            <w:lock w:val="sdtLocked"/>
            <w:richText/>
          </w:sdtPr>
          <w:sdtContent>
            <w:p>
              <w:pPr>
                <w:ind w:firstLine="567"/>
                <w:jc w:val="both"/>
                <w:rPr>
                  <w:rFonts w:eastAsia="Andale Sans UI"/>
                  <w:szCs w:val="24"/>
                  <w:lang w:bidi="en-US"/>
                </w:rPr>
              </w:pPr>
              <w:sdt>
                <w:sdtPr>
                  <w:alias w:val="Numeris"/>
                  <w:tag w:val="nr_3e68a244fed0420e820709cf703220d3"/>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ind w:firstLine="567"/>
                <w:jc w:val="both"/>
                <w:rPr>
                  <w:rFonts w:eastAsia="Andale Sans UI"/>
                  <w:szCs w:val="24"/>
                  <w:lang w:bidi="en-US"/>
                </w:rPr>
              </w:pPr>
              <w:r>
                <w:rPr>
                  <w:rFonts w:eastAsia="Andale Sans UI"/>
                  <w:szCs w:val="24"/>
                  <w:lang w:bidi="en-US"/>
                </w:rPr>
                <w:t xml:space="preserve">Siekiant sumažinti šiltnamio efektą sukeliančių dujų kiekį ir padidinti energijos vartojimo  efektyvumą, planuojama pakeisti </w:t>
              </w:r>
              <w:r>
                <w:rPr>
                  <w:rFonts w:eastAsia="Andale Sans UI" w:cs="Tahoma"/>
                  <w:szCs w:val="24"/>
                  <w:shd w:val="clear" w:color="auto" w:fill="FFFFFF"/>
                  <w:lang w:bidi="en-US"/>
                </w:rPr>
                <w:t>2022–2030 metų plėtros programos valdytojos Lietuvos Respublikos aplinkos ministerijos aplinkos apsaugos ir klimato kaitos valdymo plėtros programos pažangos priemonės Nr. 02-001-06-04-02 „Didinti klimato kaitos politikos veiksmingumą“</w:t>
              </w:r>
              <w:r>
                <w:rPr>
                  <w:rFonts w:eastAsia="Andale Sans UI" w:cs="Tahoma"/>
                  <w:b/>
                  <w:bCs/>
                  <w:szCs w:val="24"/>
                  <w:shd w:val="clear" w:color="auto" w:fill="FFFFFF"/>
                  <w:lang w:bidi="en-US"/>
                </w:rPr>
                <w:t> </w:t>
              </w:r>
              <w:r>
                <w:rPr>
                  <w:rFonts w:eastAsia="Andale Sans UI" w:cs="Tahoma"/>
                  <w:szCs w:val="24"/>
                  <w:shd w:val="clear" w:color="auto" w:fill="FFFFFF"/>
                  <w:lang w:bidi="en-US"/>
                </w:rPr>
                <w:t>aprašą, patvirtintą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w:t>
              </w:r>
              <w:r>
                <w:rPr>
                  <w:rFonts w:eastAsia="Andale Sans UI" w:cs="Tahoma"/>
                  <w:b/>
                  <w:bCs/>
                  <w:szCs w:val="24"/>
                  <w:shd w:val="clear" w:color="auto" w:fill="FFFFFF"/>
                  <w:lang w:bidi="en-US"/>
                </w:rPr>
                <w:t> </w:t>
              </w:r>
              <w:r>
                <w:rPr>
                  <w:rFonts w:eastAsia="Andale Sans UI" w:cs="Tahoma"/>
                  <w:szCs w:val="24"/>
                  <w:shd w:val="clear" w:color="auto" w:fill="FFFFFF"/>
                  <w:lang w:bidi="en-US"/>
                </w:rPr>
                <w:t>aprašo patvirtinimo“, papildant 3 priedu (pridedama).</w:t>
              </w:r>
            </w:p>
          </w:sdtContent>
        </w:sdt>
        <w:sdt>
          <w:sdtPr>
            <w:alias w:val="2 p."/>
            <w:tag w:val="part_47f4716f84574887b2a81784ac802ae3"/>
            <w:lock w:val="sdtLocked"/>
            <w:richText/>
          </w:sdtPr>
          <w:sdtContent>
            <w:p>
              <w:pPr>
                <w:ind w:firstLine="567"/>
                <w:jc w:val="both"/>
                <w:rPr>
                  <w:rFonts w:eastAsia="Andale Sans UI"/>
                  <w:szCs w:val="24"/>
                  <w:lang w:bidi="en-US"/>
                </w:rPr>
              </w:pPr>
              <w:sdt>
                <w:sdtPr>
                  <w:alias w:val="Numeris"/>
                  <w:tag w:val="nr_47f4716f84574887b2a81784ac802ae3"/>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 xml:space="preserve">Planuojama, kad </w:t>
              </w:r>
              <w:r>
                <w:rPr>
                  <w:rFonts w:eastAsia="Andale Sans UI" w:cs="Tahoma"/>
                  <w:szCs w:val="24"/>
                  <w:lang w:bidi="en-US"/>
                </w:rPr>
                <w:t>privatūs juridiniai asmenys įgyvendins energijos vartojimo efektyvumo priemones, nurodytas energijos vartojimo audito ataskaitoje.</w:t>
              </w:r>
            </w:p>
          </w:sdtContent>
        </w:sdt>
        <w:sdt>
          <w:sdtPr>
            <w:alias w:val="3 p."/>
            <w:tag w:val="part_f6cce754ee464828b503f78eecf502a4"/>
            <w:lock w:val="sdtLocked"/>
            <w:richText/>
          </w:sdtPr>
          <w:sdtContent>
            <w:p>
              <w:pPr>
                <w:ind w:firstLine="567"/>
                <w:jc w:val="both"/>
                <w:rPr>
                  <w:rFonts w:eastAsia="Andale Sans UI"/>
                  <w:b/>
                  <w:bCs/>
                  <w:szCs w:val="24"/>
                  <w:lang w:bidi="en-US"/>
                </w:rPr>
              </w:pPr>
              <w:sdt>
                <w:sdtPr>
                  <w:alias w:val="Numeris"/>
                  <w:tag w:val="nr_f6cce754ee464828b503f78eecf502a4"/>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rFonts w:eastAsia="Andale Sans UI"/>
                  <w:i/>
                  <w:szCs w:val="24"/>
                  <w:lang w:bidi="en-US"/>
                </w:rPr>
              </w:pPr>
              <w:r>
                <w:rPr>
                  <w:rFonts w:eastAsia="Andale Sans UI"/>
                  <w:iCs/>
                  <w:szCs w:val="24"/>
                  <w:lang w:bidi="en-US"/>
                </w:rPr>
                <w:t xml:space="preserve">Projektams finansuoti skirta 5 mln. eurų iš Klimato kaitos programos. </w:t>
              </w:r>
              <w:r>
                <w:rPr>
                  <w:rFonts w:eastAsia="Andale Sans UI"/>
                  <w:i/>
                  <w:szCs w:val="24"/>
                  <w:lang w:bidi="en-US"/>
                </w:rPr>
                <w:t xml:space="preserve"> </w:t>
              </w:r>
            </w:p>
          </w:sdtContent>
        </w:sdt>
        <w:sdt>
          <w:sdtPr>
            <w:alias w:val="4 p."/>
            <w:tag w:val="part_e7b4bec27bc049d0b8cbab4ba0447317"/>
            <w:lock w:val="sdtLocked"/>
            <w:richText/>
          </w:sdtPr>
          <w:sdtContent>
            <w:p>
              <w:pPr>
                <w:ind w:firstLine="567"/>
                <w:jc w:val="both"/>
                <w:rPr>
                  <w:b/>
                  <w:bCs/>
                  <w:szCs w:val="24"/>
                  <w:lang w:eastAsia="lt-LT" w:bidi="en-US"/>
                </w:rPr>
              </w:pPr>
              <w:sdt>
                <w:sdtPr>
                  <w:alias w:val="Numeris"/>
                  <w:tag w:val="nr_e7b4bec27bc049d0b8cbab4ba0447317"/>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c9ddafc7b125462e8fe9bbf05598572a"/>
            <w:lock w:val="sdtLocked"/>
            <w:richText/>
          </w:sdtPr>
          <w:sdtContent>
            <w:p>
              <w:pPr>
                <w:ind w:firstLine="567"/>
                <w:jc w:val="both"/>
                <w:rPr>
                  <w:rFonts w:eastAsia="Andale Sans UI" w:cs="Tahoma"/>
                  <w:szCs w:val="24"/>
                  <w:lang w:bidi="en-US"/>
                </w:rPr>
              </w:pPr>
              <w:sdt>
                <w:sdtPr>
                  <w:alias w:val="Numeris"/>
                  <w:tag w:val="nr_c9ddafc7b125462e8fe9bbf05598572a"/>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4"/>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5"/>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6"/>
              </w:r>
              <w:r>
                <w:rPr>
                  <w:rFonts w:eastAsia="Andale Sans UI"/>
                  <w:color w:val="000000"/>
                  <w:szCs w:val="24"/>
                  <w:lang w:bidi="en-US"/>
                </w:rPr>
                <w:t>)</w:t>
              </w:r>
              <w:r>
                <w:rPr>
                  <w:rFonts w:eastAsia="Andale Sans UI"/>
                  <w:i/>
                  <w:iCs/>
                  <w:color w:val="000000"/>
                  <w:szCs w:val="24"/>
                  <w:lang w:bidi="en-US"/>
                </w:rPr>
                <w:t xml:space="preserve">.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1656c9ccd3814beea435fc87b8df48b4"/>
            <w:lock w:val="sdtLocked"/>
            <w:richText/>
          </w:sdtPr>
          <w:sdtContent>
            <w:p>
              <w:pPr>
                <w:ind w:firstLine="567"/>
                <w:jc w:val="both"/>
                <w:rPr>
                  <w:rFonts w:eastAsia="Andale Sans UI" w:cs="Tahoma"/>
                  <w:szCs w:val="24"/>
                  <w:lang w:bidi="en-US"/>
                </w:rPr>
              </w:pPr>
              <w:sdt>
                <w:sdtPr>
                  <w:alias w:val="Numeris"/>
                  <w:tag w:val="nr_1656c9ccd3814beea435fc87b8df48b4"/>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w:t>
              </w:r>
              <w:r>
                <w:rPr>
                  <w:rFonts w:eastAsia="Andale Sans UI"/>
                  <w:szCs w:val="24"/>
                  <w:vertAlign w:val="superscript"/>
                  <w:lang w:eastAsia="lt-LT" w:bidi="en-US"/>
                </w:rPr>
                <w:footnoteReference w:id="7"/>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w:t>
              </w:r>
            </w:p>
          </w:sdtContent>
        </w:sdt>
        <w:sdt>
          <w:sdtPr>
            <w:alias w:val="7 p."/>
            <w:tag w:val="part_9de8960d98cb4e049d98e4b97146b5f1"/>
            <w:lock w:val="sdtLocked"/>
            <w:richText/>
          </w:sdtPr>
          <w:sdtContent>
            <w:p>
              <w:pPr>
                <w:ind w:firstLine="567"/>
                <w:jc w:val="both"/>
                <w:rPr>
                  <w:rFonts w:eastAsia="Andale Sans UI" w:cs="Tahoma"/>
                  <w:szCs w:val="24"/>
                  <w:lang w:bidi="en-US"/>
                </w:rPr>
              </w:pPr>
              <w:sdt>
                <w:sdtPr>
                  <w:alias w:val="Numeris"/>
                  <w:tag w:val="nr_9de8960d98cb4e049d98e4b97146b5f1"/>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8"/>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9201577f11c64ce790e1fbb26f360877"/>
            <w:lock w:val="sdtLocked"/>
            <w:richText/>
          </w:sdtPr>
          <w:sdtContent>
            <w:p>
              <w:pPr>
                <w:ind w:firstLine="567"/>
                <w:jc w:val="both"/>
                <w:rPr>
                  <w:rFonts w:eastAsia="Andale Sans UI" w:cs="Tahoma"/>
                  <w:color w:val="000000"/>
                  <w:szCs w:val="24"/>
                  <w:lang w:bidi="en-US"/>
                </w:rPr>
              </w:pPr>
              <w:sdt>
                <w:sdtPr>
                  <w:alias w:val="Numeris"/>
                  <w:tag w:val="nr_9201577f11c64ce790e1fbb26f360877"/>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9"/>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rFonts w:eastAsia="Andale Sans UI" w:cs="Tahoma"/>
                  <w:szCs w:val="24"/>
                  <w:lang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dd40c299495c40209688422f11096cef"/>
            <w:lock w:val="sdtLocked"/>
            <w:richText/>
          </w:sdtPr>
          <w:sdtContent>
            <w:p>
              <w:pPr>
                <w:ind w:firstLine="567"/>
                <w:jc w:val="both"/>
                <w:rPr>
                  <w:rFonts w:eastAsia="Andale Sans UI"/>
                  <w:b/>
                  <w:bCs/>
                  <w:szCs w:val="24"/>
                  <w:lang w:bidi="en-US"/>
                </w:rPr>
              </w:pPr>
              <w:sdt>
                <w:sdtPr>
                  <w:alias w:val="Numeris"/>
                  <w:tag w:val="nr_dd40c299495c40209688422f11096cef"/>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sdtContent>
        </w:sdt>
        <w:sdt>
          <w:sdtPr>
            <w:alias w:val="10 p."/>
            <w:tag w:val="part_d1da7fa43b5645afafaa6000e820a312"/>
            <w:lock w:val="sdtLocked"/>
            <w:richText/>
          </w:sdtPr>
          <w:sdtContent>
            <w:p>
              <w:pPr>
                <w:ind w:firstLine="567"/>
                <w:jc w:val="both"/>
                <w:rPr>
                  <w:rFonts w:eastAsia="Andale Sans UI"/>
                  <w:b/>
                  <w:bCs/>
                  <w:szCs w:val="24"/>
                  <w:lang w:bidi="en-US"/>
                </w:rPr>
              </w:pPr>
              <w:sdt>
                <w:sdtPr>
                  <w:alias w:val="Numeris"/>
                  <w:tag w:val="nr_d1da7fa43b5645afafaa6000e820a312"/>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2a7706e8c5e04b0880aa1f0422cffe25"/>
            <w:lock w:val="sdtLocked"/>
            <w:richText/>
          </w:sdtPr>
          <w:sdtContent>
            <w:p>
              <w:pPr>
                <w:ind w:firstLine="567"/>
                <w:jc w:val="both"/>
                <w:rPr>
                  <w:rFonts w:eastAsia="Andale Sans UI"/>
                  <w:b/>
                  <w:bCs/>
                  <w:szCs w:val="24"/>
                  <w:lang w:bidi="en-US"/>
                </w:rPr>
              </w:pPr>
              <w:sdt>
                <w:sdtPr>
                  <w:alias w:val="Numeris"/>
                  <w:tag w:val="nr_2a7706e8c5e04b0880aa1f0422cffe25"/>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b/>
                  <w:bCs/>
                  <w:szCs w:val="24"/>
                  <w:lang w:bidi="en-US"/>
                </w:rPr>
              </w:pPr>
              <w:r>
                <w:rPr>
                  <w:rFonts w:eastAsia="Andale Sans UI"/>
                  <w:szCs w:val="24"/>
                  <w:lang w:bidi="en-US"/>
                </w:rPr>
                <w:t>P</w:t>
              </w:r>
              <w:r>
                <w:rPr>
                  <w:rFonts w:eastAsia="Andale Sans UI"/>
                  <w:color w:val="000000"/>
                  <w:szCs w:val="24"/>
                  <w:lang w:bidi="en-US"/>
                </w:rPr>
                <w:t>rojekte nereglamentuojamas asmens duomenų naudojimas.</w:t>
              </w:r>
            </w:p>
          </w:sdtContent>
        </w:sdt>
        <w:sdt>
          <w:sdtPr>
            <w:alias w:val="12 p."/>
            <w:tag w:val="part_de8ee92746c8454caeb468a2f73dd45f"/>
            <w:lock w:val="sdtLocked"/>
            <w:richText/>
          </w:sdtPr>
          <w:sdtContent>
            <w:p>
              <w:pPr>
                <w:ind w:firstLine="567"/>
                <w:jc w:val="both"/>
                <w:rPr>
                  <w:rFonts w:eastAsia="Andale Sans UI"/>
                  <w:b/>
                  <w:bCs/>
                  <w:i/>
                  <w:color w:val="000000"/>
                  <w:szCs w:val="24"/>
                  <w:lang w:bidi="en-US"/>
                </w:rPr>
              </w:pPr>
              <w:sdt>
                <w:sdtPr>
                  <w:alias w:val="Numeris"/>
                  <w:tag w:val="nr_de8ee92746c8454caeb468a2f73dd45f"/>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92b691b63cd146c8a04022c6e66f2804"/>
            <w:lock w:val="sdtLocked"/>
            <w:richText/>
          </w:sdtPr>
          <w:sdtContent>
            <w:p>
              <w:pPr>
                <w:ind w:firstLine="567"/>
                <w:jc w:val="both"/>
                <w:rPr>
                  <w:rFonts w:eastAsia="Andale Sans UI"/>
                  <w:b/>
                  <w:bCs/>
                  <w:szCs w:val="24"/>
                  <w:lang w:bidi="en-US"/>
                </w:rPr>
              </w:pPr>
              <w:sdt>
                <w:sdtPr>
                  <w:alias w:val="Numeris"/>
                  <w:tag w:val="nr_92b691b63cd146c8a04022c6e66f2804"/>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 (</w:t>
              </w:r>
              <w:r>
                <w:rPr>
                  <w:rFonts w:eastAsia="Andale Sans UI"/>
                  <w:i/>
                  <w:iCs/>
                  <w:szCs w:val="24"/>
                  <w:lang w:bidi="en-US"/>
                </w:rPr>
                <w:t>įrašomas ne trumpesnis nei 10 darbo dienų derinimo terminas arba ne trumpesnis nei 12 darbo dienų derinimo terminas, 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5 darbo dienos (</w:t>
              </w:r>
              <w:r>
                <w:rPr>
                  <w:rFonts w:eastAsia="Calibri" w:cs="Tahoma"/>
                  <w:i/>
                  <w:iCs/>
                  <w:kern w:val="2"/>
                  <w:szCs w:val="24"/>
                  <w:lang w:bidi="en-US"/>
                </w:rPr>
                <w:t xml:space="preserve">jeigu dėl nenumatytų aplinkybių Projektas turi būti priimtas nedelsiant, surašomas motyvuotas prašymas suinteresuotų institucijų pateikti išvadas, o suinteresuotų asmenų – pastabas ir pasiūlymus </w:t>
              </w:r>
              <w:r>
                <w:rPr>
                  <w:rFonts w:eastAsia="Andale Sans UI"/>
                  <w:i/>
                  <w:iCs/>
                  <w:color w:val="000000"/>
                  <w:szCs w:val="24"/>
                  <w:lang w:bidi="en-US"/>
                </w:rPr>
                <w:t xml:space="preserve">dėl Projekto skubos tvarka </w:t>
              </w:r>
              <w:r>
                <w:rPr>
                  <w:rFonts w:eastAsia="Calibri" w:cs="Tahoma"/>
                  <w:i/>
                  <w:iCs/>
                  <w:kern w:val="2"/>
                  <w:szCs w:val="24"/>
                  <w:lang w:eastAsia="lt-LT" w:bidi="en-US"/>
                </w:rPr>
                <w:t>Ministrų, Vyriausybės įstaigų, įstaigų prie ministerijų ir kitų Vyriausybei pavaldžių ir atskaitingų viešojo administravimo subjektų norminių teisės aktų projektų rengimo taisyklių</w:t>
              </w:r>
              <w:r>
                <w:rPr>
                  <w:rFonts w:eastAsia="Andale Sans UI"/>
                  <w:i/>
                  <w:iCs/>
                  <w:szCs w:val="24"/>
                  <w:vertAlign w:val="superscript"/>
                  <w:lang w:bidi="en-US"/>
                </w:rPr>
                <w:footnoteReference w:id="11"/>
              </w:r>
              <w:r>
                <w:rPr>
                  <w:rFonts w:eastAsia="Andale Sans UI"/>
                  <w:i/>
                  <w:iCs/>
                  <w:szCs w:val="24"/>
                  <w:lang w:bidi="en-US"/>
                </w:rPr>
                <w:t xml:space="preserve"> 19 punkte išvardytais išimtiniais atvejais</w:t>
              </w:r>
              <w:r>
                <w:rPr>
                  <w:rFonts w:eastAsia="Andale Sans UI"/>
                  <w:szCs w:val="24"/>
                  <w:lang w:bidi="en-US"/>
                </w:rPr>
                <w:t>)</w:t>
              </w:r>
              <w:r>
                <w:rPr>
                  <w:rFonts w:eastAsia="Andale Sans UI"/>
                  <w:i/>
                  <w:iCs/>
                  <w:szCs w:val="24"/>
                  <w:lang w:bidi="en-US"/>
                </w:rPr>
                <w:t>.</w:t>
              </w:r>
            </w:p>
          </w:sdtContent>
        </w:sdt>
        <w:sdt>
          <w:sdtPr>
            <w:alias w:val="14 p."/>
            <w:tag w:val="part_a1b1596e7fbb40ee9d6c4dfce13adbc9"/>
            <w:lock w:val="sdtLocked"/>
            <w:richText/>
          </w:sdtPr>
          <w:sdtContent>
            <w:p>
              <w:pPr>
                <w:ind w:firstLine="567"/>
                <w:jc w:val="both"/>
                <w:rPr>
                  <w:rFonts w:eastAsia="Andale Sans UI"/>
                  <w:b/>
                  <w:bCs/>
                  <w:szCs w:val="24"/>
                  <w:lang w:bidi="en-US"/>
                </w:rPr>
              </w:pPr>
              <w:sdt>
                <w:sdtPr>
                  <w:alias w:val="Numeris"/>
                  <w:tag w:val="nr_a1b1596e7fbb40ee9d6c4dfce13adbc9"/>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bidi="en-US"/>
                </w:rPr>
              </w:pPr>
              <w:r>
                <w:rPr>
                  <w:rFonts w:eastAsia="Andale Sans UI"/>
                  <w:szCs w:val="24"/>
                  <w:lang w:bidi="en-US"/>
                </w:rPr>
                <w:t xml:space="preserve">Projektą parengė Aplinkos ministerijos Klimato politikos grupės (vadovė – </w:t>
              </w:r>
              <w:r>
                <w:rPr>
                  <w:rFonts w:eastAsia="Andale Sans UI"/>
                  <w:iCs/>
                  <w:szCs w:val="24"/>
                  <w:lang w:bidi="en-US"/>
                </w:rPr>
                <w:t>Vilija Augutavičienė</w:t>
              </w:r>
              <w:r>
                <w:rPr>
                  <w:rFonts w:eastAsia="Andale Sans UI"/>
                  <w:szCs w:val="24"/>
                  <w:lang w:bidi="en-US"/>
                </w:rPr>
                <w:t xml:space="preserve">, </w:t>
              </w:r>
              <w:r>
                <w:rPr>
                  <w:rFonts w:eastAsia="Andale Sans UI"/>
                  <w:iCs/>
                  <w:szCs w:val="24"/>
                  <w:lang w:bidi="en-US"/>
                </w:rPr>
                <w:t>tel. 8 686 17 484,</w:t>
              </w:r>
              <w:r>
                <w:rPr>
                  <w:rFonts w:eastAsia="Andale Sans UI"/>
                  <w:szCs w:val="24"/>
                  <w:lang w:bidi="en-US"/>
                </w:rPr>
                <w:t xml:space="preserve"> </w:t>
              </w:r>
              <w:r>
                <w:rPr>
                  <w:rFonts w:eastAsia="Andale Sans UI"/>
                  <w:color w:val="000080"/>
                  <w:szCs w:val="24"/>
                  <w:u w:val="single"/>
                  <w:lang w:bidi="en-US"/>
                </w:rPr>
                <w:t>vilija.augutaviciene@am.lt</w:t>
              </w:r>
              <w:r>
                <w:rPr>
                  <w:rFonts w:eastAsia="Andale Sans UI"/>
                  <w:szCs w:val="24"/>
                  <w:lang w:bidi="en-US"/>
                </w:rPr>
                <w:t xml:space="preserve">) patarėja Emilija Šaulytė, tel. 8 696 18 175, </w:t>
              </w:r>
              <w:r>
                <w:rPr>
                  <w:rFonts w:eastAsia="Andale Sans UI"/>
                  <w:color w:val="000080"/>
                  <w:szCs w:val="24"/>
                  <w:u w:val="single"/>
                  <w:lang w:bidi="en-US"/>
                </w:rPr>
                <w:t>emilija.saulyte@am.lt</w:t>
              </w:r>
              <w:r>
                <w:rPr>
                  <w:rFonts w:eastAsia="Andale Sans UI"/>
                  <w:szCs w:val="24"/>
                  <w:lang w:bidi="en-US"/>
                </w:rPr>
                <w:t>.</w:t>
              </w:r>
            </w:p>
            <w:p>
              <w:pPr>
                <w:ind w:firstLine="567"/>
                <w:jc w:val="both"/>
                <w:rPr>
                  <w:rFonts w:eastAsia="Andale Sans UI" w:cs="Tahoma"/>
                  <w:szCs w:val="24"/>
                  <w:lang w:eastAsia="lt-LT" w:bidi="en-US"/>
                </w:rPr>
              </w:pPr>
              <w:r>
                <w:rPr>
                  <w:rFonts w:eastAsia="Andale Sans UI"/>
                  <w:szCs w:val="24"/>
                  <w:lang w:bidi="en-US"/>
                </w:rPr>
                <w:t>PRIDEDAMA</w:t>
              </w:r>
              <w:r>
                <w:rPr>
                  <w:rFonts w:eastAsia="Andale Sans UI" w:cs="Tahoma"/>
                  <w:szCs w:val="24"/>
                  <w:lang w:eastAsia="lt-LT" w:bidi="en-US"/>
                </w:rPr>
                <w:t>:</w:t>
              </w:r>
            </w:p>
            <w:sdt>
              <w:sdtPr>
                <w:alias w:val="14 p. 1 pp."/>
                <w:tag w:val="part_5444fe55ec054927b1ea3bce90b90ba2"/>
                <w:lock w:val="sdtLocked"/>
                <w:richText/>
              </w:sdtPr>
              <w:sdtContent>
                <w:p>
                  <w:pPr>
                    <w:ind w:firstLine="567"/>
                    <w:jc w:val="both"/>
                    <w:rPr>
                      <w:rFonts w:eastAsia="Andale Sans UI" w:cs="Tahoma"/>
                      <w:szCs w:val="24"/>
                      <w:lang w:eastAsia="lt-LT" w:bidi="en-US"/>
                    </w:rPr>
                  </w:pPr>
                  <w:sdt>
                    <w:sdtPr>
                      <w:alias w:val="Numeris"/>
                      <w:tag w:val="nr_5444fe55ec054927b1ea3bce90b90ba2"/>
                      <w:lock w:val="sdtLocked"/>
                      <w:richText/>
                    </w:sdtPr>
                    <w:sdtContent>
                      <w:r>
                        <w:rPr>
                          <w:rFonts w:eastAsia="Andale Sans UI" w:cs="Tahoma"/>
                          <w:szCs w:val="24"/>
                          <w:lang w:eastAsia="lt-LT" w:bidi="en-US"/>
                        </w:rPr>
                        <w:t>1</w:t>
                      </w:r>
                    </w:sdtContent>
                  </w:sdt>
                  <w:r>
                    <w:rPr>
                      <w:rFonts w:eastAsia="Andale Sans UI" w:cs="Tahoma"/>
                      <w:szCs w:val="24"/>
                      <w:lang w:eastAsia="lt-LT" w:bidi="en-US"/>
                    </w:rPr>
                    <w:t xml:space="preserve">) Įsakymo </w:t>
                  </w:r>
                  <w:r>
                    <w:rPr>
                      <w:rFonts w:eastAsia="Andale Sans UI" w:cs="Tahoma"/>
                      <w:szCs w:val="24"/>
                      <w:lang w:bidi="en-US"/>
                    </w:rPr>
                    <w:t>p</w:t>
                  </w:r>
                  <w:r>
                    <w:rPr>
                      <w:rFonts w:eastAsia="Andale Sans UI" w:cs="Tahoma"/>
                      <w:szCs w:val="24"/>
                      <w:lang w:eastAsia="lt-LT" w:bidi="en-US"/>
                    </w:rPr>
                    <w:t>rojektas ir projektų finansavimo sąlygų aprašo projektas, 18 lapų.</w:t>
                  </w:r>
                </w:p>
              </w:sdtContent>
            </w:sdt>
            <w:sdt>
              <w:sdtPr>
                <w:alias w:val="14 p. 2 pp."/>
                <w:tag w:val="part_73721685b62e4aafb8954ff0e4d8449a"/>
                <w:lock w:val="sdtLocked"/>
                <w:richText/>
              </w:sdtPr>
              <w:sdtContent>
                <w:p>
                  <w:pPr>
                    <w:ind w:firstLine="567"/>
                    <w:jc w:val="both"/>
                    <w:rPr>
                      <w:rFonts w:eastAsia="Andale Sans UI" w:cs="Tahoma"/>
                      <w:szCs w:val="24"/>
                      <w:lang w:eastAsia="lt-LT" w:bidi="en-US"/>
                    </w:rPr>
                  </w:pPr>
                  <w:sdt>
                    <w:sdtPr>
                      <w:alias w:val="Numeris"/>
                      <w:tag w:val="nr_73721685b62e4aafb8954ff0e4d8449a"/>
                      <w:lock w:val="sdtLocked"/>
                      <w:richText/>
                    </w:sdtPr>
                    <w:sdtContent>
                      <w:r>
                        <w:rPr>
                          <w:rFonts w:eastAsia="Andale Sans UI" w:cs="Tahoma"/>
                          <w:szCs w:val="24"/>
                          <w:lang w:eastAsia="lt-LT" w:bidi="en-US"/>
                        </w:rPr>
                        <w:t>2</w:t>
                      </w:r>
                    </w:sdtContent>
                  </w:sdt>
                  <w:r>
                    <w:rPr>
                      <w:rFonts w:eastAsia="Andale Sans UI" w:cs="Tahoma"/>
                      <w:szCs w:val="24"/>
                      <w:lang w:eastAsia="lt-LT" w:bidi="en-US"/>
                    </w:rPr>
                    <w:t>) Antikorupcinio vertinimo pažyma.</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viceministras</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Kęstutis Šetkus</w:t>
                        </w:r>
                      </w:p>
                    </w:tc>
                  </w:tr>
                  <w:tr>
                    <w:trPr>
                      <w:trHeight w:val="340"/>
                    </w:trPr>
                    <w:tc>
                      <w:tcPr>
                        <w:tcW w:w="4817" w:type="dxa"/>
                        <w:vAlign w:val="bottom"/>
                      </w:tcPr>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tc>
                  </w:tr>
                </w:tbl>
                <w:p>
                  <w:pPr>
                    <w:jc w:val="center"/>
                    <w:rPr>
                      <w:rFonts w:eastAsia="Andale Sans UI" w:cs="Tahoma"/>
                      <w:szCs w:val="24"/>
                      <w:lang w:bidi="en-US"/>
                    </w:rPr>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Content>
        </w:sdt>
        <w:sdt>
          <w:sdtPr>
            <w:alias w:val="signatura"/>
            <w:tag w:val="part_274d8a3a90f0459895f87937a23a4b8d"/>
            <w:lock w:val="sdtLocked"/>
            <w:richText/>
          </w:sdtPr>
          <w:sdtContent>
            <w:p>
              <w:pPr>
                <w:suppressLineNumbers/>
                <w:spacing w:line="276" w:lineRule="auto"/>
                <w:jc w:val="both"/>
                <w:rPr>
                  <w:rFonts w:eastAsia="Andale Sans UI" w:cs="Tahoma"/>
                  <w:spacing w:val="10"/>
                  <w:szCs w:val="24"/>
                  <w:lang w:bidi="en-US"/>
                </w:rPr>
              </w:pPr>
              <w:r>
                <w:rPr>
                  <w:rFonts w:eastAsia="Andale Sans UI" w:cs="Tahoma"/>
                  <w:spacing w:val="10"/>
                  <w:szCs w:val="24"/>
                  <w:lang w:bidi="en-US"/>
                </w:rPr>
                <w:t>Aplinkos projektų valdymo agentūrai</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Energetikos ministerija</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Ekonomikos ir inovacijų ministerijai</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Finansų ministerijai</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 xml:space="preserve">Konkurencijos tarybai </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Žemės ūkio ministerijai</w:t>
              </w:r>
            </w:p>
            <w:p>
              <w:pPr>
                <w:suppressLineNumbers/>
                <w:spacing w:line="276" w:lineRule="auto"/>
                <w:jc w:val="both"/>
                <w:rPr>
                  <w:rFonts w:eastAsia="Andale Sans UI" w:cs="Tahoma"/>
                  <w:spacing w:val="10"/>
                  <w:szCs w:val="24"/>
                  <w:lang w:bidi="en-US"/>
                </w:rPr>
              </w:pPr>
              <w:r>
                <w:rPr>
                  <w:rFonts w:eastAsia="Andale Sans UI" w:cs="Tahoma"/>
                  <w:spacing w:val="10"/>
                  <w:szCs w:val="24"/>
                  <w:lang w:bidi="en-US"/>
                </w:rPr>
                <w:t>Lietuvos pramoninkų konfederacijai</w:t>
              </w:r>
            </w:p>
            <w:p>
              <w:pPr>
                <w:spacing w:line="276" w:lineRule="auto"/>
                <w:jc w:val="both"/>
                <w:rPr>
                  <w:rFonts w:eastAsia="Andale Sans UI" w:cs="Tahoma"/>
                  <w:szCs w:val="24"/>
                  <w:lang w:bidi="en-US"/>
                </w:rPr>
              </w:pPr>
              <w:r>
                <w:rPr>
                  <w:rFonts w:eastAsia="Andale Sans UI" w:cs="Tahoma"/>
                  <w:szCs w:val="24"/>
                  <w:lang w:bidi="en-US"/>
                </w:rPr>
                <w:t>VšĮ Lietuvos energetikos agentūrai</w:t>
              </w:r>
            </w:p>
            <w:p>
              <w:pPr>
                <w:spacing w:line="276" w:lineRule="auto"/>
                <w:jc w:val="both"/>
                <w:rPr>
                  <w:rFonts w:eastAsia="Andale Sans UI" w:cs="Tahoma"/>
                  <w:szCs w:val="24"/>
                  <w:lang w:bidi="en-US"/>
                </w:rPr>
              </w:pPr>
            </w:p>
            <w:p>
              <w:pPr>
                <w:textAlignment w:val="baseline"/>
                <w:rPr>
                  <w:rFonts w:ascii="Segoe UI" w:hAnsi="Segoe UI" w:cs="Segoe UI"/>
                  <w:sz w:val="18"/>
                  <w:szCs w:val="18"/>
                  <w:lang w:eastAsia="lt-LT"/>
                </w:rPr>
              </w:pPr>
            </w:p>
            <w:p>
              <w:pPr>
                <w:textAlignment w:val="baseline"/>
                <w:rPr>
                  <w:rFonts w:ascii="Segoe UI" w:hAnsi="Segoe UI" w:cs="Segoe UI"/>
                  <w:sz w:val="18"/>
                  <w:szCs w:val="18"/>
                  <w:lang w:eastAsia="lt-LT"/>
                </w:rPr>
              </w:pP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17</w:t>
      </w:r>
      <w:r>
        <w:rPr>
          <w:sz w:val="20"/>
          <w:vertAlign w:val="superscript"/>
          <w:lang w:eastAsia="lt-LT"/>
        </w:rPr>
        <w:t>1</w:t>
      </w:r>
      <w:r>
        <w:rPr>
          <w:sz w:val="20"/>
          <w:lang w:eastAsia="lt-LT"/>
        </w:rPr>
        <w:t xml:space="preserve"> ir 35 punktai.</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6">
    <w:p>
      <w:pPr>
        <w:rPr>
          <w:rFonts w:eastAsia="Andale Sans UI" w:cs="Tahoma"/>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r>
        <w:rPr>
          <w:rFonts w:eastAsia="Andale Sans UI"/>
          <w:sz w:val="20"/>
        </w:rPr>
        <w:t xml:space="preserve"> </w:t>
      </w:r>
    </w:p>
  </w:footnote>
  <w:footnote w:id="7">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6"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8">
    <w:p>
      <w:pPr>
        <w:jc w:val="both"/>
        <w:rPr>
          <w:rFonts w:eastAsia="Andale Sans UI"/>
          <w:sz w:val="20"/>
        </w:rPr>
      </w:pPr>
      <w:r>
        <w:rPr>
          <w:rFonts w:eastAsia="Andale Sans UI"/>
          <w:sz w:val="20"/>
          <w:vertAlign w:val="superscript"/>
        </w:rPr>
        <w:footnoteRef/>
      </w:r>
      <w:r>
        <w:rPr>
          <w:rFonts w:eastAsia="Andale Sans UI"/>
          <w:sz w:val="20"/>
        </w:rPr>
        <w:t xml:space="preserve"> </w:t>
      </w:r>
      <w:hyperlink r:id="rId7"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9">
    <w:p>
      <w:pPr>
        <w:jc w:val="both"/>
        <w:rPr>
          <w:sz w:val="20"/>
          <w:lang w:eastAsia="lt-LT"/>
        </w:rPr>
      </w:pPr>
      <w:r>
        <w:rPr>
          <w:rFonts w:eastAsia="Andale Sans UI"/>
          <w:sz w:val="20"/>
          <w:vertAlign w:val="superscript"/>
        </w:rPr>
        <w:footnoteRef/>
        <w:t xml:space="preserve"> </w:t>
      </w:r>
      <w:hyperlink r:id="rId8"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Ministrų, Vyriausybės įstaigų, įstaigų prie ministerijų ir kitų Vyriausybei pavaldžių ir atskaitingų viešojo administravimo subjektų norminių teisės aktų projektų rengimo taisyklės</w:t>
      </w:r>
      <w:r>
        <w:rPr>
          <w:rFonts w:eastAsia="Andale Sans UI"/>
          <w:sz w:val="20"/>
        </w:rPr>
        <w:t>, patvirtintos Lietuvos Respublikos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w:t>
      </w:r>
      <w:r>
        <w:rPr>
          <w:rFonts w:eastAsia="Andale Sans UI" w:cs="Tahoma"/>
          <w:sz w:val="20"/>
        </w:rPr>
        <w:t xml:space="preserve"> </w:t>
      </w:r>
      <w:r>
        <w:rPr>
          <w:rFonts w:eastAsia="Andale Sans UI"/>
          <w:sz w:val="20"/>
        </w:rPr>
        <w:t>patvirtinimo“.</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3</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0CD85F5-0784-4002-ABBB-05B38DB6B5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53168757">
      <w:bodyDiv w:val="1"/>
      <w:marLeft w:val="0"/>
      <w:marRight w:val="0"/>
      <w:marTop w:val="0"/>
      <w:marBottom w:val="0"/>
      <w:divBdr>
        <w:top w:val="none" w:sz="0" w:space="0" w:color="auto"/>
        <w:left w:val="none" w:sz="0" w:space="0" w:color="auto"/>
        <w:bottom w:val="none" w:sz="0" w:space="0" w:color="auto"/>
        <w:right w:val="none" w:sz="0" w:space="0" w:color="auto"/>
      </w:divBdr>
      <w:divsChild>
        <w:div w:id="1601911730">
          <w:marLeft w:val="0"/>
          <w:marRight w:val="120"/>
          <w:marTop w:val="0"/>
          <w:marBottom w:val="0"/>
          <w:divBdr>
            <w:top w:val="none" w:sz="0" w:space="0" w:color="auto"/>
            <w:left w:val="none" w:sz="0" w:space="0" w:color="auto"/>
            <w:bottom w:val="none" w:sz="0" w:space="0" w:color="auto"/>
            <w:right w:val="none" w:sz="0" w:space="0" w:color="auto"/>
          </w:divBdr>
          <w:divsChild>
            <w:div w:id="1155755375">
              <w:marLeft w:val="0"/>
              <w:marRight w:val="0"/>
              <w:marTop w:val="0"/>
              <w:marBottom w:val="0"/>
              <w:divBdr>
                <w:top w:val="single" w:sz="6" w:space="0" w:color="ECECEC"/>
                <w:left w:val="single" w:sz="6" w:space="0" w:color="ECECEC"/>
                <w:bottom w:val="single" w:sz="6" w:space="0" w:color="ECECEC"/>
                <w:right w:val="single" w:sz="6" w:space="0" w:color="ECECEC"/>
              </w:divBdr>
              <w:divsChild>
                <w:div w:id="1107503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452033">
          <w:marLeft w:val="0"/>
          <w:marRight w:val="0"/>
          <w:marTop w:val="0"/>
          <w:marBottom w:val="0"/>
          <w:divBdr>
            <w:top w:val="none" w:sz="0" w:space="0" w:color="auto"/>
            <w:left w:val="none" w:sz="0" w:space="0" w:color="auto"/>
            <w:bottom w:val="none" w:sz="0" w:space="0" w:color="auto"/>
            <w:right w:val="none" w:sz="0" w:space="0" w:color="auto"/>
          </w:divBdr>
          <w:divsChild>
            <w:div w:id="1540314025">
              <w:marLeft w:val="0"/>
              <w:marRight w:val="0"/>
              <w:marTop w:val="0"/>
              <w:marBottom w:val="0"/>
              <w:divBdr>
                <w:top w:val="none" w:sz="0" w:space="0" w:color="auto"/>
                <w:left w:val="none" w:sz="0" w:space="0" w:color="auto"/>
                <w:bottom w:val="none" w:sz="0" w:space="0" w:color="auto"/>
                <w:right w:val="none" w:sz="0" w:space="0" w:color="auto"/>
              </w:divBdr>
            </w:div>
            <w:div w:id="1899433951">
              <w:marLeft w:val="0"/>
              <w:marRight w:val="0"/>
              <w:marTop w:val="0"/>
              <w:marBottom w:val="0"/>
              <w:divBdr>
                <w:top w:val="none" w:sz="0" w:space="0" w:color="auto"/>
                <w:left w:val="none" w:sz="0" w:space="0" w:color="auto"/>
                <w:bottom w:val="none" w:sz="0" w:space="0" w:color="auto"/>
                <w:right w:val="none" w:sz="0" w:space="0" w:color="auto"/>
              </w:divBdr>
              <w:divsChild>
                <w:div w:id="594826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2127844847">
      <w:bodyDiv w:val="1"/>
      <w:marLeft w:val="0"/>
      <w:marRight w:val="0"/>
      <w:marTop w:val="0"/>
      <w:marBottom w:val="0"/>
      <w:divBdr>
        <w:top w:val="none" w:sz="0" w:space="0" w:color="auto"/>
        <w:left w:val="none" w:sz="0" w:space="0" w:color="auto"/>
        <w:bottom w:val="none" w:sz="0" w:space="0" w:color="auto"/>
        <w:right w:val="none" w:sz="0" w:space="0" w:color="auto"/>
      </w:divBdr>
      <w:divsChild>
        <w:div w:id="702826815">
          <w:marLeft w:val="0"/>
          <w:marRight w:val="120"/>
          <w:marTop w:val="0"/>
          <w:marBottom w:val="0"/>
          <w:divBdr>
            <w:top w:val="none" w:sz="0" w:space="0" w:color="auto"/>
            <w:left w:val="none" w:sz="0" w:space="0" w:color="auto"/>
            <w:bottom w:val="none" w:sz="0" w:space="0" w:color="auto"/>
            <w:right w:val="none" w:sz="0" w:space="0" w:color="auto"/>
          </w:divBdr>
          <w:divsChild>
            <w:div w:id="1353411899">
              <w:marLeft w:val="0"/>
              <w:marRight w:val="0"/>
              <w:marTop w:val="0"/>
              <w:marBottom w:val="0"/>
              <w:divBdr>
                <w:top w:val="single" w:sz="6" w:space="0" w:color="ECECEC"/>
                <w:left w:val="single" w:sz="6" w:space="0" w:color="ECECEC"/>
                <w:bottom w:val="single" w:sz="6" w:space="0" w:color="ECECEC"/>
                <w:right w:val="single" w:sz="6" w:space="0" w:color="ECECEC"/>
              </w:divBdr>
              <w:divsChild>
                <w:div w:id="66027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32653">
          <w:marLeft w:val="0"/>
          <w:marRight w:val="0"/>
          <w:marTop w:val="0"/>
          <w:marBottom w:val="0"/>
          <w:divBdr>
            <w:top w:val="none" w:sz="0" w:space="0" w:color="auto"/>
            <w:left w:val="none" w:sz="0" w:space="0" w:color="auto"/>
            <w:bottom w:val="none" w:sz="0" w:space="0" w:color="auto"/>
            <w:right w:val="none" w:sz="0" w:space="0" w:color="auto"/>
          </w:divBdr>
          <w:divsChild>
            <w:div w:id="76942784">
              <w:marLeft w:val="0"/>
              <w:marRight w:val="0"/>
              <w:marTop w:val="0"/>
              <w:marBottom w:val="0"/>
              <w:divBdr>
                <w:top w:val="none" w:sz="0" w:space="0" w:color="auto"/>
                <w:left w:val="none" w:sz="0" w:space="0" w:color="auto"/>
                <w:bottom w:val="none" w:sz="0" w:space="0" w:color="auto"/>
                <w:right w:val="none" w:sz="0" w:space="0" w:color="auto"/>
              </w:divBdr>
            </w:div>
            <w:div w:id="752436558">
              <w:marLeft w:val="0"/>
              <w:marRight w:val="0"/>
              <w:marTop w:val="0"/>
              <w:marBottom w:val="0"/>
              <w:divBdr>
                <w:top w:val="none" w:sz="0" w:space="0" w:color="auto"/>
                <w:left w:val="none" w:sz="0" w:space="0" w:color="auto"/>
                <w:bottom w:val="none" w:sz="0" w:space="0" w:color="auto"/>
                <w:right w:val="none" w:sz="0" w:space="0" w:color="auto"/>
              </w:divBdr>
              <w:divsChild>
                <w:div w:id="11052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814F485EB18B/asr"/>
  <Relationship Id="rId4" Type="http://schemas.openxmlformats.org/officeDocument/2006/relationships/hyperlink" TargetMode="External" Target="https://www.e-tar.lt/portal/lt/legalAct/0635c170d54511eead77e967e3995264"/>
  <Relationship Id="rId6" Type="http://schemas.openxmlformats.org/officeDocument/2006/relationships/hyperlink" TargetMode="External" Target="https://www.e-tar.lt/portal/lt/legalAct/TAR.DB68BCA9E3A0/asr"/>
  <Relationship Id="rId7" Type="http://schemas.openxmlformats.org/officeDocument/2006/relationships/hyperlink" TargetMode="External" Target="https://www.e-tar.lt/portal/lt/legalAct/TAR.EDD5FD371B32/asr"/>
  <Relationship Id="rId8"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3" ma:contentTypeDescription="Kurkite naują dokumentą." ma:contentTypeScope="" ma:versionID="f91c944ec141e5b4cf797cc4af36e69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a3d6eb22ba70123ff6107cb4426811"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UserInfo>
        <DisplayName>Emilija Šaulytė</DisplayName>
        <AccountId>231</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46788f64a1e442c382f701f328779ad6" PartId="60ba0fcb3ace41c68000338a4ea0b26f"/>
  <Part Type="pastraipa" DocPartId="cf2f91382ae9462db42af5968857a46c" PartId="691b65f0719b4078aa1403d3ee2fd7c9">
    <Part Type="punktas" Nr="1" Abbr="1 p." DocPartId="511934a7d06041c9a16ec70bc7634e35" PartId="3e68a244fed0420e820709cf703220d3"/>
    <Part Type="punktas" Nr="2" Abbr="2 p." DocPartId="db54f0f59f29406dad466acc3935b2e7" PartId="47f4716f84574887b2a81784ac802ae3"/>
    <Part Type="punktas" Nr="3" Abbr="3 p." DocPartId="338133f79b5c45249b3bc6833b87403d" PartId="f6cce754ee464828b503f78eecf502a4"/>
    <Part Type="punktas" Nr="4" Abbr="4 p." DocPartId="af1a6aa47b1b4127ba357010e1b60a60" PartId="e7b4bec27bc049d0b8cbab4ba0447317"/>
    <Part Type="punktas" Nr="5" Abbr="5 p." DocPartId="41387b1bd59744abbbcbe74b9b75f432" PartId="c9ddafc7b125462e8fe9bbf05598572a"/>
    <Part Type="punktas" Nr="6" Abbr="6 p." DocPartId="6737b76861a04ba7a60dfd3e03390a6e" PartId="1656c9ccd3814beea435fc87b8df48b4"/>
    <Part Type="punktas" Nr="7" Abbr="7 p." DocPartId="828b907b2a06432385839e1ac5947219" PartId="9de8960d98cb4e049d98e4b97146b5f1"/>
    <Part Type="punktas" Nr="8" Abbr="8 p." DocPartId="0316568d31d44337997b1b89dcfc68a2" PartId="9201577f11c64ce790e1fbb26f360877"/>
    <Part Type="punktas" Nr="9" Abbr="9 p." DocPartId="a8e86a430af146e4a9efd6e825fb78d2" PartId="dd40c299495c40209688422f11096cef"/>
    <Part Type="punktas" Nr="10" Abbr="10 p." DocPartId="d198f0a32a204a3ab3c1620b82334602" PartId="d1da7fa43b5645afafaa6000e820a312"/>
    <Part Type="punktas" Nr="11" Abbr="11 p." DocPartId="b953acbe9d444a6a9f6fbda50a67b5d9" PartId="2a7706e8c5e04b0880aa1f0422cffe25"/>
    <Part Type="punktas" Nr="12" Abbr="12 p." DocPartId="2314478f51fc46d8aee768de293b298f" PartId="de8ee92746c8454caeb468a2f73dd45f"/>
    <Part Type="punktas" Nr="13" Abbr="13 p." DocPartId="1491b69c3feb4870a35e9e8ff3226a59" PartId="92b691b63cd146c8a04022c6e66f2804"/>
    <Part Type="punktas" Nr="14" Abbr="14 p." DocPartId="b36d716769494b69ab473d3abb1145f1" PartId="a1b1596e7fbb40ee9d6c4dfce13adbc9">
      <Part Type="strPapunktis" Nr="1" Abbr="14 p. 1 pp." DocPartId="22631e752c024bf1a6aaa3e08abf8621" PartId="5444fe55ec054927b1ea3bce90b90ba2"/>
      <Part Type="strPapunktis" Nr="2" Abbr="14 p. 2 pp." DocPartId="d1ec6b29d5d14f1c8e8ce64ba8992162" PartId="73721685b62e4aafb8954ff0e4d8449a"/>
    </Part>
    <Part Type="signatura" DocPartId="dbb84f4b56f04660b3b7f62765171902" PartId="274d8a3a90f0459895f87937a23a4b8d"/>
  </Part>
</Parts>
</file>

<file path=customXml/itemProps1.xml><?xml version="1.0" encoding="utf-8"?>
<ds:datastoreItem xmlns:ds="http://schemas.openxmlformats.org/officeDocument/2006/customXml" ds:itemID="{7BFA29D7-0555-4B39-9032-70BEBDEAC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CC1323-9F72-4681-9895-5BB6B34E3FBB}">
  <ds:schemaRefs>
    <ds:schemaRef ds:uri="47c1ea38-b788-4873-88f4-3b1f34597b9a"/>
    <ds:schemaRef ds:uri="http://purl.org/dc/elements/1.1/"/>
    <ds:schemaRef ds:uri="http://schemas.microsoft.com/office/2006/metadata/properties"/>
    <ds:schemaRef ds:uri="0379a545-9986-45d7-9e6d-3845025712a0"/>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252F8BC4-ACDA-4CBD-9AC2-547E0B357D55}">
  <ds:schemaRefs>
    <ds:schemaRef ds:uri="http://schemas.openxmlformats.org/officeDocument/2006/bibliography"/>
  </ds:schemaRefs>
</ds:datastoreItem>
</file>

<file path=customXml/itemProps5.xml><?xml version="1.0" encoding="utf-8"?>
<ds:datastoreItem xmlns:ds="http://schemas.openxmlformats.org/officeDocument/2006/customXml" ds:itemID="{FE809739-BCFC-4F9A-8E87-DD72C90DB7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6802</Characters>
  <Application>Microsoft Office Word</Application>
  <DocSecurity>4</DocSecurity>
  <Lines>151</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2024-10-22T08:24:00Z</dcterms:created>
  <dc:creator>Rita Lukošienė</dc:creator>
  <lastModifiedBy>adlibuser</lastModifiedBy>
  <dcterms:modified xsi:type="dcterms:W3CDTF">2024-10-22T08:24:00Z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