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72dbf04ebe9439eae7389402c1a47bc"/>
        <w:lock w:val="sdtLocked"/>
        <w:richText/>
      </w:sdtPr>
      <w:sdtContent>
        <w:p>
          <w:pPr>
            <w:suppressAutoHyphens/>
            <w:spacing w:line="276" w:lineRule="auto"/>
            <w:jc w:val="center"/>
            <w:textAlignment w:val="baseline"/>
            <w:rPr>
              <w:b/>
              <w:szCs w:val="24"/>
              <w:lang w:eastAsia="lt-LT"/>
            </w:rPr>
          </w:pPr>
          <w:r>
            <w:rPr>
              <w:b/>
              <w:szCs w:val="24"/>
              <w:lang w:eastAsia="lt-LT"/>
            </w:rPr>
            <w:t>TEISĖS AKTO PROJEKTO ANTIKORUPCINIO VERTINIMO PAŽYMA</w:t>
          </w:r>
        </w:p>
        <w:p>
          <w:pPr>
            <w:suppressAutoHyphens/>
            <w:jc w:val="both"/>
            <w:textAlignment w:val="baseline"/>
            <w:rPr>
              <w:b/>
              <w:szCs w:val="24"/>
              <w:lang w:eastAsia="lt-LT"/>
            </w:rPr>
          </w:pPr>
        </w:p>
        <w:sdt>
          <w:sdtPr>
            <w:alias w:val="preambule"/>
            <w:tag w:val="part_4dde1997b90d47a6bef42aad36567132"/>
            <w:lock w:val="sdtLocked"/>
            <w:richText/>
          </w:sdtPr>
          <w:sdtContent>
            <w:p>
              <w:pPr>
                <w:jc w:val="both"/>
                <w:rPr>
                  <w:sz w:val="22"/>
                  <w:szCs w:val="22"/>
                </w:rPr>
              </w:pPr>
              <w:r>
                <w:rPr>
                  <w:szCs w:val="24"/>
                  <w:lang w:eastAsia="lt-LT"/>
                </w:rPr>
                <w:t xml:space="preserve">Teisės akto projekto pavadinimas: </w:t>
              </w:r>
              <w:r>
                <w:rPr>
                  <w:color w:val="000000"/>
                </w:rPr>
                <w:t xml:space="preserve">Lietuvos Respublikos aplinkos ministro įsakymo „Dėl Lietuvos Respublikos aplinkos ministro 2022 m. birželio 1 d. įsakymo Nr. D1-160 „Dėl 2022–2030 metų plėtros programos valdytojos Lietuvos Respublikos aplinkos ministerijos Aplinkos apsaugos ir klimato kaitos valdymo plėtros programos pažangos priemonės Nr. 02-001-06-04-02 „Didinti klimato kaitos politikos veiksmingumą“ aprašo patvirtinimo“ pakeitimo“ projektas </w:t>
              </w:r>
              <w:r>
                <w:rPr>
                  <w:szCs w:val="24"/>
                </w:rPr>
                <w:t>(toliau – Projektas).</w:t>
              </w:r>
              <w:r>
                <w:rPr>
                  <w:color w:val="000000"/>
                </w:rPr>
                <w:t xml:space="preserve"> </w:t>
              </w:r>
            </w:p>
          </w:sdtContent>
        </w:sdt>
        <w:sdt>
          <w:sdtPr>
            <w:alias w:val="pastraipa"/>
            <w:tag w:val="part_ab703992b84a4bc7a3b9c3da0c0fb83f"/>
            <w:lock w:val="sdtLocked"/>
            <w:richText/>
          </w:sdtPr>
          <w:sdtContent>
            <w:p>
              <w:pPr>
                <w:jc w:val="both"/>
                <w:rPr>
                  <w:szCs w:val="24"/>
                  <w:lang w:eastAsia="lt-LT"/>
                </w:rPr>
              </w:pPr>
              <w:r>
                <w:rPr>
                  <w:szCs w:val="24"/>
                  <w:lang w:val="en-GB" w:eastAsia="lt-LT"/>
                </w:rPr>
                <w:t xml:space="preserve">Teisės akto projektų tiesioginis rengėjas: Lietuvos Respublikos aplinkos ministerijos </w:t>
              </w:r>
              <w:r>
                <w:rPr>
                  <w:color w:val="000000"/>
                  <w:shd w:val="clear" w:color="auto" w:fill="FFFFFF"/>
                </w:rPr>
                <w:t>Klimato politikos grupės patarėja Emilija Šaulytė</w:t>
              </w:r>
              <w:r>
                <w:t>.</w:t>
              </w:r>
            </w:p>
            <w:p>
              <w:pPr>
                <w:shd w:val="clear" w:color="auto" w:fill="FFFFFF"/>
                <w:jc w:val="both"/>
                <w:rPr>
                  <w:color w:val="000000"/>
                  <w:szCs w:val="24"/>
                  <w:bdr w:val="none" w:sz="0" w:space="0" w:color="auto" w:frame="1"/>
                  <w:lang w:eastAsia="en-GB"/>
                </w:rPr>
              </w:pPr>
              <w:r>
                <w:rPr>
                  <w:color w:val="000000"/>
                  <w:szCs w:val="24"/>
                  <w:lang w:val="en-GB" w:eastAsia="en-GB"/>
                </w:rPr>
                <w:t>Teisės akto projekto antikorupcinis vertinimas atliktas (</w:t>
              </w:r>
              <w:r>
                <w:rPr>
                  <w:i/>
                  <w:color w:val="000000"/>
                  <w:szCs w:val="24"/>
                  <w:lang w:val="en-GB" w:eastAsia="en-GB"/>
                </w:rPr>
                <w:t>pažymėti reikiamą atsakymą</w:t>
              </w:r>
              <w:r>
                <w:rPr>
                  <w:color w:val="000000"/>
                  <w:szCs w:val="24"/>
                  <w:lang w:val="en-GB" w:eastAsia="en-GB"/>
                </w:rPr>
                <w:t xml:space="preserve">): </w:t>
              </w:r>
            </w:p>
            <w:p>
              <w:pPr>
                <w:suppressAutoHyphens/>
                <w:ind w:left="1560" w:hanging="284"/>
                <w:jc w:val="both"/>
                <w:textAlignment w:val="baseline"/>
                <w:rPr>
                  <w:szCs w:val="24"/>
                  <w:lang w:eastAsia="lt-LT"/>
                </w:rPr>
              </w:pPr>
              <w:r>
                <w:rPr>
                  <w:rFonts w:ascii="Wingdings" w:hAnsi="Wingdings"/>
                  <w:szCs w:val="24"/>
                  <w:lang w:eastAsia="lt-LT"/>
                </w:rPr>
                <w:t></w:t>
              </w:r>
              <w:r>
                <w:rPr>
                  <w:szCs w:val="24"/>
                  <w:lang w:eastAsia="lt-LT"/>
                </w:rPr>
                <w:t xml:space="preserve">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pPr>
                <w:suppressAutoHyphens/>
                <w:ind w:left="556" w:firstLine="720"/>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xml:space="preserve">): </w:t>
              </w:r>
            </w:p>
            <w:p>
              <w:pPr>
                <w:suppressAutoHyphens/>
                <w:spacing w:line="276" w:lineRule="auto"/>
                <w:jc w:val="both"/>
                <w:textAlignment w:val="baseline"/>
                <w:rPr>
                  <w:szCs w:val="24"/>
                  <w:lang w:eastAsia="lt-LT"/>
                </w:rPr>
              </w:pPr>
            </w:p>
          </w:sdtContent>
        </w:sdt>
        <w:sdt>
          <w:sdtPr>
            <w:alias w:val="lentele"/>
            <w:tag w:val="part_a9897c03349d4b969b3f2da76f646983"/>
            <w:lock w:val="sdtLocked"/>
            <w:richText/>
          </w:sdtPr>
          <w:sdtContent>
            <w:tbl>
              <w:tblPr>
                <w:tblW w:w="15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2264"/>
                <w:gridCol w:w="1537"/>
                <w:gridCol w:w="3236"/>
                <w:gridCol w:w="737"/>
                <w:gridCol w:w="1732"/>
                <w:gridCol w:w="2095"/>
                <w:gridCol w:w="2693"/>
                <w:gridCol w:w="501"/>
              </w:tblGrid>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Kriterijų atitinka.</w:t>
                    </w:r>
                  </w:p>
                  <w:p>
                    <w:pPr>
                      <w:jc w:val="both"/>
                      <w:rPr>
                        <w:color w:val="000000"/>
                      </w:rPr>
                    </w:pP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X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2.</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Kriterijų atitinka.</w:t>
                    </w:r>
                  </w:p>
                  <w:p>
                    <w:pPr>
                      <w:suppressAutoHyphens/>
                      <w:jc w:val="both"/>
                      <w:textAlignment w:val="baseline"/>
                      <w:rPr>
                        <w:bCs/>
                      </w:rPr>
                    </w:pP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X tenkina</w:t>
                    </w:r>
                  </w:p>
                  <w:p>
                    <w:pPr>
                      <w:keepNext/>
                      <w:suppressAutoHyphens/>
                      <w:textAlignment w:val="baseline"/>
                      <w:rPr>
                        <w:b/>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color w:val="000000"/>
                        <w:shd w:val="clear" w:color="auto" w:fill="FFFFFF"/>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highlight w:val="yellow"/>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i/>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b/>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t>Kriterijus nėra Projekto reglamentavimo dalykas.</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bCs/>
                      </w:rPr>
                    </w:pPr>
                    <w:r>
                      <w:rPr>
                        <w:bCs/>
                      </w:rPr>
                      <w:t>Kriterijus nėra Projekto reglamentavimo dalykas.</w:t>
                    </w:r>
                  </w:p>
                  <w:p>
                    <w:pPr>
                      <w:suppressAutoHyphens/>
                      <w:jc w:val="both"/>
                      <w:textAlignment w:val="baseline"/>
                      <w:rPr>
                        <w:bCs/>
                      </w:rPr>
                    </w:pP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Taip</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X tenkina</w:t>
                    </w:r>
                  </w:p>
                  <w:p>
                    <w:pPr>
                      <w:suppressAutoHyphens/>
                      <w:textAlignment w:val="baseline"/>
                      <w:rPr>
                        <w:szCs w:val="24"/>
                        <w:lang w:eastAsia="lt-LT"/>
                      </w:rPr>
                    </w:pPr>
                    <w:r>
                      <w:rPr>
                        <w:szCs w:val="24"/>
                        <w:lang w:eastAsia="lt-LT"/>
                      </w:rPr>
                      <w:t>□ netenkina</w:t>
                    </w:r>
                  </w:p>
                </w:tc>
              </w:tr>
              <w:tr>
                <w:trPr>
                  <w:gridAfter w:val="1"/>
                  <w:wAfter w:w="501"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801"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397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r>
                      <w:rPr>
                        <w:szCs w:val="24"/>
                        <w:lang w:eastAsia="lt-LT"/>
                      </w:rPr>
                      <w:t>nėra</w:t>
                    </w:r>
                  </w:p>
                </w:tc>
                <w:tc>
                  <w:tcPr>
                    <w:tcW w:w="382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Before w:val="1"/>
                  <w:wBefore w:w="103" w:type="dxa"/>
                  <w:trHeight w:val="23"/>
                </w:trPr>
                <w:tc>
                  <w:tcPr>
                    <w:tcW w:w="28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24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tc>
                <w:tc>
                  <w:tcPr>
                    <w:tcW w:w="5289" w:type="dxa"/>
                    <w:gridSpan w:val="3"/>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gridBefore w:val="1"/>
                  <w:wBefore w:w="103" w:type="dxa"/>
                  <w:trHeight w:val="23"/>
                </w:trPr>
                <w:tc>
                  <w:tcPr>
                    <w:tcW w:w="28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c>
                  <w:tcPr>
                    <w:tcW w:w="24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5289" w:type="dxa"/>
                    <w:gridSpan w:val="3"/>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p>
                  <w:p>
                    <w:pPr>
                      <w:suppressAutoHyphens/>
                      <w:ind w:left="-11" w:firstLine="11"/>
                      <w:textAlignment w:val="baseline"/>
                      <w:rPr>
                        <w:szCs w:val="24"/>
                        <w:lang w:eastAsia="lt-LT"/>
                      </w:rPr>
                    </w:pPr>
                    <w:r>
                      <w:rPr>
                        <w:szCs w:val="24"/>
                        <w:lang w:eastAsia="lt-LT"/>
                      </w:rPr>
                      <w:t>Aplinkos ministerijos Korupcijos prevencijos ir vidaus tyrimų skyriaus vedėja Irma Vasiliauskienė</w:t>
                    </w:r>
                  </w:p>
                  <w:p>
                    <w:pPr>
                      <w:suppressAutoHyphens/>
                      <w:ind w:left="-11" w:firstLine="2305"/>
                      <w:textAlignment w:val="baseline"/>
                      <w:rPr>
                        <w:szCs w:val="24"/>
                        <w:lang w:eastAsia="lt-LT"/>
                      </w:rPr>
                    </w:pPr>
                  </w:p>
                </w:tc>
              </w:tr>
              <w:tr>
                <w:trPr>
                  <w:gridBefore w:val="1"/>
                  <w:wBefore w:w="103" w:type="dxa"/>
                  <w:trHeight w:val="23"/>
                </w:trPr>
                <w:tc>
                  <w:tcPr>
                    <w:tcW w:w="28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24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289" w:type="dxa"/>
                    <w:gridSpan w:val="3"/>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gridBefore w:val="1"/>
                  <w:wBefore w:w="103" w:type="dxa"/>
                  <w:trHeight w:val="555"/>
                </w:trPr>
                <w:tc>
                  <w:tcPr>
                    <w:tcW w:w="28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p>
                </w:tc>
                <w:tc>
                  <w:tcPr>
                    <w:tcW w:w="2469"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289" w:type="dxa"/>
                    <w:gridSpan w:val="3"/>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p>
                </w:tc>
              </w:tr>
            </w:tbl>
            <w:p/>
          </w:sdtContent>
        </w:sdt>
        <w:sdt>
          <w:sdtPr>
            <w:alias w:val="signatura"/>
            <w:tag w:val="part_dc333850a8e14c0e8ad61e091bc6f2ba"/>
            <w:lock w:val="sdtLocked"/>
            <w:richText/>
          </w:sdtPr>
          <w:sdtContent>
            <w:p>
              <w:pPr>
                <w:tabs>
                  <w:tab w:val="left" w:pos="6237"/>
                </w:tabs>
                <w:suppressAutoHyphens/>
                <w:spacing w:line="276" w:lineRule="auto"/>
                <w:jc w:val="center"/>
                <w:textAlignment w:val="baseline"/>
              </w:pPr>
              <w:r>
                <w:rPr>
                  <w:color w:val="000000"/>
                  <w:szCs w:val="24"/>
                  <w:lang w:eastAsia="lt-LT"/>
                </w:rPr>
                <w:t>___________________________</w:t>
              </w:r>
            </w:p>
            <w:p/>
            <w:p>
              <w:pPr>
                <w:suppressAutoHyphens/>
                <w:jc w:val="both"/>
                <w:textAlignment w:val="baseline"/>
                <w:rPr>
                  <w:szCs w:val="24"/>
                  <w:lang w:eastAsia="lt-LT"/>
                </w:rPr>
              </w:pPr>
            </w:p>
            <w:p>
              <w:pPr>
                <w:suppressAutoHyphens/>
                <w:jc w:val="both"/>
                <w:textAlignment w:val="baseline"/>
                <w:rPr>
                  <w:szCs w:val="24"/>
                  <w:lang w:eastAsia="lt-LT"/>
                </w:rPr>
              </w:pPr>
            </w:p>
            <w:p>
              <w:pPr>
                <w:suppressAutoHyphens/>
                <w:jc w:val="both"/>
                <w:textAlignment w:val="baseline"/>
                <w:rPr>
                  <w:szCs w:val="24"/>
                  <w:lang w:eastAsia="lt-LT"/>
                </w:rPr>
              </w:pPr>
            </w:p>
            <w:tbl>
              <w:tblPr>
                <w:tblW w:w="153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2457"/>
                <w:gridCol w:w="4773"/>
                <w:gridCol w:w="2434"/>
                <w:gridCol w:w="5679"/>
              </w:tblGrid>
              <w:tr>
                <w:trPr>
                  <w:trHeight w:val="23"/>
                </w:trPr>
                <w:tc>
                  <w:tcPr>
                    <w:tcW w:w="2457" w:type="dxa"/>
                    <w:tcBorders>
                      <w:top w:val="nil"/>
                      <w:left w:val="nil"/>
                      <w:bottom w:val="nil"/>
                      <w:right w:val="nil"/>
                    </w:tcBorders>
                    <w:tcMar>
                      <w:top w:w="0" w:type="dxa"/>
                      <w:left w:w="108" w:type="dxa"/>
                      <w:bottom w:w="0" w:type="dxa"/>
                      <w:right w:w="108" w:type="dxa"/>
                    </w:tcMar>
                  </w:tcPr>
                  <w:p>
                    <w:pPr>
                      <w:rPr>
                        <w:szCs w:val="24"/>
                        <w:lang w:eastAsia="lt-LT"/>
                      </w:rPr>
                    </w:pPr>
                  </w:p>
                </w:tc>
                <w:tc>
                  <w:tcPr>
                    <w:tcW w:w="4773" w:type="dxa"/>
                    <w:tcBorders>
                      <w:top w:val="nil"/>
                      <w:left w:val="nil"/>
                      <w:bottom w:val="nil"/>
                      <w:right w:val="nil"/>
                    </w:tcBorders>
                    <w:tcMar>
                      <w:top w:w="0" w:type="dxa"/>
                      <w:left w:w="108" w:type="dxa"/>
                      <w:bottom w:w="0" w:type="dxa"/>
                      <w:right w:w="108" w:type="dxa"/>
                    </w:tcMar>
                    <w:hideMark/>
                  </w:tcPr>
                  <w:p>
                    <w:pPr>
                      <w:suppressAutoHyphens/>
                      <w:ind w:left="-11" w:firstLine="11"/>
                      <w:textAlignment w:val="baseline"/>
                      <w:rPr>
                        <w:szCs w:val="24"/>
                        <w:lang w:eastAsia="lt-LT"/>
                      </w:rPr>
                    </w:pPr>
                  </w:p>
                </w:tc>
                <w:tc>
                  <w:tcPr>
                    <w:tcW w:w="2434"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trHeight w:val="23"/>
                </w:trPr>
                <w:tc>
                  <w:tcPr>
                    <w:tcW w:w="2457"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2434" w:type="dxa"/>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bl>
            <w:p>
              <w:pPr>
                <w:tabs>
                  <w:tab w:val="left" w:pos="6237"/>
                </w:tabs>
                <w:suppressAutoHyphens/>
                <w:spacing w:line="276" w:lineRule="auto"/>
                <w:jc w:val="center"/>
                <w:textAlignment w:val="baseline"/>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135" w:right="962" w:bottom="1135"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5CF8D41D-8328-4471-BBD2-3EFB1B2E05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52428300">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5088086">
      <w:bodyDiv w:val="1"/>
      <w:marLeft w:val="0"/>
      <w:marRight w:val="0"/>
      <w:marTop w:val="0"/>
      <w:marBottom w:val="0"/>
      <w:divBdr>
        <w:top w:val="none" w:sz="0" w:space="0" w:color="auto"/>
        <w:left w:val="none" w:sz="0" w:space="0" w:color="auto"/>
        <w:bottom w:val="none" w:sz="0" w:space="0" w:color="auto"/>
        <w:right w:val="none" w:sz="0" w:space="0" w:color="auto"/>
      </w:divBdr>
    </w:div>
    <w:div w:id="66879517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11665693">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68622100">
      <w:bodyDiv w:val="1"/>
      <w:marLeft w:val="0"/>
      <w:marRight w:val="0"/>
      <w:marTop w:val="0"/>
      <w:marBottom w:val="0"/>
      <w:divBdr>
        <w:top w:val="none" w:sz="0" w:space="0" w:color="auto"/>
        <w:left w:val="none" w:sz="0" w:space="0" w:color="auto"/>
        <w:bottom w:val="none" w:sz="0" w:space="0" w:color="auto"/>
        <w:right w:val="none" w:sz="0" w:space="0" w:color="auto"/>
      </w:divBdr>
      <w:divsChild>
        <w:div w:id="1147360451">
          <w:marLeft w:val="0"/>
          <w:marRight w:val="0"/>
          <w:marTop w:val="0"/>
          <w:marBottom w:val="0"/>
          <w:divBdr>
            <w:top w:val="none" w:sz="0" w:space="0" w:color="auto"/>
            <w:left w:val="none" w:sz="0" w:space="0" w:color="auto"/>
            <w:bottom w:val="none" w:sz="0" w:space="0" w:color="auto"/>
            <w:right w:val="none" w:sz="0" w:space="0" w:color="auto"/>
          </w:divBdr>
        </w:div>
        <w:div w:id="1872648202">
          <w:marLeft w:val="0"/>
          <w:marRight w:val="0"/>
          <w:marTop w:val="0"/>
          <w:marBottom w:val="0"/>
          <w:divBdr>
            <w:top w:val="none" w:sz="0" w:space="0" w:color="auto"/>
            <w:left w:val="none" w:sz="0" w:space="0" w:color="auto"/>
            <w:bottom w:val="none" w:sz="0" w:space="0" w:color="auto"/>
            <w:right w:val="none" w:sz="0" w:space="0" w:color="auto"/>
          </w:divBdr>
        </w:div>
        <w:div w:id="436564745">
          <w:marLeft w:val="0"/>
          <w:marRight w:val="0"/>
          <w:marTop w:val="0"/>
          <w:marBottom w:val="0"/>
          <w:divBdr>
            <w:top w:val="none" w:sz="0" w:space="0" w:color="auto"/>
            <w:left w:val="none" w:sz="0" w:space="0" w:color="auto"/>
            <w:bottom w:val="none" w:sz="0" w:space="0" w:color="auto"/>
            <w:right w:val="none" w:sz="0" w:space="0" w:color="auto"/>
          </w:divBdr>
        </w:div>
        <w:div w:id="980039916">
          <w:marLeft w:val="0"/>
          <w:marRight w:val="0"/>
          <w:marTop w:val="0"/>
          <w:marBottom w:val="0"/>
          <w:divBdr>
            <w:top w:val="none" w:sz="0" w:space="0" w:color="auto"/>
            <w:left w:val="none" w:sz="0" w:space="0" w:color="auto"/>
            <w:bottom w:val="none" w:sz="0" w:space="0" w:color="auto"/>
            <w:right w:val="none" w:sz="0" w:space="0" w:color="auto"/>
          </w:divBdr>
        </w:div>
        <w:div w:id="1634018064">
          <w:marLeft w:val="0"/>
          <w:marRight w:val="0"/>
          <w:marTop w:val="0"/>
          <w:marBottom w:val="0"/>
          <w:divBdr>
            <w:top w:val="none" w:sz="0" w:space="0" w:color="auto"/>
            <w:left w:val="none" w:sz="0" w:space="0" w:color="auto"/>
            <w:bottom w:val="none" w:sz="0" w:space="0" w:color="auto"/>
            <w:right w:val="none" w:sz="0" w:space="0" w:color="auto"/>
          </w:divBdr>
        </w:div>
        <w:div w:id="1092777393">
          <w:marLeft w:val="0"/>
          <w:marRight w:val="0"/>
          <w:marTop w:val="0"/>
          <w:marBottom w:val="0"/>
          <w:divBdr>
            <w:top w:val="none" w:sz="0" w:space="0" w:color="auto"/>
            <w:left w:val="none" w:sz="0" w:space="0" w:color="auto"/>
            <w:bottom w:val="none" w:sz="0" w:space="0" w:color="auto"/>
            <w:right w:val="none" w:sz="0" w:space="0" w:color="auto"/>
          </w:divBdr>
        </w:div>
        <w:div w:id="752167507">
          <w:marLeft w:val="0"/>
          <w:marRight w:val="0"/>
          <w:marTop w:val="0"/>
          <w:marBottom w:val="0"/>
          <w:divBdr>
            <w:top w:val="none" w:sz="0" w:space="0" w:color="auto"/>
            <w:left w:val="none" w:sz="0" w:space="0" w:color="auto"/>
            <w:bottom w:val="none" w:sz="0" w:space="0" w:color="auto"/>
            <w:right w:val="none" w:sz="0" w:space="0" w:color="auto"/>
          </w:divBdr>
        </w:div>
        <w:div w:id="1197085715">
          <w:marLeft w:val="0"/>
          <w:marRight w:val="0"/>
          <w:marTop w:val="0"/>
          <w:marBottom w:val="0"/>
          <w:divBdr>
            <w:top w:val="none" w:sz="0" w:space="0" w:color="auto"/>
            <w:left w:val="none" w:sz="0" w:space="0" w:color="auto"/>
            <w:bottom w:val="none" w:sz="0" w:space="0" w:color="auto"/>
            <w:right w:val="none" w:sz="0" w:space="0" w:color="auto"/>
          </w:divBdr>
        </w:div>
        <w:div w:id="655232832">
          <w:marLeft w:val="0"/>
          <w:marRight w:val="0"/>
          <w:marTop w:val="0"/>
          <w:marBottom w:val="0"/>
          <w:divBdr>
            <w:top w:val="none" w:sz="0" w:space="0" w:color="auto"/>
            <w:left w:val="none" w:sz="0" w:space="0" w:color="auto"/>
            <w:bottom w:val="none" w:sz="0" w:space="0" w:color="auto"/>
            <w:right w:val="none" w:sz="0" w:space="0" w:color="auto"/>
          </w:divBdr>
        </w:div>
        <w:div w:id="290482356">
          <w:marLeft w:val="0"/>
          <w:marRight w:val="0"/>
          <w:marTop w:val="0"/>
          <w:marBottom w:val="0"/>
          <w:divBdr>
            <w:top w:val="none" w:sz="0" w:space="0" w:color="auto"/>
            <w:left w:val="none" w:sz="0" w:space="0" w:color="auto"/>
            <w:bottom w:val="none" w:sz="0" w:space="0" w:color="auto"/>
            <w:right w:val="none" w:sz="0" w:space="0" w:color="auto"/>
          </w:divBdr>
        </w:div>
        <w:div w:id="1586067410">
          <w:marLeft w:val="0"/>
          <w:marRight w:val="0"/>
          <w:marTop w:val="0"/>
          <w:marBottom w:val="0"/>
          <w:divBdr>
            <w:top w:val="none" w:sz="0" w:space="0" w:color="auto"/>
            <w:left w:val="none" w:sz="0" w:space="0" w:color="auto"/>
            <w:bottom w:val="none" w:sz="0" w:space="0" w:color="auto"/>
            <w:right w:val="none" w:sz="0" w:space="0" w:color="auto"/>
          </w:divBdr>
        </w:div>
      </w:divsChild>
    </w:div>
    <w:div w:id="165868240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70353441">
      <w:bodyDiv w:val="1"/>
      <w:marLeft w:val="0"/>
      <w:marRight w:val="0"/>
      <w:marTop w:val="0"/>
      <w:marBottom w:val="0"/>
      <w:divBdr>
        <w:top w:val="none" w:sz="0" w:space="0" w:color="auto"/>
        <w:left w:val="none" w:sz="0" w:space="0" w:color="auto"/>
        <w:bottom w:val="none" w:sz="0" w:space="0" w:color="auto"/>
        <w:right w:val="none" w:sz="0" w:space="0" w:color="auto"/>
      </w:divBdr>
      <w:divsChild>
        <w:div w:id="1556426247">
          <w:marLeft w:val="0"/>
          <w:marRight w:val="0"/>
          <w:marTop w:val="0"/>
          <w:marBottom w:val="0"/>
          <w:divBdr>
            <w:top w:val="none" w:sz="0" w:space="0" w:color="auto"/>
            <w:left w:val="none" w:sz="0" w:space="0" w:color="auto"/>
            <w:bottom w:val="none" w:sz="0" w:space="0" w:color="auto"/>
            <w:right w:val="none" w:sz="0" w:space="0" w:color="auto"/>
          </w:divBdr>
        </w:div>
        <w:div w:id="1792245014">
          <w:marLeft w:val="0"/>
          <w:marRight w:val="0"/>
          <w:marTop w:val="0"/>
          <w:marBottom w:val="0"/>
          <w:divBdr>
            <w:top w:val="none" w:sz="0" w:space="0" w:color="auto"/>
            <w:left w:val="none" w:sz="0" w:space="0" w:color="auto"/>
            <w:bottom w:val="none" w:sz="0" w:space="0" w:color="auto"/>
            <w:right w:val="none" w:sz="0" w:space="0" w:color="auto"/>
          </w:divBdr>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a7175bfef4543feae06aff2c2c59955" PartId="572dbf04ebe9439eae7389402c1a47bc">
    <Part Type="preambule" DocPartId="eefc1f5ead6f4cb091ee644a5c02b4b1" PartId="4dde1997b90d47a6bef42aad36567132"/>
    <Part Type="pastraipa" DocPartId="cd829cfc985f4571b6ae7b5f6ebe53d6" PartId="ab703992b84a4bc7a3b9c3da0c0fb83f"/>
    <Part Type="lentele" DocPartId="8180eb7b101f47e689faad3d4a63b0c2" PartId="a9897c03349d4b969b3f2da76f646983"/>
    <Part Type="signatura" DocPartId="d56031a7d51f49f0abb402ec3fb5a8e9" PartId="dc333850a8e14c0e8ad61e091bc6f2ba"/>
  </Part>
</Parts>
</file>

<file path=customXml/itemProps1.xml><?xml version="1.0" encoding="utf-8"?>
<ds:datastoreItem xmlns:ds="http://schemas.openxmlformats.org/officeDocument/2006/customXml" ds:itemID="{E1B90050-2C58-433D-9A27-B90C01534C03}">
  <ds:schemaRefs>
    <ds:schemaRef ds:uri="http://schemas.openxmlformats.org/officeDocument/2006/bibliography"/>
  </ds:schemaRefs>
</ds:datastoreItem>
</file>

<file path=customXml/itemProps2.xml><?xml version="1.0" encoding="utf-8"?>
<ds:datastoreItem xmlns:ds="http://schemas.openxmlformats.org/officeDocument/2006/customXml" ds:itemID="{E45CA734-D56B-45A0-96DD-79460F0AA3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858</Words>
  <Characters>6253</Characters>
  <Application>Microsoft Office Word</Application>
  <DocSecurity>4</DocSecurity>
  <Lines>312</Lines>
  <Paragraphs>136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6975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2024-10-22T08:24:00Z</dcterms:created>
  <dc:creator>lrvk</dc:creator>
  <lastModifiedBy>adlibuser</lastModifiedBy>
  <lastPrinted>2017-06-01T05:28:00Z</lastPrinted>
  <dcterms:modified xsi:type="dcterms:W3CDTF">2024-10-22T08:24:00Z</dcterms:modified>
  <revision>2</revision>
</coreProperties>
</file>