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40d662086d433aa75e3738b2e7cde7"/>
        <w:lock w:val="sdtLocked"/>
        <w:richText/>
      </w:sdtPr>
      <w:sdtContent>
        <w:p>
          <w:pPr>
            <w:tabs>
              <w:tab w:val="center" w:pos="4819"/>
              <w:tab w:val="left" w:pos="7371"/>
              <w:tab w:val="right" w:pos="9638"/>
            </w:tabs>
            <w:suppressAutoHyphens/>
            <w:rPr>
              <w:b/>
              <w:szCs w:val="24"/>
              <w:lang w:eastAsia="ar-SA"/>
            </w:rPr>
          </w:pPr>
          <w:r>
            <w:rPr>
              <w:b/>
              <w:szCs w:val="24"/>
              <w:lang w:eastAsia="ar-SA"/>
            </w:rPr>
            <w:tab/>
            <w:t xml:space="preserve">                                                                                                 </w:t>
          </w:r>
        </w:p>
        <w:p>
          <w:pPr>
            <w:tabs>
              <w:tab w:val="center" w:pos="4819"/>
              <w:tab w:val="left" w:pos="7371"/>
              <w:tab w:val="right" w:pos="9638"/>
            </w:tabs>
            <w:suppressAutoHyphens/>
            <w:rPr>
              <w:b/>
              <w:szCs w:val="24"/>
              <w:lang w:eastAsia="ar-SA"/>
            </w:rPr>
          </w:pPr>
        </w:p>
        <w:p>
          <w:pPr>
            <w:tabs>
              <w:tab w:val="center" w:pos="4819"/>
              <w:tab w:val="left" w:pos="7371"/>
              <w:tab w:val="right" w:pos="9638"/>
            </w:tabs>
            <w:suppressAutoHyphens/>
            <w:rPr>
              <w:b/>
              <w:szCs w:val="24"/>
              <w:lang w:eastAsia="ar-SA"/>
            </w:rPr>
          </w:pPr>
          <w:r>
            <w:rPr>
              <w:b/>
              <w:szCs w:val="24"/>
              <w:lang w:eastAsia="ar-SA"/>
            </w:rPr>
            <w:tab/>
            <w:t xml:space="preserve">                                                                                                  Projekto</w:t>
          </w:r>
        </w:p>
        <w:p>
          <w:pPr>
            <w:tabs>
              <w:tab w:val="left" w:pos="7230"/>
              <w:tab w:val="right" w:pos="9638"/>
            </w:tabs>
            <w:suppressAutoHyphens/>
            <w:ind w:firstLine="7230"/>
            <w:jc w:val="center"/>
            <w:rPr>
              <w:szCs w:val="24"/>
              <w:lang w:val="x-none" w:eastAsia="ar-SA"/>
            </w:rPr>
          </w:pPr>
          <w:r>
            <w:rPr>
              <w:b/>
              <w:szCs w:val="24"/>
              <w:lang w:val="x-none" w:eastAsia="ar-SA"/>
            </w:rPr>
            <w:t>lyginamasis variantas</w:t>
          </w:r>
        </w:p>
        <w:p>
          <w:pPr>
            <w:tabs>
              <w:tab w:val="center" w:pos="4819"/>
              <w:tab w:val="right" w:pos="9638"/>
            </w:tabs>
            <w:suppressAutoHyphens/>
            <w:rPr>
              <w:szCs w:val="24"/>
              <w:lang w:val="x-none" w:eastAsia="ar-SA"/>
            </w:rPr>
          </w:pPr>
        </w:p>
      </w:sdtContent>
    </w:sdt>
    <w:sdt>
      <w:sdtPr>
        <w:alias w:val="patvirtinta"/>
        <w:tag w:val="part_7389f9b30a0f4d3e9608a09436ac14ff"/>
        <w:lock w:val="sdtLocked"/>
        <w:richText/>
      </w:sdtPr>
      <w:sdtContent>
        <w:p>
          <w:pPr>
            <w:keepNext/>
            <w:keepLines/>
            <w:suppressAutoHyphens/>
            <w:ind w:left="3888" w:firstLine="1296"/>
            <w:rPr>
              <w:bCs/>
              <w:szCs w:val="24"/>
              <w:lang w:eastAsia="ar-SA"/>
            </w:rPr>
          </w:pPr>
          <w:r>
            <w:rPr>
              <w:bCs/>
              <w:szCs w:val="24"/>
              <w:lang w:eastAsia="ar-SA"/>
            </w:rPr>
            <w:t>PATVIRTINTA</w:t>
          </w:r>
        </w:p>
        <w:p>
          <w:pPr>
            <w:suppressAutoHyphens/>
            <w:ind w:left="3888" w:firstLine="1296"/>
            <w:rPr>
              <w:szCs w:val="24"/>
              <w:lang w:eastAsia="ar-SA"/>
            </w:rPr>
          </w:pPr>
          <w:r>
            <w:rPr>
              <w:szCs w:val="24"/>
              <w:lang w:eastAsia="ar-SA"/>
            </w:rPr>
            <w:t>Šiaulių miesto savivaldybės tarybos</w:t>
          </w:r>
        </w:p>
        <w:p>
          <w:pPr>
            <w:tabs>
              <w:tab w:val="left" w:pos="6804"/>
            </w:tabs>
            <w:overflowPunct w:val="0"/>
            <w:ind w:left="284" w:firstLine="5084"/>
            <w:rPr>
              <w:szCs w:val="24"/>
            </w:rPr>
          </w:pPr>
          <w:r>
            <w:rPr>
              <w:szCs w:val="24"/>
              <w:lang w:eastAsia="ar-SA"/>
            </w:rPr>
            <w:t xml:space="preserve">2022 m. </w:t>
          </w:r>
          <w:r>
            <w:rPr>
              <w:bCs/>
              <w:szCs w:val="24"/>
              <w:lang w:eastAsia="ar-SA"/>
            </w:rPr>
            <w:t>vasario 3</w:t>
          </w:r>
          <w:r>
            <w:rPr>
              <w:szCs w:val="24"/>
              <w:lang w:eastAsia="ar-SA"/>
            </w:rPr>
            <w:t xml:space="preserve"> d. sprendimu Nr. </w:t>
          </w:r>
          <w:r>
            <w:rPr>
              <w:bCs/>
              <w:szCs w:val="24"/>
              <w:lang w:eastAsia="ar-SA"/>
            </w:rPr>
            <w:t>T-13</w:t>
          </w:r>
          <w:r>
            <w:rPr>
              <w:szCs w:val="24"/>
            </w:rPr>
            <w:t xml:space="preserve">  </w:t>
          </w:r>
        </w:p>
        <w:sdt>
          <w:sdtPr>
            <w:alias w:val="Pavadinimas"/>
            <w:tag w:val="title_7389f9b30a0f4d3e9608a09436ac14ff"/>
            <w:lock w:val="sdtLocked"/>
            <w:richText/>
          </w:sdtPr>
          <w:sdtContent>
            <w:p>
              <w:pPr>
                <w:suppressAutoHyphens/>
                <w:ind w:firstLine="5394"/>
                <w:jc w:val="both"/>
                <w:rPr>
                  <w:rFonts w:eastAsia="Calibri"/>
                  <w:b/>
                  <w:szCs w:val="24"/>
                  <w:lang w:eastAsia="ar-SA"/>
                </w:rPr>
              </w:pPr>
              <w:r>
                <w:rPr>
                  <w:rFonts w:eastAsia="Calibri"/>
                  <w:b/>
                  <w:szCs w:val="24"/>
                  <w:shd w:val="clear" w:color="auto" w:fill="FFFFFF"/>
                  <w:lang w:eastAsia="ar-SA"/>
                </w:rPr>
                <w:t>(Šiaulių miesto savivaldybės tarybos</w:t>
              </w:r>
              <w:r>
                <w:rPr>
                  <w:rFonts w:eastAsia="Calibri"/>
                  <w:b/>
                  <w:szCs w:val="24"/>
                  <w:lang w:eastAsia="ar-SA"/>
                </w:rPr>
                <w:t xml:space="preserve"> </w:t>
              </w:r>
            </w:p>
            <w:p>
              <w:pPr>
                <w:suppressAutoHyphens/>
                <w:ind w:firstLine="5394"/>
                <w:jc w:val="both"/>
                <w:rPr>
                  <w:rFonts w:eastAsia="Calibri"/>
                  <w:b/>
                  <w:szCs w:val="24"/>
                  <w:lang w:eastAsia="ar-SA"/>
                </w:rPr>
              </w:pPr>
              <w:r>
                <w:rPr>
                  <w:rFonts w:eastAsia="Calibri"/>
                  <w:b/>
                  <w:szCs w:val="24"/>
                  <w:lang w:eastAsia="ar-SA"/>
                </w:rPr>
                <w:t xml:space="preserve">2023 m.                   d. sprendimo Nr.</w:t>
              </w:r>
            </w:p>
            <w:p>
              <w:pPr>
                <w:suppressAutoHyphens/>
                <w:ind w:firstLine="5394"/>
                <w:jc w:val="both"/>
                <w:rPr>
                  <w:rFonts w:eastAsia="Calibri"/>
                  <w:b/>
                  <w:szCs w:val="24"/>
                  <w:shd w:val="clear" w:color="auto" w:fill="FFFFFF"/>
                  <w:lang w:eastAsia="ar-SA"/>
                </w:rPr>
              </w:pPr>
              <w:r>
                <w:rPr>
                  <w:rFonts w:eastAsia="Calibri"/>
                  <w:b/>
                  <w:szCs w:val="24"/>
                  <w:lang w:eastAsia="ar-SA"/>
                </w:rPr>
                <w:t>redakcija)</w:t>
              </w:r>
              <w:r>
                <w:rPr>
                  <w:rFonts w:eastAsia="Calibri"/>
                  <w:b/>
                  <w:szCs w:val="24"/>
                  <w:shd w:val="clear" w:color="auto" w:fill="FFFFFF"/>
                  <w:lang w:eastAsia="ar-SA"/>
                </w:rPr>
                <w:t xml:space="preserve"> </w:t>
              </w:r>
            </w:p>
          </w:sdtContent>
        </w:sdt>
        <w:p>
          <w:pPr>
            <w:tabs>
              <w:tab w:val="left" w:pos="6804"/>
            </w:tabs>
            <w:overflowPunct w:val="0"/>
            <w:ind w:left="284"/>
            <w:rPr>
              <w:b/>
              <w:color w:val="000000"/>
              <w:szCs w:val="28"/>
            </w:rPr>
          </w:pPr>
        </w:p>
        <w:sdt>
          <w:sdtPr>
            <w:alias w:val="skirsnis"/>
            <w:tag w:val="part_a3ae2ef9b2f046e2b8378af0ca793802"/>
            <w:lock w:val="sdtLocked"/>
            <w:richText/>
          </w:sdtPr>
          <w:sdtContent>
            <w:p>
              <w:pPr>
                <w:suppressAutoHyphens/>
                <w:jc w:val="center"/>
                <w:rPr>
                  <w:b/>
                  <w:color w:val="000000"/>
                  <w:szCs w:val="24"/>
                  <w:lang w:eastAsia="ar-SA"/>
                </w:rPr>
              </w:pPr>
              <w:sdt>
                <w:sdtPr>
                  <w:alias w:val="Pavadinimas"/>
                  <w:tag w:val="title_a3ae2ef9b2f046e2b8378af0ca793802"/>
                  <w:lock w:val="sdtLocked"/>
                  <w:richText/>
                </w:sdtPr>
                <w:sdtContent>
                  <w:r>
                    <w:rPr>
                      <w:b/>
                      <w:szCs w:val="24"/>
                      <w:lang w:eastAsia="ar-SA"/>
                    </w:rPr>
                    <w:t xml:space="preserve">ŠIAULIŲ MIESTO SAVIVALDYBĖS NEFORMALIOJO VAIKŲ ŠVIETIMO TEIKĖJŲ VEIKLOS KOKYBĖS IŠORINIO VERTINIMO IR APMOKĖJIMO  TVARKOS APRAŠAS</w:t>
                  </w:r>
                </w:sdtContent>
              </w:sdt>
            </w:p>
            <w:p>
              <w:pPr>
                <w:suppressAutoHyphens/>
                <w:jc w:val="center"/>
                <w:rPr>
                  <w:b/>
                  <w:color w:val="000000"/>
                  <w:szCs w:val="24"/>
                  <w:lang w:eastAsia="ar-SA"/>
                </w:rPr>
              </w:pPr>
            </w:p>
          </w:sdtContent>
        </w:sdt>
        <w:sdt>
          <w:sdtPr>
            <w:alias w:val="skyrius"/>
            <w:tag w:val="part_e14054a68c3d4a8b86ccb9252142656f"/>
            <w:lock w:val="sdtLocked"/>
            <w:richText/>
          </w:sdtPr>
          <w:sdtContent>
            <w:p>
              <w:pPr>
                <w:suppressAutoHyphens/>
                <w:jc w:val="center"/>
                <w:rPr>
                  <w:rFonts w:cs="Calibri"/>
                  <w:b/>
                  <w:color w:val="000000"/>
                  <w:szCs w:val="24"/>
                  <w:lang w:eastAsia="ar-SA"/>
                </w:rPr>
              </w:pPr>
              <w:sdt>
                <w:sdtPr>
                  <w:alias w:val="Numeris"/>
                  <w:tag w:val="nr_e14054a68c3d4a8b86ccb9252142656f"/>
                  <w:lock w:val="sdtLocked"/>
                  <w:richText/>
                </w:sdtPr>
                <w:sdtContent>
                  <w:r>
                    <w:rPr>
                      <w:rFonts w:cs="Calibri"/>
                      <w:b/>
                      <w:color w:val="000000"/>
                      <w:szCs w:val="24"/>
                      <w:lang w:eastAsia="ar-SA"/>
                    </w:rPr>
                    <w:t>I</w:t>
                  </w:r>
                </w:sdtContent>
              </w:sdt>
              <w:r>
                <w:rPr>
                  <w:rFonts w:cs="Calibri"/>
                  <w:b/>
                  <w:color w:val="000000"/>
                  <w:szCs w:val="24"/>
                  <w:lang w:eastAsia="ar-SA"/>
                </w:rPr>
                <w:t xml:space="preserve"> SKYRIUS </w:t>
              </w:r>
            </w:p>
            <w:p>
              <w:pPr>
                <w:suppressAutoHyphens/>
                <w:jc w:val="center"/>
                <w:rPr>
                  <w:rFonts w:cs="Calibri"/>
                  <w:b/>
                  <w:color w:val="000000"/>
                  <w:szCs w:val="24"/>
                  <w:lang w:eastAsia="ar-SA"/>
                </w:rPr>
              </w:pPr>
              <w:sdt>
                <w:sdtPr>
                  <w:alias w:val="Pavadinimas"/>
                  <w:tag w:val="title_e14054a68c3d4a8b86ccb9252142656f"/>
                  <w:lock w:val="sdtLocked"/>
                  <w:richText/>
                </w:sdtPr>
                <w:sdtContent>
                  <w:r>
                    <w:rPr>
                      <w:rFonts w:cs="Calibri"/>
                      <w:b/>
                      <w:color w:val="000000"/>
                      <w:szCs w:val="24"/>
                      <w:lang w:eastAsia="ar-SA"/>
                    </w:rPr>
                    <w:t>BENDROSIOS NUOSTATOS</w:t>
                  </w:r>
                </w:sdtContent>
              </w:sdt>
            </w:p>
            <w:p>
              <w:pPr>
                <w:suppressAutoHyphens/>
                <w:spacing w:line="276" w:lineRule="auto"/>
                <w:ind w:firstLine="1298"/>
                <w:jc w:val="both"/>
                <w:rPr>
                  <w:rFonts w:cs="Calibri"/>
                  <w:color w:val="000000"/>
                  <w:szCs w:val="24"/>
                  <w:lang w:eastAsia="ar-SA"/>
                </w:rPr>
              </w:pPr>
            </w:p>
            <w:p>
              <w:pPr>
                <w:rPr>
                  <w:sz w:val="18"/>
                  <w:szCs w:val="18"/>
                </w:rPr>
              </w:pPr>
            </w:p>
            <w:sdt>
              <w:sdtPr>
                <w:alias w:val="1 p."/>
                <w:tag w:val="part_4459f7c610fe423caa28929fb65bdb5f"/>
                <w:lock w:val="sdtLocked"/>
                <w:richText/>
              </w:sdtPr>
              <w:sdtContent>
                <w:p>
                  <w:pPr>
                    <w:suppressAutoHyphens/>
                    <w:ind w:firstLine="1298"/>
                    <w:jc w:val="both"/>
                    <w:rPr>
                      <w:color w:val="000000"/>
                      <w:szCs w:val="24"/>
                      <w:lang w:eastAsia="lt-LT"/>
                    </w:rPr>
                  </w:pPr>
                  <w:sdt>
                    <w:sdtPr>
                      <w:alias w:val="Numeris"/>
                      <w:tag w:val="nr_4459f7c610fe423caa28929fb65bdb5f"/>
                      <w:lock w:val="sdtLocked"/>
                      <w:richText/>
                    </w:sdtPr>
                    <w:sdtContent>
                      <w:r>
                        <w:rPr>
                          <w:color w:val="000000"/>
                          <w:szCs w:val="24"/>
                          <w:lang w:eastAsia="lt-LT"/>
                        </w:rPr>
                        <w:t>1</w:t>
                      </w:r>
                    </w:sdtContent>
                  </w:sdt>
                  <w:r>
                    <w:rPr>
                      <w:color w:val="000000"/>
                      <w:szCs w:val="24"/>
                      <w:lang w:eastAsia="lt-LT"/>
                    </w:rPr>
                    <w:t>. Šiaulių miesto savivaldybės neformaliojo vaikų švietimo teikėjų veiklos kokybės išorinio vertinimo ir apmokėjimo tvarkos aprašas (toliau – Aprašas) reglamentuoja neformaliojo vaikų švietimo (toliau – NVŠ) teikėjų veiklos kokybės išorinio vertinimo (toliau – išorinis vertinimas) organizavimą, vertinimą ir išorinį vertinimą atliekančių, bet vertinamam NVŠ teikėjui nepriklausančių asmenų, dirbančių pagal verslo liudijimą ar individualios veiklos pažymą, apmokėjimo už darbą dydį ir tvarką.</w:t>
                  </w:r>
                </w:p>
              </w:sdtContent>
            </w:sdt>
            <w:sdt>
              <w:sdtPr>
                <w:alias w:val="2 p."/>
                <w:tag w:val="part_1cc8e34de2c544b58d0f8fe3a9891947"/>
                <w:lock w:val="sdtLocked"/>
                <w:richText/>
              </w:sdtPr>
              <w:sdtContent>
                <w:p>
                  <w:pPr>
                    <w:suppressAutoHyphens/>
                    <w:ind w:firstLine="1298"/>
                    <w:jc w:val="both"/>
                    <w:rPr>
                      <w:color w:val="000000"/>
                      <w:szCs w:val="24"/>
                      <w:lang w:eastAsia="lt-LT"/>
                    </w:rPr>
                  </w:pPr>
                  <w:sdt>
                    <w:sdtPr>
                      <w:alias w:val="Numeris"/>
                      <w:tag w:val="nr_1cc8e34de2c544b58d0f8fe3a9891947"/>
                      <w:lock w:val="sdtLocked"/>
                      <w:richText/>
                    </w:sdtPr>
                    <w:sdtContent>
                      <w:r>
                        <w:rPr>
                          <w:color w:val="000000"/>
                          <w:szCs w:val="24"/>
                          <w:lang w:eastAsia="lt-LT"/>
                        </w:rPr>
                        <w:t>2</w:t>
                      </w:r>
                    </w:sdtContent>
                  </w:sdt>
                  <w:r>
                    <w:rPr>
                      <w:color w:val="000000"/>
                      <w:szCs w:val="24"/>
                      <w:lang w:eastAsia="lt-LT"/>
                    </w:rPr>
                    <w:t>. Išorinio vertinimo išlaidas finansuoja savininkas, savininko teises ir pareigas įgyvendinanti institucija (dalyvių susirinkimas).</w:t>
                  </w:r>
                </w:p>
              </w:sdtContent>
            </w:sdt>
            <w:sdt>
              <w:sdtPr>
                <w:alias w:val="3 p."/>
                <w:tag w:val="part_23830778b22e40c7b646548b0a72a40f"/>
                <w:lock w:val="sdtLocked"/>
                <w:richText/>
              </w:sdtPr>
              <w:sdtContent>
                <w:p>
                  <w:pPr>
                    <w:suppressAutoHyphens/>
                    <w:ind w:firstLine="1298"/>
                    <w:jc w:val="both"/>
                    <w:rPr>
                      <w:color w:val="000000"/>
                      <w:szCs w:val="24"/>
                      <w:lang w:eastAsia="ar-SA"/>
                    </w:rPr>
                  </w:pPr>
                  <w:sdt>
                    <w:sdtPr>
                      <w:alias w:val="Numeris"/>
                      <w:tag w:val="nr_23830778b22e40c7b646548b0a72a40f"/>
                      <w:lock w:val="sdtLocked"/>
                      <w:richText/>
                    </w:sdtPr>
                    <w:sdtContent>
                      <w:r>
                        <w:rPr>
                          <w:color w:val="000000"/>
                          <w:szCs w:val="24"/>
                          <w:lang w:eastAsia="ar-SA"/>
                        </w:rPr>
                        <w:t>3</w:t>
                      </w:r>
                    </w:sdtContent>
                  </w:sdt>
                  <w:r>
                    <w:rPr>
                      <w:color w:val="000000"/>
                      <w:szCs w:val="24"/>
                      <w:lang w:eastAsia="ar-SA"/>
                    </w:rPr>
                    <w:t xml:space="preserve">. Šiaulių miesto savivaldybės administracijos Švietimo skyrius (toliau – Švietimo skyrius), vadovaudamasis Aprašu, kasmet planuoja biudžeto lėšas ne daugiau nei dviejų NVŠ teikėjų veiklos kokybės išoriniam vertinimui. </w:t>
                  </w:r>
                </w:p>
              </w:sdtContent>
            </w:sdt>
            <w:sdt>
              <w:sdtPr>
                <w:alias w:val="4 p."/>
                <w:tag w:val="part_fb4ab821ea064e03a230d404c128ae06"/>
                <w:lock w:val="sdtLocked"/>
                <w:richText/>
              </w:sdtPr>
              <w:sdtContent>
                <w:p>
                  <w:pPr>
                    <w:suppressAutoHyphens/>
                    <w:overflowPunct w:val="0"/>
                    <w:ind w:firstLine="1296"/>
                    <w:jc w:val="both"/>
                    <w:textAlignment w:val="baseline"/>
                    <w:rPr>
                      <w:szCs w:val="24"/>
                      <w:lang w:eastAsia="zh-CN"/>
                    </w:rPr>
                  </w:pPr>
                  <w:sdt>
                    <w:sdtPr>
                      <w:alias w:val="Numeris"/>
                      <w:tag w:val="nr_fb4ab821ea064e03a230d404c128ae06"/>
                      <w:lock w:val="sdtLocked"/>
                      <w:richText/>
                    </w:sdtPr>
                    <w:sdtContent>
                      <w:r>
                        <w:rPr>
                          <w:color w:val="000000"/>
                          <w:szCs w:val="24"/>
                          <w:lang w:eastAsia="ar-SA"/>
                        </w:rPr>
                        <w:t>4</w:t>
                      </w:r>
                    </w:sdtContent>
                  </w:sdt>
                  <w:r>
                    <w:rPr>
                      <w:color w:val="000000"/>
                      <w:szCs w:val="24"/>
                      <w:lang w:eastAsia="ar-SA"/>
                    </w:rPr>
                    <w:t xml:space="preserve">. Apraše vartojamos sąvokos atitinka Lietuvos Respublikos darbo kodekse, </w:t>
                  </w:r>
                  <w:r>
                    <w:rPr>
                      <w:szCs w:val="24"/>
                      <w:lang w:eastAsia="zh-CN"/>
                    </w:rPr>
                    <w:t>Šiaulių miesto savivaldybės neformaliojo vaikų švietimo teikėjų veiklos kokybės įsivertinimo ir išorinio vertinimo</w:t>
                  </w:r>
                  <w:r>
                    <w:rPr>
                      <w:b/>
                      <w:bCs/>
                      <w:caps/>
                      <w:szCs w:val="24"/>
                      <w:lang w:eastAsia="zh-CN"/>
                    </w:rPr>
                    <w:t xml:space="preserve"> </w:t>
                  </w:r>
                  <w:r>
                    <w:rPr>
                      <w:color w:val="000000"/>
                      <w:szCs w:val="24"/>
                      <w:lang w:eastAsia="ar-SA"/>
                    </w:rPr>
                    <w:t xml:space="preserve">tvarkos apraše, patvirtintame Šiaulių miesto savivaldybės tarybos 2020 m. gruodžio 3 d.  sprendimu  Nr. T-455 „</w:t>
                  </w:r>
                  <w:r>
                    <w:rPr>
                      <w:szCs w:val="24"/>
                      <w:lang w:eastAsia="zh-CN"/>
                    </w:rPr>
                    <w:t xml:space="preserve">Dėl  Šiaulių miesto savivaldybės neformaliojo vaikų švietimo teikėjų veiklos kokybės įsivertinimo ir išorinio vertinimo tvarkos aprašo patvirtinimo“</w:t>
                  </w:r>
                  <w:r>
                    <w:rPr>
                      <w:color w:val="000000"/>
                      <w:szCs w:val="24"/>
                      <w:lang w:eastAsia="ar-SA"/>
                    </w:rPr>
                    <w:t xml:space="preserve">  vartojamas sąvokas.</w:t>
                  </w:r>
                </w:p>
                <w:p>
                  <w:pPr>
                    <w:suppressAutoHyphens/>
                    <w:jc w:val="both"/>
                    <w:rPr>
                      <w:szCs w:val="24"/>
                      <w:lang w:eastAsia="ar-SA"/>
                    </w:rPr>
                  </w:pPr>
                </w:p>
              </w:sdtContent>
            </w:sdt>
          </w:sdtContent>
        </w:sdt>
        <w:sdt>
          <w:sdtPr>
            <w:alias w:val="skyrius"/>
            <w:tag w:val="part_58715296add9478991cf443a2976e48c"/>
            <w:lock w:val="sdtLocked"/>
            <w:richText/>
          </w:sdtPr>
          <w:sdtContent>
            <w:p>
              <w:pPr>
                <w:suppressAutoHyphens/>
                <w:jc w:val="center"/>
                <w:rPr>
                  <w:b/>
                  <w:bCs/>
                  <w:szCs w:val="24"/>
                  <w:lang w:eastAsia="ar-SA"/>
                </w:rPr>
              </w:pPr>
              <w:sdt>
                <w:sdtPr>
                  <w:alias w:val="Numeris"/>
                  <w:tag w:val="nr_58715296add9478991cf443a2976e48c"/>
                  <w:lock w:val="sdtLocked"/>
                  <w:richText/>
                </w:sdtPr>
                <w:sdtContent>
                  <w:r>
                    <w:rPr>
                      <w:b/>
                      <w:bCs/>
                      <w:szCs w:val="24"/>
                      <w:lang w:eastAsia="ar-SA"/>
                    </w:rPr>
                    <w:t>II</w:t>
                  </w:r>
                </w:sdtContent>
              </w:sdt>
              <w:r>
                <w:rPr>
                  <w:b/>
                  <w:bCs/>
                  <w:szCs w:val="24"/>
                  <w:lang w:eastAsia="ar-SA"/>
                </w:rPr>
                <w:t xml:space="preserve"> SKYRIUS</w:t>
              </w:r>
            </w:p>
            <w:p>
              <w:pPr>
                <w:suppressAutoHyphens/>
                <w:jc w:val="center"/>
                <w:rPr>
                  <w:szCs w:val="24"/>
                  <w:lang w:eastAsia="ar-SA"/>
                </w:rPr>
              </w:pPr>
              <w:sdt>
                <w:sdtPr>
                  <w:alias w:val="Pavadinimas"/>
                  <w:tag w:val="title_58715296add9478991cf443a2976e48c"/>
                  <w:lock w:val="sdtLocked"/>
                  <w:richText/>
                </w:sdtPr>
                <w:sdtContent>
                  <w:r>
                    <w:rPr>
                      <w:b/>
                      <w:szCs w:val="24"/>
                      <w:lang w:eastAsia="ar-SA"/>
                    </w:rPr>
                    <w:t>IŠORINIO VERTINIMO ORGANIZAVIMAS</w:t>
                  </w:r>
                </w:sdtContent>
              </w:sdt>
            </w:p>
            <w:p>
              <w:pPr>
                <w:suppressAutoHyphens/>
                <w:ind w:firstLine="1298"/>
                <w:jc w:val="both"/>
                <w:rPr>
                  <w:szCs w:val="24"/>
                  <w:lang w:eastAsia="ar-SA"/>
                </w:rPr>
              </w:pPr>
            </w:p>
            <w:sdt>
              <w:sdtPr>
                <w:alias w:val="5 p."/>
                <w:tag w:val="part_da7d940d12e7438aad6280b1521203c6"/>
                <w:lock w:val="sdtLocked"/>
                <w:richText/>
              </w:sdtPr>
              <w:sdtContent>
                <w:p>
                  <w:pPr>
                    <w:suppressAutoHyphens/>
                    <w:ind w:firstLine="1298"/>
                    <w:jc w:val="both"/>
                    <w:rPr>
                      <w:szCs w:val="24"/>
                      <w:lang w:eastAsia="en-GB"/>
                    </w:rPr>
                  </w:pPr>
                  <w:sdt>
                    <w:sdtPr>
                      <w:alias w:val="Numeris"/>
                      <w:tag w:val="nr_da7d940d12e7438aad6280b1521203c6"/>
                      <w:lock w:val="sdtLocked"/>
                      <w:richText/>
                    </w:sdtPr>
                    <w:sdtContent>
                      <w:r>
                        <w:rPr>
                          <w:szCs w:val="24"/>
                          <w:lang w:eastAsia="ar-SA"/>
                        </w:rPr>
                        <w:t>5</w:t>
                      </w:r>
                    </w:sdtContent>
                  </w:sdt>
                  <w:r>
                    <w:rPr>
                      <w:szCs w:val="24"/>
                      <w:lang w:eastAsia="ar-SA"/>
                    </w:rPr>
                    <w:t xml:space="preserve">. </w:t>
                  </w:r>
                  <w:r>
                    <w:rPr>
                      <w:szCs w:val="24"/>
                      <w:lang w:eastAsia="en-GB"/>
                    </w:rPr>
                    <w:t xml:space="preserve">Šiaulių miesto savivaldybės </w:t>
                  </w:r>
                  <w:r>
                    <w:rPr>
                      <w:strike/>
                      <w:szCs w:val="24"/>
                      <w:lang w:eastAsia="ar-SA"/>
                    </w:rPr>
                    <w:t xml:space="preserve">administracijos </w:t>
                  </w:r>
                  <w:r>
                    <w:rPr>
                      <w:color w:val="000000"/>
                      <w:szCs w:val="24"/>
                      <w:lang w:eastAsia="ar-SA"/>
                    </w:rPr>
                    <w:t>(toliau – Savivaldybė</w:t>
                  </w:r>
                  <w:r>
                    <w:rPr>
                      <w:strike/>
                      <w:color w:val="000000"/>
                      <w:szCs w:val="24"/>
                      <w:lang w:eastAsia="ar-SA"/>
                    </w:rPr>
                    <w:t>s</w:t>
                  </w:r>
                  <w:r>
                    <w:rPr>
                      <w:color w:val="000000"/>
                      <w:szCs w:val="24"/>
                      <w:lang w:eastAsia="ar-SA"/>
                    </w:rPr>
                    <w:t xml:space="preserve"> </w:t>
                  </w:r>
                  <w:r>
                    <w:rPr>
                      <w:strike/>
                      <w:color w:val="000000"/>
                      <w:szCs w:val="24"/>
                      <w:lang w:eastAsia="ar-SA"/>
                    </w:rPr>
                    <w:t>administracija</w:t>
                  </w:r>
                  <w:r>
                    <w:rPr>
                      <w:color w:val="000000"/>
                      <w:szCs w:val="24"/>
                      <w:lang w:eastAsia="ar-SA"/>
                    </w:rPr>
                    <w:t xml:space="preserve">) </w:t>
                  </w:r>
                  <w:r>
                    <w:rPr>
                      <w:strike/>
                      <w:szCs w:val="24"/>
                      <w:lang w:eastAsia="ar-SA"/>
                    </w:rPr>
                    <w:t>direktoriaus įsakymu</w:t>
                  </w:r>
                  <w:r>
                    <w:rPr>
                      <w:szCs w:val="24"/>
                      <w:lang w:eastAsia="ar-SA"/>
                    </w:rPr>
                    <w:t xml:space="preserve"> </w:t>
                  </w:r>
                  <w:r>
                    <w:rPr>
                      <w:b/>
                      <w:bCs/>
                      <w:szCs w:val="24"/>
                      <w:lang w:eastAsia="en-GB"/>
                    </w:rPr>
                    <w:t>mero potvarkiu</w:t>
                  </w:r>
                  <w:r>
                    <w:rPr>
                      <w:szCs w:val="24"/>
                      <w:lang w:eastAsia="en-GB"/>
                    </w:rPr>
                    <w:t xml:space="preserve"> sudaroma 3</w:t>
                  </w:r>
                  <w:r>
                    <w:rPr>
                      <w:szCs w:val="24"/>
                      <w:lang w:eastAsia="ar-SA"/>
                    </w:rPr>
                    <w:t>–</w:t>
                  </w:r>
                  <w:r>
                    <w:rPr>
                      <w:szCs w:val="24"/>
                      <w:lang w:eastAsia="en-GB"/>
                    </w:rPr>
                    <w:t xml:space="preserve">5 asmenų  išorinio vertinimo grupė NVŠ teikėjo veiklai vertinti ir išorinio vertinimo ataskaitai parengti.</w:t>
                  </w:r>
                </w:p>
              </w:sdtContent>
            </w:sdt>
            <w:sdt>
              <w:sdtPr>
                <w:alias w:val="6 p."/>
                <w:tag w:val="part_d8bc51aa23934609905d713ab2006fa3"/>
                <w:lock w:val="sdtLocked"/>
                <w:richText/>
              </w:sdtPr>
              <w:sdtContent>
                <w:p>
                  <w:pPr>
                    <w:suppressAutoHyphens/>
                    <w:ind w:firstLine="1298"/>
                    <w:jc w:val="both"/>
                    <w:rPr>
                      <w:bCs/>
                      <w:szCs w:val="24"/>
                      <w:lang w:eastAsia="ar-SA"/>
                    </w:rPr>
                  </w:pPr>
                  <w:sdt>
                    <w:sdtPr>
                      <w:alias w:val="Numeris"/>
                      <w:tag w:val="nr_d8bc51aa23934609905d713ab2006fa3"/>
                      <w:lock w:val="sdtLocked"/>
                      <w:richText/>
                    </w:sdtPr>
                    <w:sdtContent>
                      <w:r>
                        <w:rPr>
                          <w:szCs w:val="24"/>
                          <w:lang w:eastAsia="ar-SA"/>
                        </w:rPr>
                        <w:t>6</w:t>
                      </w:r>
                    </w:sdtContent>
                  </w:sdt>
                  <w:r>
                    <w:rPr>
                      <w:szCs w:val="24"/>
                      <w:lang w:eastAsia="ar-SA"/>
                    </w:rPr>
                    <w:t xml:space="preserve">. Išorinio vertinimo grupės narys (toliau – vertintojas) privalo būti baigęs </w:t>
                  </w:r>
                  <w:r>
                    <w:rPr>
                      <w:bCs/>
                      <w:iCs/>
                      <w:szCs w:val="24"/>
                      <w:shd w:val="clear" w:color="auto" w:fill="FFFFFF"/>
                      <w:lang w:eastAsia="ar-SA"/>
                    </w:rPr>
                    <w:t>Neformaliojo vaikų švietimo teikėjų veiklos kokybės išorės vertintojų mokymų programą</w:t>
                  </w:r>
                  <w:r>
                    <w:rPr>
                      <w:bCs/>
                      <w:szCs w:val="24"/>
                      <w:lang w:eastAsia="ar-SA"/>
                    </w:rPr>
                    <w:t xml:space="preserve">. Vertintojų sąrašas pateiktas Nacionalinės švietimo agentūros interneto svetainėje. </w:t>
                  </w:r>
                </w:p>
              </w:sdtContent>
            </w:sdt>
            <w:sdt>
              <w:sdtPr>
                <w:alias w:val="7 p."/>
                <w:tag w:val="part_40945d794a8245889c720577265f4085"/>
                <w:lock w:val="sdtLocked"/>
                <w:richText/>
              </w:sdtPr>
              <w:sdtContent>
                <w:p>
                  <w:pPr>
                    <w:suppressAutoHyphens/>
                    <w:ind w:firstLine="1298"/>
                    <w:jc w:val="both"/>
                    <w:rPr>
                      <w:szCs w:val="24"/>
                      <w:lang w:eastAsia="en-GB"/>
                    </w:rPr>
                  </w:pPr>
                  <w:sdt>
                    <w:sdtPr>
                      <w:alias w:val="Numeris"/>
                      <w:tag w:val="nr_40945d794a8245889c720577265f4085"/>
                      <w:lock w:val="sdtLocked"/>
                      <w:richText/>
                    </w:sdtPr>
                    <w:sdtContent>
                      <w:r>
                        <w:rPr>
                          <w:bCs/>
                          <w:szCs w:val="24"/>
                          <w:lang w:eastAsia="ar-SA"/>
                        </w:rPr>
                        <w:t>7</w:t>
                      </w:r>
                    </w:sdtContent>
                  </w:sdt>
                  <w:r>
                    <w:rPr>
                      <w:bCs/>
                      <w:szCs w:val="24"/>
                      <w:lang w:eastAsia="ar-SA"/>
                    </w:rPr>
                    <w:t>. Švietimo skyrius, vykdydamas planinį ar neeilinį NVŠ teikėjų išorinį vertinimą, žodžiu apklausia vertintojus pagal Aprašo 6 punktą ir su vertintoju</w:t>
                  </w:r>
                  <w:r>
                    <w:rPr>
                      <w:szCs w:val="24"/>
                      <w:lang w:eastAsia="ar-SA"/>
                    </w:rPr>
                    <w:t xml:space="preserve"> </w:t>
                  </w:r>
                  <w:r>
                    <w:rPr>
                      <w:bCs/>
                      <w:szCs w:val="24"/>
                      <w:lang w:eastAsia="ar-SA"/>
                    </w:rPr>
                    <w:t xml:space="preserve">raštu susitaria dėl sutikimo dalyvauti </w:t>
                  </w:r>
                  <w:r>
                    <w:rPr>
                      <w:bCs/>
                      <w:szCs w:val="24"/>
                      <w:lang w:eastAsia="en-GB"/>
                    </w:rPr>
                    <w:t>išoriniame vertinime.</w:t>
                  </w:r>
                  <w:r>
                    <w:rPr>
                      <w:szCs w:val="24"/>
                      <w:lang w:eastAsia="en-GB"/>
                    </w:rPr>
                    <w:t xml:space="preserve"> </w:t>
                  </w:r>
                </w:p>
              </w:sdtContent>
            </w:sdt>
            <w:sdt>
              <w:sdtPr>
                <w:alias w:val="8 p."/>
                <w:tag w:val="part_c572b3aa8e264ed28d968ae945291b5b"/>
                <w:lock w:val="sdtLocked"/>
                <w:richText/>
              </w:sdtPr>
              <w:sdtContent>
                <w:p>
                  <w:pPr>
                    <w:shd w:val="clear" w:color="auto" w:fill="FFFFFF"/>
                    <w:suppressAutoHyphens/>
                    <w:ind w:firstLine="1276"/>
                    <w:jc w:val="both"/>
                    <w:rPr>
                      <w:szCs w:val="24"/>
                      <w:lang w:eastAsia="ar-SA"/>
                    </w:rPr>
                  </w:pPr>
                  <w:sdt>
                    <w:sdtPr>
                      <w:alias w:val="Numeris"/>
                      <w:tag w:val="nr_c572b3aa8e264ed28d968ae945291b5b"/>
                      <w:lock w:val="sdtLocked"/>
                      <w:richText/>
                    </w:sdtPr>
                    <w:sdtContent>
                      <w:r>
                        <w:rPr>
                          <w:color w:val="000000"/>
                          <w:szCs w:val="24"/>
                          <w:lang w:eastAsia="en-GB"/>
                        </w:rPr>
                        <w:t>8</w:t>
                      </w:r>
                    </w:sdtContent>
                  </w:sdt>
                  <w:r>
                    <w:rPr>
                      <w:color w:val="000000"/>
                      <w:szCs w:val="24"/>
                      <w:lang w:eastAsia="en-GB"/>
                    </w:rPr>
                    <w:t xml:space="preserve">. </w:t>
                  </w:r>
                  <w:r>
                    <w:rPr>
                      <w:color w:val="000000"/>
                      <w:szCs w:val="24"/>
                      <w:lang w:eastAsia="ar-SA"/>
                    </w:rPr>
                    <w:t>V</w:t>
                  </w:r>
                  <w:r>
                    <w:rPr>
                      <w:szCs w:val="24"/>
                      <w:lang w:eastAsia="ar-SA"/>
                    </w:rPr>
                    <w:t xml:space="preserve">ertintojas, vykdydamas išorinį vertinimą, privalo laikytis Šiaulių miesto savivaldybės neformaliojo vaikų švietimo teikėjų veiklos </w:t>
                  </w:r>
                  <w:r>
                    <w:rPr>
                      <w:bCs/>
                      <w:szCs w:val="24"/>
                      <w:lang w:eastAsia="ar-SA"/>
                    </w:rPr>
                    <w:t>kokybės vertintojo konfidencialumo pasižadėjime (priedas) nurodytų pareigų.</w:t>
                  </w:r>
                </w:p>
              </w:sdtContent>
            </w:sdt>
            <w:sdt>
              <w:sdtPr>
                <w:alias w:val="9 p."/>
                <w:tag w:val="part_9b9cc3565fa04584ab30a17ebcc3f5af"/>
                <w:lock w:val="sdtLocked"/>
                <w:richText/>
              </w:sdtPr>
              <w:sdtContent>
                <w:p>
                  <w:pPr>
                    <w:tabs>
                      <w:tab w:val="left" w:pos="7088"/>
                    </w:tabs>
                    <w:suppressAutoHyphens/>
                    <w:ind w:firstLine="1298"/>
                    <w:jc w:val="both"/>
                    <w:textAlignment w:val="baseline"/>
                    <w:rPr>
                      <w:szCs w:val="24"/>
                      <w:lang w:eastAsia="ar-SA"/>
                    </w:rPr>
                  </w:pPr>
                  <w:sdt>
                    <w:sdtPr>
                      <w:alias w:val="Numeris"/>
                      <w:tag w:val="nr_9b9cc3565fa04584ab30a17ebcc3f5af"/>
                      <w:lock w:val="sdtLocked"/>
                      <w:richText/>
                    </w:sdtPr>
                    <w:sdtContent>
                      <w:r>
                        <w:rPr>
                          <w:szCs w:val="24"/>
                          <w:lang w:eastAsia="ar-SA"/>
                        </w:rPr>
                        <w:t>9</w:t>
                      </w:r>
                    </w:sdtContent>
                  </w:sdt>
                  <w:r>
                    <w:rPr>
                      <w:szCs w:val="24"/>
                      <w:lang w:eastAsia="ar-SA"/>
                    </w:rPr>
                    <w:t>. Lietuvos Respublikos Vyriausybei paskelbus ekstremaliąją situaciją ir (ar) karantiną, vizitas, susitikimai ir (ar) kitos išorinio vertinimo veiklos gali būti vykdomos kontaktiniu, ir (ar) nuotoliniu būdu. Švietimo skyrius, įvertinęs galimybes užtikrinti valstybės lygio ekstremaliosios situacijos valstybės operacijų vadovo nustatytas asmenų srautų valdymo, saugaus atstumo laikymosi ir kitas būtinas visuomenės sveikatos saugos, higienos, asmenų aprūpinimo būtinosiomis asmeninėmis apsaugos priemonėmis sąlygas, priima sprendimą dėl išorinio vertinimo vykdymo nuotoliniu būdu ir apie tai informuoja vertinamą NVŠ teikėją.</w:t>
                  </w:r>
                </w:p>
              </w:sdtContent>
            </w:sdt>
            <w:sdt>
              <w:sdtPr>
                <w:alias w:val="10 p."/>
                <w:tag w:val="part_2763375c35c346a487d5e62bb2403c8f"/>
                <w:lock w:val="sdtLocked"/>
                <w:richText/>
              </w:sdtPr>
              <w:sdtContent>
                <w:p>
                  <w:pPr>
                    <w:tabs>
                      <w:tab w:val="left" w:pos="7088"/>
                    </w:tabs>
                    <w:suppressAutoHyphens/>
                    <w:ind w:firstLine="1298"/>
                    <w:jc w:val="both"/>
                    <w:textAlignment w:val="baseline"/>
                    <w:rPr>
                      <w:szCs w:val="24"/>
                      <w:lang w:eastAsia="ar-SA"/>
                    </w:rPr>
                  </w:pPr>
                  <w:sdt>
                    <w:sdtPr>
                      <w:alias w:val="Numeris"/>
                      <w:tag w:val="nr_2763375c35c346a487d5e62bb2403c8f"/>
                      <w:lock w:val="sdtLocked"/>
                      <w:richText/>
                    </w:sdtPr>
                    <w:sdtContent>
                      <w:r>
                        <w:rPr>
                          <w:szCs w:val="24"/>
                          <w:lang w:eastAsia="ar-SA"/>
                        </w:rPr>
                        <w:t>10</w:t>
                      </w:r>
                    </w:sdtContent>
                  </w:sdt>
                  <w:r>
                    <w:rPr>
                      <w:szCs w:val="24"/>
                      <w:lang w:eastAsia="ar-SA"/>
                    </w:rPr>
                    <w:t xml:space="preserve">. </w:t>
                  </w:r>
                  <w:r>
                    <w:rPr>
                      <w:szCs w:val="24"/>
                      <w:lang w:eastAsia="lt-LT"/>
                    </w:rPr>
                    <w:t xml:space="preserve">Išorinis vertinimas gali būti atšauktas arba pakeista jo data, jei atsirado </w:t>
                  </w:r>
                  <w:r>
                    <w:rPr>
                      <w:i/>
                      <w:iCs/>
                      <w:szCs w:val="24"/>
                      <w:lang w:eastAsia="lt-LT"/>
                    </w:rPr>
                    <w:t>force majeure</w:t>
                  </w:r>
                  <w:r>
                    <w:rPr>
                      <w:szCs w:val="24"/>
                      <w:lang w:eastAsia="lt-LT"/>
                    </w:rPr>
                    <w:t xml:space="preserve"> aplinkybių ar Lietuvos Respublikos Vyriausybei paskelbus ekstremaliąją situaciją ir (ar) karantiną, ar pateiktas NVŠ teikėjo argumentuotas raštas dėl išorinio vertinimo datos perkėlimo.</w:t>
                  </w:r>
                </w:p>
                <w:p>
                  <w:pPr>
                    <w:suppressAutoHyphens/>
                    <w:jc w:val="center"/>
                    <w:rPr>
                      <w:b/>
                      <w:szCs w:val="24"/>
                      <w:lang w:eastAsia="ar-SA"/>
                    </w:rPr>
                  </w:pPr>
                </w:p>
              </w:sdtContent>
            </w:sdt>
          </w:sdtContent>
        </w:sdt>
        <w:sdt>
          <w:sdtPr>
            <w:alias w:val="skyrius"/>
            <w:tag w:val="part_462d2cc834dc423fbba063a76cb483b3"/>
            <w:lock w:val="sdtLocked"/>
            <w:richText/>
          </w:sdtPr>
          <w:sdtContent>
            <w:p>
              <w:pPr>
                <w:suppressAutoHyphens/>
                <w:jc w:val="center"/>
                <w:rPr>
                  <w:b/>
                  <w:szCs w:val="24"/>
                  <w:lang w:eastAsia="ar-SA"/>
                </w:rPr>
              </w:pPr>
              <w:sdt>
                <w:sdtPr>
                  <w:alias w:val="Numeris"/>
                  <w:tag w:val="nr_462d2cc834dc423fbba063a76cb483b3"/>
                  <w:lock w:val="sdtLocked"/>
                  <w:richText/>
                </w:sdtPr>
                <w:sdtContent>
                  <w:r>
                    <w:rPr>
                      <w:b/>
                      <w:szCs w:val="24"/>
                      <w:lang w:eastAsia="ar-SA"/>
                    </w:rPr>
                    <w:t>III</w:t>
                  </w:r>
                </w:sdtContent>
              </w:sdt>
              <w:r>
                <w:rPr>
                  <w:b/>
                  <w:szCs w:val="24"/>
                  <w:lang w:eastAsia="ar-SA"/>
                </w:rPr>
                <w:t xml:space="preserve"> SKYRIUS</w:t>
              </w:r>
            </w:p>
            <w:p>
              <w:pPr>
                <w:suppressAutoHyphens/>
                <w:jc w:val="center"/>
                <w:rPr>
                  <w:szCs w:val="24"/>
                  <w:lang w:eastAsia="ar-SA"/>
                </w:rPr>
              </w:pPr>
              <w:sdt>
                <w:sdtPr>
                  <w:alias w:val="Pavadinimas"/>
                  <w:tag w:val="title_462d2cc834dc423fbba063a76cb483b3"/>
                  <w:lock w:val="sdtLocked"/>
                  <w:richText/>
                </w:sdtPr>
                <w:sdtContent>
                  <w:r>
                    <w:rPr>
                      <w:b/>
                      <w:szCs w:val="24"/>
                      <w:lang w:eastAsia="ar-SA"/>
                    </w:rPr>
                    <w:t>APMOKĖJIMAS UŽ IŠORINĮ VERTINIMĄ</w:t>
                  </w:r>
                </w:sdtContent>
              </w:sdt>
            </w:p>
            <w:p>
              <w:pPr>
                <w:suppressAutoHyphens/>
                <w:ind w:firstLine="1298"/>
                <w:jc w:val="center"/>
                <w:rPr>
                  <w:szCs w:val="24"/>
                  <w:lang w:eastAsia="ar-SA"/>
                </w:rPr>
              </w:pPr>
            </w:p>
            <w:sdt>
              <w:sdtPr>
                <w:alias w:val="11 p."/>
                <w:tag w:val="part_4eefed2ab5e840f980af363f38267211"/>
                <w:lock w:val="sdtLocked"/>
                <w:richText/>
              </w:sdtPr>
              <w:sdtContent>
                <w:p>
                  <w:pPr>
                    <w:suppressAutoHyphens/>
                    <w:ind w:firstLine="1298"/>
                    <w:jc w:val="both"/>
                    <w:rPr>
                      <w:szCs w:val="24"/>
                      <w:lang w:eastAsia="ar-SA"/>
                    </w:rPr>
                  </w:pPr>
                  <w:sdt>
                    <w:sdtPr>
                      <w:alias w:val="Numeris"/>
                      <w:tag w:val="nr_4eefed2ab5e840f980af363f38267211"/>
                      <w:lock w:val="sdtLocked"/>
                      <w:richText/>
                    </w:sdtPr>
                    <w:sdtContent>
                      <w:r>
                        <w:rPr>
                          <w:szCs w:val="24"/>
                          <w:lang w:eastAsia="ar-SA"/>
                        </w:rPr>
                        <w:t>11</w:t>
                      </w:r>
                    </w:sdtContent>
                  </w:sdt>
                  <w:r>
                    <w:rPr>
                      <w:szCs w:val="24"/>
                      <w:lang w:eastAsia="ar-SA"/>
                    </w:rPr>
                    <w:t xml:space="preserve">. Vertinimo grupės pirmininkui ir nariams,  </w:t>
                  </w:r>
                  <w:r>
                    <w:rPr>
                      <w:bCs/>
                      <w:szCs w:val="24"/>
                      <w:lang w:eastAsia="ar-SA"/>
                    </w:rPr>
                    <w:t>išskyrus Švietimo skyriaus specialistus,</w:t>
                  </w:r>
                  <w:r>
                    <w:rPr>
                      <w:szCs w:val="24"/>
                      <w:lang w:eastAsia="ar-SA"/>
                    </w:rPr>
                    <w:t xml:space="preserve"> nustatomas apmokėjimo už NVŠ teikėjų išorinį vertinimą įkainis – 15 Eur už 1 val.</w:t>
                  </w:r>
                </w:p>
              </w:sdtContent>
            </w:sdt>
            <w:sdt>
              <w:sdtPr>
                <w:alias w:val="12 p."/>
                <w:tag w:val="part_fe63f2a2804e4b2c96a4ea6a003ff74c"/>
                <w:lock w:val="sdtLocked"/>
                <w:richText/>
              </w:sdtPr>
              <w:sdtContent>
                <w:p>
                  <w:pPr>
                    <w:suppressAutoHyphens/>
                    <w:ind w:firstLine="1298"/>
                    <w:jc w:val="both"/>
                    <w:rPr>
                      <w:color w:val="000000"/>
                      <w:szCs w:val="24"/>
                      <w:lang w:eastAsia="ar-SA"/>
                    </w:rPr>
                  </w:pPr>
                  <w:sdt>
                    <w:sdtPr>
                      <w:alias w:val="Numeris"/>
                      <w:tag w:val="nr_fe63f2a2804e4b2c96a4ea6a003ff74c"/>
                      <w:lock w:val="sdtLocked"/>
                      <w:richText/>
                    </w:sdtPr>
                    <w:sdtContent>
                      <w:r>
                        <w:rPr>
                          <w:szCs w:val="24"/>
                          <w:lang w:eastAsia="ar-SA"/>
                        </w:rPr>
                        <w:t>12</w:t>
                      </w:r>
                    </w:sdtContent>
                  </w:sdt>
                  <w:r>
                    <w:rPr>
                      <w:szCs w:val="24"/>
                      <w:lang w:eastAsia="ar-SA"/>
                    </w:rPr>
                    <w:t xml:space="preserve">. Lėšos vertintojui apskaičiuojamos </w:t>
                  </w:r>
                  <w:r>
                    <w:rPr>
                      <w:color w:val="000000"/>
                      <w:szCs w:val="24"/>
                      <w:lang w:eastAsia="ar-SA"/>
                    </w:rPr>
                    <w:t>pagal darbo laiką:</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1681"/>
                    <w:gridCol w:w="2103"/>
                    <w:gridCol w:w="2494"/>
                    <w:gridCol w:w="1984"/>
                  </w:tblGrid>
                  <w:tr>
                    <w:tc>
                      <w:tcPr>
                        <w:tcW w:w="1377" w:type="dxa"/>
                      </w:tcPr>
                      <w:p>
                        <w:pPr>
                          <w:suppressAutoHyphens/>
                          <w:spacing w:line="276" w:lineRule="auto"/>
                          <w:rPr>
                            <w:rFonts w:cs="Calibri"/>
                            <w:b/>
                            <w:color w:val="000000"/>
                            <w:szCs w:val="24"/>
                            <w:lang w:eastAsia="ar-SA"/>
                          </w:rPr>
                        </w:pPr>
                        <w:r>
                          <w:rPr>
                            <w:rFonts w:cs="Calibri"/>
                            <w:b/>
                            <w:szCs w:val="24"/>
                            <w:lang w:eastAsia="lt-LT"/>
                          </w:rPr>
                          <w:t>Vertintojų pareigos darbo grupėje</w:t>
                        </w:r>
                      </w:p>
                    </w:tc>
                    <w:tc>
                      <w:tcPr>
                        <w:tcW w:w="1681" w:type="dxa"/>
                      </w:tcPr>
                      <w:p>
                        <w:pPr>
                          <w:suppressAutoHyphens/>
                          <w:spacing w:line="276" w:lineRule="auto"/>
                          <w:rPr>
                            <w:rFonts w:cs="Calibri"/>
                            <w:b/>
                            <w:color w:val="000000"/>
                            <w:szCs w:val="24"/>
                            <w:lang w:eastAsia="ar-SA"/>
                          </w:rPr>
                        </w:pPr>
                        <w:r>
                          <w:rPr>
                            <w:rFonts w:cs="Calibri"/>
                            <w:b/>
                            <w:color w:val="000000"/>
                            <w:szCs w:val="24"/>
                            <w:lang w:eastAsia="ar-SA"/>
                          </w:rPr>
                          <w:t xml:space="preserve">Darbo laikas (val.) išorinio vertinimo dienomis </w:t>
                        </w:r>
                      </w:p>
                    </w:tc>
                    <w:tc>
                      <w:tcPr>
                        <w:tcW w:w="2103" w:type="dxa"/>
                      </w:tcPr>
                      <w:p>
                        <w:pPr>
                          <w:suppressAutoHyphens/>
                          <w:spacing w:line="276" w:lineRule="auto"/>
                          <w:rPr>
                            <w:rFonts w:cs="Calibri"/>
                            <w:b/>
                            <w:color w:val="000000"/>
                            <w:szCs w:val="24"/>
                            <w:lang w:eastAsia="ar-SA"/>
                          </w:rPr>
                        </w:pPr>
                        <w:r>
                          <w:rPr>
                            <w:rFonts w:cs="Calibri"/>
                            <w:b/>
                            <w:color w:val="000000"/>
                            <w:szCs w:val="24"/>
                            <w:lang w:eastAsia="ar-SA"/>
                          </w:rPr>
                          <w:t>Darbo laikas (val.), skirtas išoriniam vertinimui pasiruošti</w:t>
                        </w:r>
                      </w:p>
                    </w:tc>
                    <w:tc>
                      <w:tcPr>
                        <w:tcW w:w="2494" w:type="dxa"/>
                      </w:tcPr>
                      <w:p>
                        <w:pPr>
                          <w:suppressAutoHyphens/>
                          <w:spacing w:line="276" w:lineRule="auto"/>
                          <w:rPr>
                            <w:rFonts w:cs="Calibri"/>
                            <w:b/>
                            <w:color w:val="000000"/>
                            <w:szCs w:val="24"/>
                            <w:lang w:eastAsia="ar-SA"/>
                          </w:rPr>
                        </w:pPr>
                        <w:r>
                          <w:rPr>
                            <w:rFonts w:cs="Calibri"/>
                            <w:b/>
                            <w:color w:val="000000"/>
                            <w:szCs w:val="24"/>
                            <w:lang w:eastAsia="ar-SA"/>
                          </w:rPr>
                          <w:t>Darbo laikas (val.) išorinio vertinimo ataskaitai ir išvadoms parengti</w:t>
                        </w:r>
                      </w:p>
                    </w:tc>
                    <w:tc>
                      <w:tcPr>
                        <w:tcW w:w="1984" w:type="dxa"/>
                      </w:tcPr>
                      <w:p>
                        <w:pPr>
                          <w:suppressAutoHyphens/>
                          <w:spacing w:line="276" w:lineRule="auto"/>
                          <w:rPr>
                            <w:rFonts w:cs="Calibri"/>
                            <w:b/>
                            <w:color w:val="000000"/>
                            <w:szCs w:val="24"/>
                            <w:lang w:eastAsia="ar-SA"/>
                          </w:rPr>
                        </w:pPr>
                        <w:r>
                          <w:rPr>
                            <w:rFonts w:cs="Calibri"/>
                            <w:b/>
                            <w:color w:val="000000"/>
                            <w:szCs w:val="24"/>
                            <w:lang w:eastAsia="ar-SA"/>
                          </w:rPr>
                          <w:t xml:space="preserve">Darbo laikas (val.) išoriniam vertinimui iš viso </w:t>
                        </w:r>
                      </w:p>
                    </w:tc>
                  </w:tr>
                  <w:tr>
                    <w:tc>
                      <w:tcPr>
                        <w:tcW w:w="1377" w:type="dxa"/>
                      </w:tcPr>
                      <w:p>
                        <w:pPr>
                          <w:suppressAutoHyphens/>
                          <w:spacing w:line="276" w:lineRule="auto"/>
                          <w:rPr>
                            <w:rFonts w:cs="Calibri"/>
                            <w:color w:val="000000"/>
                            <w:szCs w:val="24"/>
                            <w:lang w:eastAsia="ar-SA"/>
                          </w:rPr>
                        </w:pPr>
                        <w:r>
                          <w:rPr>
                            <w:rFonts w:cs="Calibri"/>
                            <w:color w:val="000000"/>
                            <w:szCs w:val="24"/>
                            <w:lang w:eastAsia="ar-SA"/>
                          </w:rPr>
                          <w:t xml:space="preserve">Pirmininkas </w:t>
                        </w:r>
                      </w:p>
                    </w:tc>
                    <w:tc>
                      <w:tcPr>
                        <w:tcW w:w="1681" w:type="dxa"/>
                      </w:tcPr>
                      <w:p>
                        <w:pPr>
                          <w:suppressAutoHyphens/>
                          <w:spacing w:line="276" w:lineRule="auto"/>
                          <w:rPr>
                            <w:rFonts w:cs="Calibri"/>
                            <w:color w:val="000000"/>
                            <w:szCs w:val="24"/>
                            <w:lang w:eastAsia="ar-SA"/>
                          </w:rPr>
                        </w:pPr>
                        <w:r>
                          <w:rPr>
                            <w:rFonts w:cs="Calibri"/>
                            <w:szCs w:val="24"/>
                            <w:lang w:eastAsia="ar-SA"/>
                          </w:rPr>
                          <w:t xml:space="preserve">16 </w:t>
                        </w:r>
                      </w:p>
                    </w:tc>
                    <w:tc>
                      <w:tcPr>
                        <w:tcW w:w="2103" w:type="dxa"/>
                      </w:tcPr>
                      <w:p>
                        <w:pPr>
                          <w:suppressAutoHyphens/>
                          <w:spacing w:line="276" w:lineRule="auto"/>
                          <w:ind w:firstLine="744"/>
                          <w:rPr>
                            <w:rFonts w:cs="Calibri"/>
                            <w:color w:val="000000"/>
                            <w:szCs w:val="24"/>
                            <w:lang w:eastAsia="ar-SA"/>
                          </w:rPr>
                        </w:pPr>
                        <w:r>
                          <w:rPr>
                            <w:rFonts w:cs="Calibri"/>
                            <w:color w:val="000000"/>
                            <w:szCs w:val="24"/>
                            <w:lang w:eastAsia="ar-SA"/>
                          </w:rPr>
                          <w:t xml:space="preserve">24 </w:t>
                        </w:r>
                      </w:p>
                    </w:tc>
                    <w:tc>
                      <w:tcPr>
                        <w:tcW w:w="2494" w:type="dxa"/>
                      </w:tcPr>
                      <w:p>
                        <w:pPr>
                          <w:suppressAutoHyphens/>
                          <w:spacing w:line="276" w:lineRule="auto"/>
                          <w:rPr>
                            <w:rFonts w:cs="Calibri"/>
                            <w:color w:val="000000"/>
                            <w:szCs w:val="24"/>
                            <w:lang w:eastAsia="ar-SA"/>
                          </w:rPr>
                        </w:pPr>
                        <w:r>
                          <w:rPr>
                            <w:rFonts w:cs="Calibri"/>
                            <w:szCs w:val="24"/>
                            <w:lang w:eastAsia="ar-SA"/>
                          </w:rPr>
                          <w:t xml:space="preserve">24 </w:t>
                        </w:r>
                      </w:p>
                    </w:tc>
                    <w:tc>
                      <w:tcPr>
                        <w:tcW w:w="1984" w:type="dxa"/>
                      </w:tcPr>
                      <w:p>
                        <w:pPr>
                          <w:suppressAutoHyphens/>
                          <w:spacing w:line="276" w:lineRule="auto"/>
                          <w:rPr>
                            <w:rFonts w:cs="Calibri"/>
                            <w:szCs w:val="24"/>
                            <w:lang w:eastAsia="ar-SA"/>
                          </w:rPr>
                        </w:pPr>
                        <w:r>
                          <w:rPr>
                            <w:rFonts w:cs="Calibri"/>
                            <w:szCs w:val="24"/>
                            <w:lang w:eastAsia="ar-SA"/>
                          </w:rPr>
                          <w:t xml:space="preserve">64 </w:t>
                        </w:r>
                      </w:p>
                    </w:tc>
                  </w:tr>
                  <w:tr>
                    <w:trPr>
                      <w:trHeight w:val="263"/>
                    </w:trPr>
                    <w:tc>
                      <w:tcPr>
                        <w:tcW w:w="1377" w:type="dxa"/>
                      </w:tcPr>
                      <w:p>
                        <w:pPr>
                          <w:suppressAutoHyphens/>
                          <w:spacing w:line="276" w:lineRule="auto"/>
                          <w:rPr>
                            <w:rFonts w:cs="Calibri"/>
                            <w:color w:val="000000"/>
                            <w:szCs w:val="24"/>
                            <w:lang w:eastAsia="ar-SA"/>
                          </w:rPr>
                        </w:pPr>
                        <w:r>
                          <w:rPr>
                            <w:rFonts w:cs="Calibri"/>
                            <w:color w:val="000000"/>
                            <w:szCs w:val="24"/>
                            <w:lang w:eastAsia="ar-SA"/>
                          </w:rPr>
                          <w:t>Narys</w:t>
                        </w:r>
                      </w:p>
                    </w:tc>
                    <w:tc>
                      <w:tcPr>
                        <w:tcW w:w="1681" w:type="dxa"/>
                      </w:tcPr>
                      <w:p>
                        <w:pPr>
                          <w:suppressAutoHyphens/>
                          <w:spacing w:line="276" w:lineRule="auto"/>
                          <w:rPr>
                            <w:rFonts w:cs="Calibri"/>
                            <w:szCs w:val="24"/>
                            <w:lang w:eastAsia="ar-SA"/>
                          </w:rPr>
                        </w:pPr>
                        <w:r>
                          <w:rPr>
                            <w:rFonts w:cs="Calibri"/>
                            <w:szCs w:val="24"/>
                            <w:lang w:eastAsia="ar-SA"/>
                          </w:rPr>
                          <w:t xml:space="preserve">16 </w:t>
                        </w:r>
                      </w:p>
                    </w:tc>
                    <w:tc>
                      <w:tcPr>
                        <w:tcW w:w="2103" w:type="dxa"/>
                      </w:tcPr>
                      <w:p>
                        <w:pPr>
                          <w:suppressAutoHyphens/>
                          <w:spacing w:line="276" w:lineRule="auto"/>
                          <w:ind w:firstLine="744"/>
                          <w:rPr>
                            <w:rFonts w:cs="Calibri"/>
                            <w:color w:val="000000"/>
                            <w:szCs w:val="24"/>
                            <w:lang w:eastAsia="ar-SA"/>
                          </w:rPr>
                        </w:pPr>
                        <w:r>
                          <w:rPr>
                            <w:rFonts w:cs="Calibri"/>
                            <w:color w:val="000000"/>
                            <w:szCs w:val="24"/>
                            <w:lang w:eastAsia="ar-SA"/>
                          </w:rPr>
                          <w:t xml:space="preserve">24 </w:t>
                        </w:r>
                      </w:p>
                    </w:tc>
                    <w:tc>
                      <w:tcPr>
                        <w:tcW w:w="2494" w:type="dxa"/>
                      </w:tcPr>
                      <w:p>
                        <w:pPr>
                          <w:suppressAutoHyphens/>
                          <w:spacing w:line="276" w:lineRule="auto"/>
                          <w:rPr>
                            <w:rFonts w:cs="Calibri"/>
                            <w:szCs w:val="24"/>
                            <w:lang w:eastAsia="ar-SA"/>
                          </w:rPr>
                        </w:pPr>
                        <w:r>
                          <w:rPr>
                            <w:rFonts w:cs="Calibri"/>
                            <w:szCs w:val="24"/>
                            <w:lang w:eastAsia="ar-SA"/>
                          </w:rPr>
                          <w:t xml:space="preserve">16 </w:t>
                        </w:r>
                      </w:p>
                    </w:tc>
                    <w:tc>
                      <w:tcPr>
                        <w:tcW w:w="1984" w:type="dxa"/>
                      </w:tcPr>
                      <w:p>
                        <w:pPr>
                          <w:suppressAutoHyphens/>
                          <w:spacing w:line="276" w:lineRule="auto"/>
                          <w:rPr>
                            <w:rFonts w:cs="Calibri"/>
                            <w:szCs w:val="24"/>
                            <w:lang w:eastAsia="ar-SA"/>
                          </w:rPr>
                        </w:pPr>
                        <w:r>
                          <w:rPr>
                            <w:rFonts w:cs="Calibri"/>
                            <w:szCs w:val="24"/>
                            <w:lang w:eastAsia="ar-SA"/>
                          </w:rPr>
                          <w:t xml:space="preserve">56 </w:t>
                        </w:r>
                      </w:p>
                    </w:tc>
                  </w:tr>
                </w:tbl>
                <w:p/>
              </w:sdtContent>
            </w:sdt>
            <w:sdt>
              <w:sdtPr>
                <w:alias w:val="13 p."/>
                <w:tag w:val="part_3b9c1d3ae8cc4ccc98f3a941d76ba87e"/>
                <w:lock w:val="sdtLocked"/>
                <w:richText/>
              </w:sdtPr>
              <w:sdtContent>
                <w:p>
                  <w:pPr>
                    <w:suppressAutoHyphens/>
                    <w:ind w:firstLine="1298"/>
                    <w:jc w:val="both"/>
                    <w:textAlignment w:val="baseline"/>
                    <w:rPr>
                      <w:bCs/>
                      <w:color w:val="000000"/>
                      <w:szCs w:val="24"/>
                      <w:lang w:eastAsia="ar-SA"/>
                    </w:rPr>
                  </w:pPr>
                  <w:sdt>
                    <w:sdtPr>
                      <w:alias w:val="Numeris"/>
                      <w:tag w:val="nr_3b9c1d3ae8cc4ccc98f3a941d76ba87e"/>
                      <w:lock w:val="sdtLocked"/>
                      <w:richText/>
                    </w:sdtPr>
                    <w:sdtContent>
                      <w:r>
                        <w:rPr>
                          <w:bCs/>
                          <w:color w:val="000000"/>
                          <w:szCs w:val="24"/>
                          <w:lang w:eastAsia="en-GB"/>
                        </w:rPr>
                        <w:t>13</w:t>
                      </w:r>
                    </w:sdtContent>
                  </w:sdt>
                  <w:r>
                    <w:rPr>
                      <w:bCs/>
                      <w:color w:val="000000"/>
                      <w:szCs w:val="24"/>
                      <w:lang w:eastAsia="en-GB"/>
                    </w:rPr>
                    <w:t>. Lėšos vertintojui paskiriamos Savivaldybės</w:t>
                  </w:r>
                  <w:r>
                    <w:rPr>
                      <w:bCs/>
                      <w:strike/>
                      <w:color w:val="000000"/>
                      <w:szCs w:val="24"/>
                      <w:lang w:eastAsia="en-GB"/>
                    </w:rPr>
                    <w:t xml:space="preserve"> </w:t>
                  </w:r>
                  <w:r>
                    <w:rPr>
                      <w:bCs/>
                      <w:strike/>
                      <w:color w:val="000000"/>
                      <w:szCs w:val="24"/>
                      <w:lang w:eastAsia="ar-SA"/>
                    </w:rPr>
                    <w:t>administracijos direktoriaus įsakymu</w:t>
                  </w:r>
                </w:p>
              </w:sdtContent>
            </w:sdt>
            <w:sdt>
              <w:sdtPr>
                <w:alias w:val="poskyris"/>
                <w:tag w:val="part_abcd3a5b9ecd42dbbd8d91297a6ab834"/>
                <w:lock w:val="sdtLocked"/>
                <w:richText/>
              </w:sdtPr>
              <w:sdtContent>
                <w:p>
                  <w:pPr>
                    <w:suppressAutoHyphens/>
                    <w:jc w:val="both"/>
                    <w:textAlignment w:val="baseline"/>
                    <w:rPr>
                      <w:rFonts w:cs="Calibri"/>
                      <w:b/>
                      <w:szCs w:val="24"/>
                      <w:lang w:eastAsia="ar-SA"/>
                    </w:rPr>
                  </w:pPr>
                  <w:sdt>
                    <w:sdtPr>
                      <w:alias w:val="Pavadinimas"/>
                      <w:tag w:val="title_abcd3a5b9ecd42dbbd8d91297a6ab834"/>
                      <w:lock w:val="sdtLocked"/>
                      <w:richText/>
                    </w:sdtPr>
                    <w:sdtContent>
                      <w:r>
                        <w:rPr>
                          <w:rFonts w:cs="Calibri"/>
                          <w:b/>
                          <w:szCs w:val="24"/>
                          <w:lang w:eastAsia="ar-SA"/>
                        </w:rPr>
                        <w:t xml:space="preserve">mero potvarkiu.                                                                       </w:t>
                      </w:r>
                    </w:sdtContent>
                  </w:sdt>
                </w:p>
                <w:sdt>
                  <w:sdtPr>
                    <w:alias w:val="14 p."/>
                    <w:tag w:val="part_c0121f216d3d4673925a5e396623192f"/>
                    <w:lock w:val="sdtLocked"/>
                    <w:richText/>
                  </w:sdtPr>
                  <w:sdtContent>
                    <w:p>
                      <w:pPr>
                        <w:suppressAutoHyphens/>
                        <w:ind w:firstLine="1298"/>
                        <w:jc w:val="both"/>
                        <w:rPr>
                          <w:bCs/>
                          <w:color w:val="000000"/>
                          <w:szCs w:val="24"/>
                          <w:lang w:eastAsia="ar-SA"/>
                        </w:rPr>
                      </w:pPr>
                      <w:sdt>
                        <w:sdtPr>
                          <w:alias w:val="Numeris"/>
                          <w:tag w:val="nr_c0121f216d3d4673925a5e396623192f"/>
                          <w:lock w:val="sdtLocked"/>
                          <w:richText/>
                        </w:sdtPr>
                        <w:sdtContent>
                          <w:r>
                            <w:rPr>
                              <w:bCs/>
                              <w:szCs w:val="24"/>
                              <w:lang w:eastAsia="ar-SA"/>
                            </w:rPr>
                            <w:t>14</w:t>
                          </w:r>
                        </w:sdtContent>
                      </w:sdt>
                      <w:r>
                        <w:rPr>
                          <w:bCs/>
                          <w:szCs w:val="24"/>
                          <w:lang w:eastAsia="ar-SA"/>
                        </w:rPr>
                        <w:t xml:space="preserve">. Su vertintoju, išskyrus Švietimo skyriaus specialistus, sudaroma Savivaldybės administracijos neformaliojo </w:t>
                      </w:r>
                      <w:r>
                        <w:rPr>
                          <w:bCs/>
                          <w:color w:val="000000"/>
                          <w:szCs w:val="24"/>
                          <w:lang w:eastAsia="ar-SA"/>
                        </w:rPr>
                        <w:t xml:space="preserve">vaikų švietimo teikėjų veiklos kokybės išorinio vertinimo  paslaugų  sutartis (toliau – Sutartis), patvirtinta </w:t>
                      </w:r>
                      <w:r>
                        <w:rPr>
                          <w:bCs/>
                          <w:szCs w:val="24"/>
                          <w:lang w:eastAsia="ar-SA"/>
                        </w:rPr>
                        <w:t xml:space="preserve">Savivaldybės </w:t>
                      </w:r>
                      <w:r>
                        <w:rPr>
                          <w:bCs/>
                          <w:strike/>
                          <w:szCs w:val="24"/>
                          <w:lang w:eastAsia="ar-SA"/>
                        </w:rPr>
                        <w:t>administracijos direktoriaus įsakymu</w:t>
                      </w:r>
                      <w:r>
                        <w:rPr>
                          <w:bCs/>
                          <w:szCs w:val="24"/>
                          <w:lang w:eastAsia="ar-SA"/>
                        </w:rPr>
                        <w:t xml:space="preserve"> </w:t>
                      </w:r>
                      <w:r>
                        <w:rPr>
                          <w:rFonts w:cs="Calibri"/>
                          <w:b/>
                          <w:szCs w:val="24"/>
                          <w:lang w:eastAsia="ar-SA"/>
                        </w:rPr>
                        <w:t xml:space="preserve">mero potvarkiu.                                                                       </w:t>
                      </w:r>
                    </w:p>
                    <w:p>
                      <w:pPr>
                        <w:suppressAutoHyphens/>
                        <w:ind w:firstLine="1298"/>
                        <w:rPr>
                          <w:b/>
                          <w:color w:val="000000"/>
                          <w:szCs w:val="24"/>
                          <w:lang w:eastAsia="ar-SA"/>
                        </w:rPr>
                      </w:pPr>
                    </w:p>
                  </w:sdtContent>
                </w:sdt>
              </w:sdtContent>
            </w:sdt>
          </w:sdtContent>
        </w:sdt>
        <w:sdt>
          <w:sdtPr>
            <w:alias w:val="skyrius"/>
            <w:tag w:val="part_7be3b9637850424db3d9773b4e937337"/>
            <w:lock w:val="sdtLocked"/>
            <w:richText/>
          </w:sdtPr>
          <w:sdtContent>
            <w:p>
              <w:pPr>
                <w:widowControl w:val="0"/>
                <w:suppressAutoHyphens/>
                <w:jc w:val="center"/>
                <w:rPr>
                  <w:b/>
                  <w:color w:val="000000"/>
                  <w:szCs w:val="24"/>
                  <w:lang w:eastAsia="ar-SA"/>
                </w:rPr>
              </w:pPr>
              <w:sdt>
                <w:sdtPr>
                  <w:alias w:val="Numeris"/>
                  <w:tag w:val="nr_7be3b9637850424db3d9773b4e937337"/>
                  <w:lock w:val="sdtLocked"/>
                  <w:richText/>
                </w:sdtPr>
                <w:sdtContent>
                  <w:r>
                    <w:rPr>
                      <w:b/>
                      <w:color w:val="000000"/>
                      <w:szCs w:val="24"/>
                      <w:lang w:eastAsia="ar-SA"/>
                    </w:rPr>
                    <w:t>IV</w:t>
                  </w:r>
                </w:sdtContent>
              </w:sdt>
              <w:r>
                <w:rPr>
                  <w:b/>
                  <w:color w:val="000000"/>
                  <w:szCs w:val="24"/>
                  <w:lang w:eastAsia="ar-SA"/>
                </w:rPr>
                <w:t xml:space="preserve"> SKYRIUS</w:t>
              </w:r>
            </w:p>
            <w:p>
              <w:pPr>
                <w:suppressAutoHyphens/>
                <w:jc w:val="center"/>
                <w:rPr>
                  <w:color w:val="000000"/>
                  <w:szCs w:val="24"/>
                  <w:lang w:eastAsia="ar-SA"/>
                </w:rPr>
              </w:pPr>
              <w:sdt>
                <w:sdtPr>
                  <w:alias w:val="Pavadinimas"/>
                  <w:tag w:val="title_7be3b9637850424db3d9773b4e937337"/>
                  <w:lock w:val="sdtLocked"/>
                  <w:richText/>
                </w:sdtPr>
                <w:sdtContent>
                  <w:r>
                    <w:rPr>
                      <w:b/>
                      <w:bCs/>
                      <w:color w:val="000000"/>
                      <w:szCs w:val="24"/>
                      <w:shd w:val="clear" w:color="auto" w:fill="FFFFFF"/>
                      <w:lang w:eastAsia="ar-SA"/>
                    </w:rPr>
                    <w:t>ATSAKOMYBĖ IR GINČŲ SPRENDIMO TVARKA</w:t>
                  </w:r>
                </w:sdtContent>
              </w:sdt>
            </w:p>
            <w:p>
              <w:pPr>
                <w:widowControl w:val="0"/>
                <w:suppressAutoHyphens/>
                <w:ind w:firstLine="1298"/>
                <w:jc w:val="center"/>
                <w:rPr>
                  <w:b/>
                  <w:color w:val="000000"/>
                  <w:szCs w:val="24"/>
                  <w:lang w:eastAsia="ar-SA"/>
                </w:rPr>
              </w:pPr>
            </w:p>
            <w:sdt>
              <w:sdtPr>
                <w:alias w:val="15 p."/>
                <w:tag w:val="part_f64c8eb7360f47bd97fa70fc7a83d490"/>
                <w:lock w:val="sdtLocked"/>
                <w:richText/>
              </w:sdtPr>
              <w:sdtContent>
                <w:p>
                  <w:pPr>
                    <w:suppressAutoHyphens/>
                    <w:ind w:firstLine="1298"/>
                    <w:jc w:val="both"/>
                    <w:rPr>
                      <w:rFonts w:eastAsia="Calibri"/>
                      <w:color w:val="000000"/>
                      <w:szCs w:val="24"/>
                      <w:lang w:eastAsia="ar-SA"/>
                    </w:rPr>
                  </w:pPr>
                  <w:sdt>
                    <w:sdtPr>
                      <w:alias w:val="Numeris"/>
                      <w:tag w:val="nr_f64c8eb7360f47bd97fa70fc7a83d490"/>
                      <w:lock w:val="sdtLocked"/>
                      <w:richText/>
                    </w:sdtPr>
                    <w:sdtContent>
                      <w:r>
                        <w:rPr>
                          <w:color w:val="000000"/>
                          <w:szCs w:val="24"/>
                          <w:lang w:eastAsia="ar-SA"/>
                        </w:rPr>
                        <w:t>15</w:t>
                      </w:r>
                    </w:sdtContent>
                  </w:sdt>
                  <w:r>
                    <w:rPr>
                      <w:color w:val="000000"/>
                      <w:szCs w:val="24"/>
                      <w:lang w:eastAsia="ar-SA"/>
                    </w:rPr>
                    <w:t xml:space="preserve">. Vertintojo </w:t>
                  </w:r>
                  <w:r>
                    <w:rPr>
                      <w:rFonts w:eastAsia="Calibri"/>
                      <w:color w:val="000000"/>
                      <w:szCs w:val="24"/>
                      <w:lang w:eastAsia="ar-SA"/>
                    </w:rPr>
                    <w:t xml:space="preserve">įsipareigojimai, kitos sąlygos ir atsakomybė už išorinio vertinimo vykdymą </w:t>
                  </w:r>
                  <w:r>
                    <w:rPr>
                      <w:rFonts w:eastAsia="Calibri"/>
                      <w:bCs/>
                      <w:color w:val="000000"/>
                      <w:szCs w:val="24"/>
                      <w:lang w:eastAsia="ar-SA"/>
                    </w:rPr>
                    <w:t>numatomi Sutartyje</w:t>
                  </w:r>
                  <w:r>
                    <w:rPr>
                      <w:rFonts w:eastAsia="Calibri"/>
                      <w:color w:val="000000"/>
                      <w:szCs w:val="24"/>
                      <w:lang w:eastAsia="ar-SA"/>
                    </w:rPr>
                    <w:t xml:space="preserve"> ir (ar) </w:t>
                  </w:r>
                  <w:r>
                    <w:rPr>
                      <w:szCs w:val="24"/>
                      <w:lang w:eastAsia="zh-CN"/>
                    </w:rPr>
                    <w:t>Šiaulių miesto savivaldybės neformaliojo vaikų švietimo teikėjų veiklos kokybės įsivertinimo ir išorinio vertinimo</w:t>
                  </w:r>
                  <w:r>
                    <w:rPr>
                      <w:b/>
                      <w:bCs/>
                      <w:caps/>
                      <w:szCs w:val="24"/>
                      <w:lang w:eastAsia="zh-CN"/>
                    </w:rPr>
                    <w:t xml:space="preserve"> </w:t>
                  </w:r>
                  <w:r>
                    <w:rPr>
                      <w:color w:val="000000"/>
                      <w:szCs w:val="24"/>
                      <w:lang w:eastAsia="ar-SA"/>
                    </w:rPr>
                    <w:t xml:space="preserve">tvarkos apraše, patvirtintame Šiaulių miesto savivaldybės tarybos 2020 m. gruodžio 3 d. sprendimu  Nr. T-455 „</w:t>
                  </w:r>
                  <w:r>
                    <w:rPr>
                      <w:szCs w:val="24"/>
                      <w:lang w:eastAsia="zh-CN"/>
                    </w:rPr>
                    <w:t xml:space="preserve">Dėl  Šiaulių miesto savivaldybės neformaliojo vaikų švietimo teikėjų veiklos kokybės įsivertinimo ir išorinio vertinimo tvarkos aprašo patvirtinimo“. </w:t>
                  </w:r>
                </w:p>
              </w:sdtContent>
            </w:sdt>
            <w:sdt>
              <w:sdtPr>
                <w:alias w:val="16 p."/>
                <w:tag w:val="part_1269d4265a3d402aba4b498c49204352"/>
                <w:lock w:val="sdtLocked"/>
                <w:richText/>
              </w:sdtPr>
              <w:sdtContent>
                <w:p>
                  <w:pPr>
                    <w:widowControl w:val="0"/>
                    <w:suppressAutoHyphens/>
                    <w:ind w:firstLine="1298"/>
                    <w:jc w:val="both"/>
                    <w:rPr>
                      <w:color w:val="262626"/>
                      <w:szCs w:val="24"/>
                      <w:shd w:val="clear" w:color="auto" w:fill="FFFFFF"/>
                      <w:lang w:eastAsia="ar-SA"/>
                    </w:rPr>
                  </w:pPr>
                  <w:sdt>
                    <w:sdtPr>
                      <w:alias w:val="Numeris"/>
                      <w:tag w:val="nr_1269d4265a3d402aba4b498c49204352"/>
                      <w:lock w:val="sdtLocked"/>
                      <w:richText/>
                    </w:sdtPr>
                    <w:sdtContent>
                      <w:r>
                        <w:rPr>
                          <w:color w:val="000000"/>
                          <w:szCs w:val="24"/>
                          <w:lang w:eastAsia="ar-SA"/>
                        </w:rPr>
                        <w:t>16</w:t>
                      </w:r>
                    </w:sdtContent>
                  </w:sdt>
                  <w:r>
                    <w:rPr>
                      <w:color w:val="000000"/>
                      <w:szCs w:val="24"/>
                      <w:lang w:eastAsia="ar-SA"/>
                    </w:rPr>
                    <w:t xml:space="preserve">. Jei finansavimą gavęs vertintojas nesivadovauja Aprašu ir </w:t>
                  </w:r>
                  <w:r>
                    <w:rPr>
                      <w:rFonts w:eastAsia="Calibri"/>
                      <w:color w:val="000000"/>
                      <w:szCs w:val="24"/>
                      <w:lang w:eastAsia="ar-SA"/>
                    </w:rPr>
                    <w:t xml:space="preserve">(ar) </w:t>
                  </w:r>
                  <w:r>
                    <w:rPr>
                      <w:color w:val="000000"/>
                      <w:szCs w:val="24"/>
                      <w:lang w:eastAsia="ar-SA"/>
                    </w:rPr>
                    <w:t xml:space="preserve">nevykdo kitų įsipareigojimų, </w:t>
                  </w:r>
                  <w:r>
                    <w:rPr>
                      <w:color w:val="262626"/>
                      <w:szCs w:val="24"/>
                      <w:shd w:val="clear" w:color="auto" w:fill="FFFFFF"/>
                      <w:lang w:eastAsia="ar-SA"/>
                    </w:rPr>
                    <w:t>lėšos teisės aktų nustatyta tvarka išieškomos ir pervedamos Savivaldybės administracijai.</w:t>
                  </w:r>
                </w:p>
              </w:sdtContent>
            </w:sdt>
            <w:sdt>
              <w:sdtPr>
                <w:alias w:val="17 p."/>
                <w:tag w:val="part_6df6b00ec0fb4ca8a3fa457ed9c78469"/>
                <w:lock w:val="sdtLocked"/>
                <w:richText/>
              </w:sdtPr>
              <w:sdtContent>
                <w:p>
                  <w:pPr>
                    <w:widowControl w:val="0"/>
                    <w:suppressAutoHyphens/>
                    <w:ind w:firstLine="1298"/>
                    <w:jc w:val="both"/>
                    <w:rPr>
                      <w:rFonts w:eastAsia="Calibri"/>
                      <w:color w:val="000000"/>
                      <w:szCs w:val="24"/>
                      <w:lang w:eastAsia="ar-SA"/>
                    </w:rPr>
                  </w:pPr>
                  <w:sdt>
                    <w:sdtPr>
                      <w:alias w:val="Numeris"/>
                      <w:tag w:val="nr_6df6b00ec0fb4ca8a3fa457ed9c78469"/>
                      <w:lock w:val="sdtLocked"/>
                      <w:richText/>
                    </w:sdtPr>
                    <w:sdtContent>
                      <w:r>
                        <w:rPr>
                          <w:color w:val="000000"/>
                          <w:szCs w:val="24"/>
                          <w:lang w:eastAsia="lt-LT"/>
                        </w:rPr>
                        <w:t>17</w:t>
                      </w:r>
                    </w:sdtContent>
                  </w:sdt>
                  <w:r>
                    <w:rPr>
                      <w:color w:val="000000"/>
                      <w:szCs w:val="24"/>
                      <w:lang w:eastAsia="lt-LT"/>
                    </w:rPr>
                    <w:t xml:space="preserve">. Vertintojas atsako už informacijos, susijusios su išorinio vertinimo įgyvendinimu, duomenų </w:t>
                  </w:r>
                  <w:r>
                    <w:rPr>
                      <w:bCs/>
                      <w:color w:val="000000"/>
                      <w:szCs w:val="24"/>
                      <w:lang w:eastAsia="lt-LT"/>
                    </w:rPr>
                    <w:t xml:space="preserve">tikslumą, teisėtumą, </w:t>
                  </w:r>
                  <w:r>
                    <w:rPr>
                      <w:bCs/>
                      <w:color w:val="000000"/>
                      <w:szCs w:val="24"/>
                      <w:lang w:eastAsia="ar-SA"/>
                    </w:rPr>
                    <w:t>konfidencialumą</w:t>
                  </w:r>
                  <w:r>
                    <w:rPr>
                      <w:bCs/>
                      <w:color w:val="000000"/>
                      <w:szCs w:val="24"/>
                      <w:lang w:eastAsia="lt-LT"/>
                    </w:rPr>
                    <w:t>, duomenų apsaugą</w:t>
                  </w:r>
                  <w:r>
                    <w:rPr>
                      <w:color w:val="000000"/>
                      <w:szCs w:val="24"/>
                      <w:lang w:eastAsia="lt-LT"/>
                    </w:rPr>
                    <w:t xml:space="preserve">. </w:t>
                  </w:r>
                  <w:r>
                    <w:rPr>
                      <w:rFonts w:eastAsia="Calibri"/>
                      <w:color w:val="000000"/>
                      <w:szCs w:val="24"/>
                      <w:lang w:eastAsia="ar-SA"/>
                    </w:rPr>
                    <w:t xml:space="preserve"> </w:t>
                  </w:r>
                </w:p>
              </w:sdtContent>
            </w:sdt>
            <w:sdt>
              <w:sdtPr>
                <w:alias w:val="18 p."/>
                <w:tag w:val="part_bad2f3213d8f4e048037cb39b597e77c"/>
                <w:lock w:val="sdtLocked"/>
                <w:richText/>
              </w:sdtPr>
              <w:sdtContent>
                <w:p>
                  <w:pPr>
                    <w:suppressAutoHyphens/>
                    <w:ind w:firstLine="1298"/>
                    <w:jc w:val="both"/>
                    <w:textAlignment w:val="baseline"/>
                    <w:rPr>
                      <w:szCs w:val="24"/>
                      <w:lang w:eastAsia="lt-LT"/>
                    </w:rPr>
                  </w:pPr>
                  <w:sdt>
                    <w:sdtPr>
                      <w:alias w:val="Numeris"/>
                      <w:tag w:val="nr_bad2f3213d8f4e048037cb39b597e77c"/>
                      <w:lock w:val="sdtLocked"/>
                      <w:richText/>
                    </w:sdtPr>
                    <w:sdtContent>
                      <w:r>
                        <w:rPr>
                          <w:color w:val="000000"/>
                          <w:szCs w:val="24"/>
                          <w:lang w:eastAsia="lt-LT"/>
                        </w:rPr>
                        <w:t>18</w:t>
                      </w:r>
                    </w:sdtContent>
                  </w:sdt>
                  <w:r>
                    <w:rPr>
                      <w:color w:val="000000"/>
                      <w:szCs w:val="24"/>
                      <w:lang w:eastAsia="lt-LT"/>
                    </w:rPr>
                    <w:t xml:space="preserve">. </w:t>
                  </w:r>
                  <w:r>
                    <w:rPr>
                      <w:color w:val="000000"/>
                      <w:szCs w:val="24"/>
                      <w:lang w:eastAsia="ar-SA"/>
                    </w:rPr>
                    <w:t xml:space="preserve">Visi kilę klausimai ar ginčai sprendžiami  teisės aktų </w:t>
                  </w:r>
                  <w:r>
                    <w:rPr>
                      <w:szCs w:val="24"/>
                      <w:lang w:eastAsia="ar-SA"/>
                    </w:rPr>
                    <w:t>nustatyta tvarka.</w:t>
                  </w:r>
                </w:p>
                <w:p>
                  <w:pPr>
                    <w:suppressAutoHyphens/>
                    <w:ind w:firstLine="1298"/>
                    <w:jc w:val="both"/>
                    <w:textAlignment w:val="baseline"/>
                    <w:rPr>
                      <w:szCs w:val="24"/>
                      <w:lang w:eastAsia="lt-LT"/>
                    </w:rPr>
                  </w:pPr>
                </w:p>
              </w:sdtContent>
            </w:sdt>
          </w:sdtContent>
        </w:sdt>
        <w:sdt>
          <w:sdtPr>
            <w:alias w:val="skyrius"/>
            <w:tag w:val="part_4ef2e29135c2455bb0c21fe93e15b19a"/>
            <w:lock w:val="sdtLocked"/>
            <w:richText/>
          </w:sdtPr>
          <w:sdtContent>
            <w:p>
              <w:pPr>
                <w:suppressAutoHyphens/>
                <w:ind w:firstLine="142"/>
                <w:jc w:val="center"/>
                <w:rPr>
                  <w:b/>
                  <w:color w:val="000000"/>
                  <w:szCs w:val="24"/>
                  <w:lang w:eastAsia="ar-SA"/>
                </w:rPr>
              </w:pPr>
              <w:sdt>
                <w:sdtPr>
                  <w:alias w:val="Numeris"/>
                  <w:tag w:val="nr_4ef2e29135c2455bb0c21fe93e15b19a"/>
                  <w:lock w:val="sdtLocked"/>
                  <w:richText/>
                </w:sdtPr>
                <w:sdtContent>
                  <w:r>
                    <w:rPr>
                      <w:b/>
                      <w:color w:val="000000"/>
                      <w:szCs w:val="24"/>
                      <w:lang w:eastAsia="ar-SA"/>
                    </w:rPr>
                    <w:t>V</w:t>
                  </w:r>
                </w:sdtContent>
              </w:sdt>
              <w:r>
                <w:rPr>
                  <w:b/>
                  <w:color w:val="000000"/>
                  <w:szCs w:val="24"/>
                  <w:lang w:eastAsia="ar-SA"/>
                </w:rPr>
                <w:t xml:space="preserve"> SKYRIUS</w:t>
              </w:r>
            </w:p>
            <w:p>
              <w:pPr>
                <w:suppressAutoHyphens/>
                <w:ind w:firstLine="142"/>
                <w:jc w:val="center"/>
                <w:rPr>
                  <w:b/>
                  <w:color w:val="000000"/>
                  <w:szCs w:val="24"/>
                  <w:lang w:eastAsia="ar-SA"/>
                </w:rPr>
              </w:pPr>
              <w:sdt>
                <w:sdtPr>
                  <w:alias w:val="Pavadinimas"/>
                  <w:tag w:val="title_4ef2e29135c2455bb0c21fe93e15b19a"/>
                  <w:lock w:val="sdtLocked"/>
                  <w:richText/>
                </w:sdtPr>
                <w:sdtContent>
                  <w:r>
                    <w:rPr>
                      <w:b/>
                      <w:color w:val="000000"/>
                      <w:szCs w:val="24"/>
                      <w:lang w:eastAsia="ar-SA"/>
                    </w:rPr>
                    <w:t>BAIGIAMOSIOS NUOSTATOS</w:t>
                  </w:r>
                </w:sdtContent>
              </w:sdt>
            </w:p>
            <w:p>
              <w:pPr>
                <w:suppressAutoHyphens/>
                <w:ind w:firstLine="1298"/>
                <w:jc w:val="both"/>
                <w:rPr>
                  <w:color w:val="000000"/>
                  <w:szCs w:val="24"/>
                  <w:lang w:eastAsia="ar-SA"/>
                </w:rPr>
              </w:pPr>
            </w:p>
            <w:sdt>
              <w:sdtPr>
                <w:alias w:val="19 p."/>
                <w:tag w:val="part_76ad501090594447bc79a982feef9b3d"/>
                <w:lock w:val="sdtLocked"/>
                <w:richText/>
              </w:sdtPr>
              <w:sdtContent>
                <w:p>
                  <w:pPr>
                    <w:suppressAutoHyphens/>
                    <w:ind w:firstLine="1298"/>
                    <w:jc w:val="both"/>
                    <w:rPr>
                      <w:szCs w:val="24"/>
                      <w:lang w:eastAsia="ar-SA"/>
                    </w:rPr>
                  </w:pPr>
                  <w:sdt>
                    <w:sdtPr>
                      <w:alias w:val="Numeris"/>
                      <w:tag w:val="nr_76ad501090594447bc79a982feef9b3d"/>
                      <w:lock w:val="sdtLocked"/>
                      <w:richText/>
                    </w:sdtPr>
                    <w:sdtContent>
                      <w:r>
                        <w:rPr>
                          <w:color w:val="000000"/>
                          <w:szCs w:val="24"/>
                          <w:lang w:eastAsia="ar-SA"/>
                        </w:rPr>
                        <w:t>19</w:t>
                      </w:r>
                    </w:sdtContent>
                  </w:sdt>
                  <w:r>
                    <w:rPr>
                      <w:color w:val="000000"/>
                      <w:szCs w:val="24"/>
                      <w:lang w:eastAsia="ar-SA"/>
                    </w:rPr>
                    <w:t xml:space="preserve">. </w:t>
                  </w:r>
                  <w:r>
                    <w:rPr>
                      <w:szCs w:val="24"/>
                      <w:lang w:eastAsia="ar-SA"/>
                    </w:rPr>
                    <w:t>Aprašo įgyvendinimo priežiūrą vykdo Švietimo skyrius.</w:t>
                  </w:r>
                </w:p>
              </w:sdtContent>
            </w:sdt>
            <w:sdt>
              <w:sdtPr>
                <w:alias w:val="20 p."/>
                <w:tag w:val="part_c8942c5e93a74f4199084500fa1d7ab7"/>
                <w:lock w:val="sdtLocked"/>
                <w:richText/>
              </w:sdtPr>
              <w:sdtContent>
                <w:p>
                  <w:pPr>
                    <w:suppressAutoHyphens/>
                    <w:ind w:firstLine="1298"/>
                    <w:jc w:val="both"/>
                    <w:rPr>
                      <w:szCs w:val="24"/>
                      <w:lang w:eastAsia="ar-SA"/>
                    </w:rPr>
                  </w:pPr>
                  <w:sdt>
                    <w:sdtPr>
                      <w:alias w:val="Numeris"/>
                      <w:tag w:val="nr_c8942c5e93a74f4199084500fa1d7ab7"/>
                      <w:lock w:val="sdtLocked"/>
                      <w:richText/>
                    </w:sdtPr>
                    <w:sdtContent>
                      <w:r>
                        <w:rPr>
                          <w:szCs w:val="24"/>
                          <w:lang w:eastAsia="ar-SA"/>
                        </w:rPr>
                        <w:t>20</w:t>
                      </w:r>
                    </w:sdtContent>
                  </w:sdt>
                  <w:r>
                    <w:rPr>
                      <w:szCs w:val="24"/>
                      <w:lang w:eastAsia="ar-SA"/>
                    </w:rPr>
                    <w:t>. Aprašas keičiamas Šiaulių miesto savivaldybės tarybos sprendimu.</w:t>
                  </w:r>
                </w:p>
                <w:p>
                  <w:pPr>
                    <w:suppressAutoHyphens/>
                    <w:ind w:firstLine="1298"/>
                    <w:jc w:val="both"/>
                    <w:rPr>
                      <w:szCs w:val="24"/>
                      <w:lang w:eastAsia="ar-SA"/>
                    </w:rPr>
                  </w:pPr>
                </w:p>
                <w:p>
                  <w:pPr>
                    <w:tabs>
                      <w:tab w:val="left" w:pos="5751"/>
                    </w:tabs>
                    <w:suppressAutoHyphens/>
                    <w:ind w:firstLine="4030"/>
                    <w:rPr>
                      <w:szCs w:val="24"/>
                      <w:lang w:eastAsia="ar-SA"/>
                    </w:rPr>
                  </w:pPr>
                  <w:r>
                    <w:rPr>
                      <w:szCs w:val="24"/>
                      <w:lang w:eastAsia="ar-SA"/>
                    </w:rPr>
                    <w:t>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1134" w:left="1701" w:header="113"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hAnsi="Calibri" w:cs="Calibri"/>
          <w:sz w:val="22"/>
          <w:szCs w:val="22"/>
          <w:lang w:eastAsia="ar-SA"/>
        </w:rPr>
      </w:pPr>
      <w:r>
        <w:rPr>
          <w:rFonts w:ascii="Calibri" w:hAnsi="Calibri" w:cs="Calibri"/>
          <w:sz w:val="22"/>
          <w:szCs w:val="22"/>
          <w:lang w:eastAsia="ar-SA"/>
        </w:rPr>
        <w:separator/>
      </w:r>
    </w:p>
  </w:endnote>
  <w:endnote w:type="continuationSeparator" w:id="0">
    <w:p>
      <w:pPr>
        <w:suppressAutoHyphens/>
        <w:rPr>
          <w:rFonts w:ascii="Calibri" w:hAnsi="Calibri" w:cs="Calibri"/>
          <w:sz w:val="22"/>
          <w:szCs w:val="22"/>
          <w:lang w:eastAsia="ar-SA"/>
        </w:rPr>
      </w:pPr>
      <w:r>
        <w:rPr>
          <w:rFonts w:ascii="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hAnsi="Calibri" w:cs="Calibri"/>
        <w:sz w:val="22"/>
        <w:szCs w:val="22"/>
        <w:lang w:val="x-none"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hAnsi="Calibri" w:cs="Calibri"/>
        <w:sz w:val="22"/>
        <w:szCs w:val="22"/>
        <w:lang w:val="x-none"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hAnsi="Calibri" w:cs="Calibri"/>
        <w:sz w:val="22"/>
        <w:szCs w:val="22"/>
        <w:lang w:val="x-none"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hAnsi="Calibri" w:cs="Calibri"/>
          <w:sz w:val="22"/>
          <w:szCs w:val="22"/>
          <w:lang w:eastAsia="ar-SA"/>
        </w:rPr>
      </w:pPr>
      <w:r>
        <w:rPr>
          <w:rFonts w:ascii="Calibri" w:hAnsi="Calibri" w:cs="Calibri"/>
          <w:sz w:val="22"/>
          <w:szCs w:val="22"/>
          <w:lang w:eastAsia="ar-SA"/>
        </w:rPr>
        <w:separator/>
      </w:r>
    </w:p>
  </w:footnote>
  <w:footnote w:type="continuationSeparator" w:id="0">
    <w:p>
      <w:pPr>
        <w:suppressAutoHyphens/>
        <w:rPr>
          <w:rFonts w:ascii="Calibri" w:hAnsi="Calibri" w:cs="Calibri"/>
          <w:sz w:val="22"/>
          <w:szCs w:val="22"/>
          <w:lang w:eastAsia="ar-SA"/>
        </w:rPr>
      </w:pPr>
      <w:r>
        <w:rPr>
          <w:rFonts w:ascii="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hAnsi="Calibri" w:cs="Calibri"/>
        <w:sz w:val="22"/>
        <w:szCs w:val="22"/>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jc w:val="center"/>
      <w:rPr>
        <w:szCs w:val="24"/>
        <w:lang w:val="x-none" w:eastAsia="ar-SA"/>
      </w:rPr>
    </w:pPr>
    <w:r>
      <w:rPr>
        <w:rFonts w:cs="Calibri"/>
        <w:sz w:val="22"/>
        <w:szCs w:val="22"/>
        <w:lang w:val="x-none" w:eastAsia="ar-SA"/>
      </w:rPr>
      <w:t xml:space="preserve">                                                                                                                                                                                              </w:t>
    </w:r>
    <w:r>
      <w:rPr>
        <w:szCs w:val="24"/>
        <w:lang w:val="x-none" w:eastAsia="ar-SA"/>
      </w:rPr>
      <w:fldChar w:fldCharType="begin"/>
    </w:r>
    <w:r>
      <w:rPr>
        <w:szCs w:val="24"/>
        <w:lang w:val="x-none" w:eastAsia="ar-SA"/>
      </w:rPr>
      <w:instrText xml:space="preserve"> PAGE </w:instrText>
    </w:r>
    <w:r>
      <w:rPr>
        <w:szCs w:val="24"/>
        <w:lang w:val="x-none" w:eastAsia="ar-SA"/>
      </w:rPr>
      <w:fldChar w:fldCharType="separate"/>
    </w:r>
    <w:r>
      <w:rPr>
        <w:szCs w:val="24"/>
        <w:lang w:val="x-none" w:eastAsia="ar-SA"/>
      </w:rPr>
      <w:t>2</w:t>
    </w:r>
    <w:r>
      <w:rPr>
        <w:szCs w:val="24"/>
        <w:lang w:val="x-none"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hAnsi="Calibri" w:cs="Calibri"/>
        <w:sz w:val="22"/>
        <w:szCs w:val="22"/>
        <w:lang w:val="x-none"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22084A-B950-428E-A4D0-64E0D23AE7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090137">
      <w:bodyDiv w:val="1"/>
      <w:marLeft w:val="0"/>
      <w:marRight w:val="0"/>
      <w:marTop w:val="0"/>
      <w:marBottom w:val="0"/>
      <w:divBdr>
        <w:top w:val="none" w:sz="0" w:space="0" w:color="auto"/>
        <w:left w:val="none" w:sz="0" w:space="0" w:color="auto"/>
        <w:bottom w:val="none" w:sz="0" w:space="0" w:color="auto"/>
        <w:right w:val="none" w:sz="0" w:space="0" w:color="auto"/>
      </w:divBdr>
    </w:div>
    <w:div w:id="448207763">
      <w:bodyDiv w:val="1"/>
      <w:marLeft w:val="0"/>
      <w:marRight w:val="0"/>
      <w:marTop w:val="0"/>
      <w:marBottom w:val="0"/>
      <w:divBdr>
        <w:top w:val="none" w:sz="0" w:space="0" w:color="auto"/>
        <w:left w:val="none" w:sz="0" w:space="0" w:color="auto"/>
        <w:bottom w:val="none" w:sz="0" w:space="0" w:color="auto"/>
        <w:right w:val="none" w:sz="0" w:space="0" w:color="auto"/>
      </w:divBdr>
      <w:divsChild>
        <w:div w:id="732655534">
          <w:marLeft w:val="0"/>
          <w:marRight w:val="0"/>
          <w:marTop w:val="0"/>
          <w:marBottom w:val="0"/>
          <w:divBdr>
            <w:top w:val="none" w:sz="0" w:space="0" w:color="auto"/>
            <w:left w:val="none" w:sz="0" w:space="0" w:color="auto"/>
            <w:bottom w:val="none" w:sz="0" w:space="0" w:color="auto"/>
            <w:right w:val="none" w:sz="0" w:space="0" w:color="auto"/>
          </w:divBdr>
          <w:divsChild>
            <w:div w:id="19205455">
              <w:marLeft w:val="0"/>
              <w:marRight w:val="0"/>
              <w:marTop w:val="0"/>
              <w:marBottom w:val="0"/>
              <w:divBdr>
                <w:top w:val="none" w:sz="0" w:space="0" w:color="auto"/>
                <w:left w:val="none" w:sz="0" w:space="0" w:color="auto"/>
                <w:bottom w:val="none" w:sz="0" w:space="0" w:color="auto"/>
                <w:right w:val="none" w:sz="0" w:space="0" w:color="auto"/>
              </w:divBdr>
            </w:div>
            <w:div w:id="470752125">
              <w:marLeft w:val="0"/>
              <w:marRight w:val="0"/>
              <w:marTop w:val="0"/>
              <w:marBottom w:val="0"/>
              <w:divBdr>
                <w:top w:val="none" w:sz="0" w:space="0" w:color="auto"/>
                <w:left w:val="none" w:sz="0" w:space="0" w:color="auto"/>
                <w:bottom w:val="none" w:sz="0" w:space="0" w:color="auto"/>
                <w:right w:val="none" w:sz="0" w:space="0" w:color="auto"/>
              </w:divBdr>
              <w:divsChild>
                <w:div w:id="467020170">
                  <w:marLeft w:val="0"/>
                  <w:marRight w:val="0"/>
                  <w:marTop w:val="0"/>
                  <w:marBottom w:val="0"/>
                  <w:divBdr>
                    <w:top w:val="none" w:sz="0" w:space="0" w:color="auto"/>
                    <w:left w:val="none" w:sz="0" w:space="0" w:color="auto"/>
                    <w:bottom w:val="none" w:sz="0" w:space="0" w:color="auto"/>
                    <w:right w:val="none" w:sz="0" w:space="0" w:color="auto"/>
                  </w:divBdr>
                  <w:divsChild>
                    <w:div w:id="1328442536">
                      <w:marLeft w:val="0"/>
                      <w:marRight w:val="0"/>
                      <w:marTop w:val="0"/>
                      <w:marBottom w:val="0"/>
                      <w:divBdr>
                        <w:top w:val="none" w:sz="0" w:space="0" w:color="auto"/>
                        <w:left w:val="none" w:sz="0" w:space="0" w:color="auto"/>
                        <w:bottom w:val="none" w:sz="0" w:space="0" w:color="auto"/>
                        <w:right w:val="none" w:sz="0" w:space="0" w:color="auto"/>
                      </w:divBdr>
                      <w:divsChild>
                        <w:div w:id="1820462406">
                          <w:marLeft w:val="0"/>
                          <w:marRight w:val="0"/>
                          <w:marTop w:val="0"/>
                          <w:marBottom w:val="0"/>
                          <w:divBdr>
                            <w:top w:val="none" w:sz="0" w:space="0" w:color="auto"/>
                            <w:left w:val="none" w:sz="0" w:space="0" w:color="auto"/>
                            <w:bottom w:val="none" w:sz="0" w:space="0" w:color="auto"/>
                            <w:right w:val="none" w:sz="0" w:space="0" w:color="auto"/>
                          </w:divBdr>
                          <w:divsChild>
                            <w:div w:id="44912608">
                              <w:marLeft w:val="0"/>
                              <w:marRight w:val="0"/>
                              <w:marTop w:val="0"/>
                              <w:marBottom w:val="0"/>
                              <w:divBdr>
                                <w:top w:val="none" w:sz="0" w:space="0" w:color="auto"/>
                                <w:left w:val="none" w:sz="0" w:space="0" w:color="auto"/>
                                <w:bottom w:val="none" w:sz="0" w:space="0" w:color="auto"/>
                                <w:right w:val="none" w:sz="0" w:space="0" w:color="auto"/>
                              </w:divBdr>
                              <w:divsChild>
                                <w:div w:id="490684287">
                                  <w:marLeft w:val="0"/>
                                  <w:marRight w:val="0"/>
                                  <w:marTop w:val="0"/>
                                  <w:marBottom w:val="0"/>
                                  <w:divBdr>
                                    <w:top w:val="none" w:sz="0" w:space="0" w:color="auto"/>
                                    <w:left w:val="none" w:sz="0" w:space="0" w:color="auto"/>
                                    <w:bottom w:val="none" w:sz="0" w:space="0" w:color="auto"/>
                                    <w:right w:val="none" w:sz="0" w:space="0" w:color="auto"/>
                                  </w:divBdr>
                                </w:div>
                                <w:div w:id="59474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070353">
              <w:marLeft w:val="0"/>
              <w:marRight w:val="0"/>
              <w:marTop w:val="0"/>
              <w:marBottom w:val="0"/>
              <w:divBdr>
                <w:top w:val="none" w:sz="0" w:space="0" w:color="auto"/>
                <w:left w:val="none" w:sz="0" w:space="0" w:color="auto"/>
                <w:bottom w:val="none" w:sz="0" w:space="0" w:color="auto"/>
                <w:right w:val="none" w:sz="0" w:space="0" w:color="auto"/>
              </w:divBdr>
            </w:div>
            <w:div w:id="2089183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007987">
      <w:bodyDiv w:val="1"/>
      <w:marLeft w:val="0"/>
      <w:marRight w:val="0"/>
      <w:marTop w:val="0"/>
      <w:marBottom w:val="0"/>
      <w:divBdr>
        <w:top w:val="none" w:sz="0" w:space="0" w:color="auto"/>
        <w:left w:val="none" w:sz="0" w:space="0" w:color="auto"/>
        <w:bottom w:val="none" w:sz="0" w:space="0" w:color="auto"/>
        <w:right w:val="none" w:sz="0" w:space="0" w:color="auto"/>
      </w:divBdr>
      <w:divsChild>
        <w:div w:id="140196085">
          <w:marLeft w:val="0"/>
          <w:marRight w:val="0"/>
          <w:marTop w:val="0"/>
          <w:marBottom w:val="0"/>
          <w:divBdr>
            <w:top w:val="none" w:sz="0" w:space="0" w:color="auto"/>
            <w:left w:val="none" w:sz="0" w:space="0" w:color="auto"/>
            <w:bottom w:val="none" w:sz="0" w:space="0" w:color="auto"/>
            <w:right w:val="none" w:sz="0" w:space="0" w:color="auto"/>
          </w:divBdr>
          <w:divsChild>
            <w:div w:id="221409159">
              <w:marLeft w:val="0"/>
              <w:marRight w:val="0"/>
              <w:marTop w:val="0"/>
              <w:marBottom w:val="0"/>
              <w:divBdr>
                <w:top w:val="none" w:sz="0" w:space="0" w:color="auto"/>
                <w:left w:val="none" w:sz="0" w:space="0" w:color="auto"/>
                <w:bottom w:val="none" w:sz="0" w:space="0" w:color="auto"/>
                <w:right w:val="none" w:sz="0" w:space="0" w:color="auto"/>
              </w:divBdr>
            </w:div>
            <w:div w:id="541483095">
              <w:marLeft w:val="0"/>
              <w:marRight w:val="0"/>
              <w:marTop w:val="0"/>
              <w:marBottom w:val="0"/>
              <w:divBdr>
                <w:top w:val="none" w:sz="0" w:space="0" w:color="auto"/>
                <w:left w:val="none" w:sz="0" w:space="0" w:color="auto"/>
                <w:bottom w:val="none" w:sz="0" w:space="0" w:color="auto"/>
                <w:right w:val="none" w:sz="0" w:space="0" w:color="auto"/>
              </w:divBdr>
            </w:div>
            <w:div w:id="765270455">
              <w:marLeft w:val="0"/>
              <w:marRight w:val="0"/>
              <w:marTop w:val="0"/>
              <w:marBottom w:val="0"/>
              <w:divBdr>
                <w:top w:val="none" w:sz="0" w:space="0" w:color="auto"/>
                <w:left w:val="none" w:sz="0" w:space="0" w:color="auto"/>
                <w:bottom w:val="none" w:sz="0" w:space="0" w:color="auto"/>
                <w:right w:val="none" w:sz="0" w:space="0" w:color="auto"/>
              </w:divBdr>
            </w:div>
            <w:div w:id="824856594">
              <w:marLeft w:val="0"/>
              <w:marRight w:val="0"/>
              <w:marTop w:val="0"/>
              <w:marBottom w:val="0"/>
              <w:divBdr>
                <w:top w:val="none" w:sz="0" w:space="0" w:color="auto"/>
                <w:left w:val="none" w:sz="0" w:space="0" w:color="auto"/>
                <w:bottom w:val="none" w:sz="0" w:space="0" w:color="auto"/>
                <w:right w:val="none" w:sz="0" w:space="0" w:color="auto"/>
              </w:divBdr>
            </w:div>
            <w:div w:id="916402794">
              <w:marLeft w:val="0"/>
              <w:marRight w:val="0"/>
              <w:marTop w:val="0"/>
              <w:marBottom w:val="0"/>
              <w:divBdr>
                <w:top w:val="none" w:sz="0" w:space="0" w:color="auto"/>
                <w:left w:val="none" w:sz="0" w:space="0" w:color="auto"/>
                <w:bottom w:val="none" w:sz="0" w:space="0" w:color="auto"/>
                <w:right w:val="none" w:sz="0" w:space="0" w:color="auto"/>
              </w:divBdr>
            </w:div>
            <w:div w:id="1165776843">
              <w:marLeft w:val="0"/>
              <w:marRight w:val="0"/>
              <w:marTop w:val="0"/>
              <w:marBottom w:val="0"/>
              <w:divBdr>
                <w:top w:val="none" w:sz="0" w:space="0" w:color="auto"/>
                <w:left w:val="none" w:sz="0" w:space="0" w:color="auto"/>
                <w:bottom w:val="none" w:sz="0" w:space="0" w:color="auto"/>
                <w:right w:val="none" w:sz="0" w:space="0" w:color="auto"/>
              </w:divBdr>
            </w:div>
            <w:div w:id="1390809093">
              <w:marLeft w:val="0"/>
              <w:marRight w:val="0"/>
              <w:marTop w:val="0"/>
              <w:marBottom w:val="0"/>
              <w:divBdr>
                <w:top w:val="none" w:sz="0" w:space="0" w:color="auto"/>
                <w:left w:val="none" w:sz="0" w:space="0" w:color="auto"/>
                <w:bottom w:val="none" w:sz="0" w:space="0" w:color="auto"/>
                <w:right w:val="none" w:sz="0" w:space="0" w:color="auto"/>
              </w:divBdr>
            </w:div>
            <w:div w:id="212507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931762">
      <w:bodyDiv w:val="1"/>
      <w:marLeft w:val="0"/>
      <w:marRight w:val="0"/>
      <w:marTop w:val="0"/>
      <w:marBottom w:val="0"/>
      <w:divBdr>
        <w:top w:val="none" w:sz="0" w:space="0" w:color="auto"/>
        <w:left w:val="none" w:sz="0" w:space="0" w:color="auto"/>
        <w:bottom w:val="none" w:sz="0" w:space="0" w:color="auto"/>
        <w:right w:val="none" w:sz="0" w:space="0" w:color="auto"/>
      </w:divBdr>
    </w:div>
    <w:div w:id="843205627">
      <w:bodyDiv w:val="1"/>
      <w:marLeft w:val="0"/>
      <w:marRight w:val="0"/>
      <w:marTop w:val="0"/>
      <w:marBottom w:val="0"/>
      <w:divBdr>
        <w:top w:val="none" w:sz="0" w:space="0" w:color="auto"/>
        <w:left w:val="none" w:sz="0" w:space="0" w:color="auto"/>
        <w:bottom w:val="none" w:sz="0" w:space="0" w:color="auto"/>
        <w:right w:val="none" w:sz="0" w:space="0" w:color="auto"/>
      </w:divBdr>
      <w:divsChild>
        <w:div w:id="1884713469">
          <w:marLeft w:val="0"/>
          <w:marRight w:val="0"/>
          <w:marTop w:val="0"/>
          <w:marBottom w:val="0"/>
          <w:divBdr>
            <w:top w:val="none" w:sz="0" w:space="0" w:color="auto"/>
            <w:left w:val="none" w:sz="0" w:space="0" w:color="auto"/>
            <w:bottom w:val="none" w:sz="0" w:space="0" w:color="auto"/>
            <w:right w:val="none" w:sz="0" w:space="0" w:color="auto"/>
          </w:divBdr>
          <w:divsChild>
            <w:div w:id="792140550">
              <w:marLeft w:val="0"/>
              <w:marRight w:val="0"/>
              <w:marTop w:val="0"/>
              <w:marBottom w:val="0"/>
              <w:divBdr>
                <w:top w:val="none" w:sz="0" w:space="0" w:color="auto"/>
                <w:left w:val="none" w:sz="0" w:space="0" w:color="auto"/>
                <w:bottom w:val="none" w:sz="0" w:space="0" w:color="auto"/>
                <w:right w:val="none" w:sz="0" w:space="0" w:color="auto"/>
              </w:divBdr>
            </w:div>
            <w:div w:id="793133692">
              <w:marLeft w:val="0"/>
              <w:marRight w:val="0"/>
              <w:marTop w:val="0"/>
              <w:marBottom w:val="0"/>
              <w:divBdr>
                <w:top w:val="none" w:sz="0" w:space="0" w:color="auto"/>
                <w:left w:val="none" w:sz="0" w:space="0" w:color="auto"/>
                <w:bottom w:val="none" w:sz="0" w:space="0" w:color="auto"/>
                <w:right w:val="none" w:sz="0" w:space="0" w:color="auto"/>
              </w:divBdr>
            </w:div>
            <w:div w:id="1020666949">
              <w:marLeft w:val="0"/>
              <w:marRight w:val="0"/>
              <w:marTop w:val="0"/>
              <w:marBottom w:val="0"/>
              <w:divBdr>
                <w:top w:val="none" w:sz="0" w:space="0" w:color="auto"/>
                <w:left w:val="none" w:sz="0" w:space="0" w:color="auto"/>
                <w:bottom w:val="none" w:sz="0" w:space="0" w:color="auto"/>
                <w:right w:val="none" w:sz="0" w:space="0" w:color="auto"/>
              </w:divBdr>
            </w:div>
            <w:div w:id="1285884393">
              <w:marLeft w:val="0"/>
              <w:marRight w:val="0"/>
              <w:marTop w:val="0"/>
              <w:marBottom w:val="0"/>
              <w:divBdr>
                <w:top w:val="none" w:sz="0" w:space="0" w:color="auto"/>
                <w:left w:val="none" w:sz="0" w:space="0" w:color="auto"/>
                <w:bottom w:val="none" w:sz="0" w:space="0" w:color="auto"/>
                <w:right w:val="none" w:sz="0" w:space="0" w:color="auto"/>
              </w:divBdr>
            </w:div>
            <w:div w:id="134644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769949">
      <w:bodyDiv w:val="1"/>
      <w:marLeft w:val="0"/>
      <w:marRight w:val="0"/>
      <w:marTop w:val="0"/>
      <w:marBottom w:val="0"/>
      <w:divBdr>
        <w:top w:val="none" w:sz="0" w:space="0" w:color="auto"/>
        <w:left w:val="none" w:sz="0" w:space="0" w:color="auto"/>
        <w:bottom w:val="none" w:sz="0" w:space="0" w:color="auto"/>
        <w:right w:val="none" w:sz="0" w:space="0" w:color="auto"/>
      </w:divBdr>
    </w:div>
    <w:div w:id="1502086831">
      <w:bodyDiv w:val="1"/>
      <w:marLeft w:val="0"/>
      <w:marRight w:val="0"/>
      <w:marTop w:val="0"/>
      <w:marBottom w:val="0"/>
      <w:divBdr>
        <w:top w:val="none" w:sz="0" w:space="0" w:color="auto"/>
        <w:left w:val="none" w:sz="0" w:space="0" w:color="auto"/>
        <w:bottom w:val="none" w:sz="0" w:space="0" w:color="auto"/>
        <w:right w:val="none" w:sz="0" w:space="0" w:color="auto"/>
      </w:divBdr>
      <w:divsChild>
        <w:div w:id="2038650752">
          <w:marLeft w:val="0"/>
          <w:marRight w:val="0"/>
          <w:marTop w:val="0"/>
          <w:marBottom w:val="0"/>
          <w:divBdr>
            <w:top w:val="none" w:sz="0" w:space="0" w:color="auto"/>
            <w:left w:val="none" w:sz="0" w:space="0" w:color="auto"/>
            <w:bottom w:val="none" w:sz="0" w:space="0" w:color="auto"/>
            <w:right w:val="none" w:sz="0" w:space="0" w:color="auto"/>
          </w:divBdr>
        </w:div>
      </w:divsChild>
    </w:div>
    <w:div w:id="1590698529">
      <w:bodyDiv w:val="1"/>
      <w:marLeft w:val="0"/>
      <w:marRight w:val="0"/>
      <w:marTop w:val="0"/>
      <w:marBottom w:val="0"/>
      <w:divBdr>
        <w:top w:val="none" w:sz="0" w:space="0" w:color="auto"/>
        <w:left w:val="none" w:sz="0" w:space="0" w:color="auto"/>
        <w:bottom w:val="none" w:sz="0" w:space="0" w:color="auto"/>
        <w:right w:val="none" w:sz="0" w:space="0" w:color="auto"/>
      </w:divBdr>
    </w:div>
    <w:div w:id="1782872454">
      <w:bodyDiv w:val="1"/>
      <w:marLeft w:val="0"/>
      <w:marRight w:val="0"/>
      <w:marTop w:val="0"/>
      <w:marBottom w:val="0"/>
      <w:divBdr>
        <w:top w:val="none" w:sz="0" w:space="0" w:color="auto"/>
        <w:left w:val="none" w:sz="0" w:space="0" w:color="auto"/>
        <w:bottom w:val="none" w:sz="0" w:space="0" w:color="auto"/>
        <w:right w:val="none" w:sz="0" w:space="0" w:color="auto"/>
      </w:divBdr>
      <w:divsChild>
        <w:div w:id="842353141">
          <w:marLeft w:val="0"/>
          <w:marRight w:val="0"/>
          <w:marTop w:val="0"/>
          <w:marBottom w:val="0"/>
          <w:divBdr>
            <w:top w:val="none" w:sz="0" w:space="0" w:color="auto"/>
            <w:left w:val="none" w:sz="0" w:space="0" w:color="auto"/>
            <w:bottom w:val="none" w:sz="0" w:space="0" w:color="auto"/>
            <w:right w:val="none" w:sz="0" w:space="0" w:color="auto"/>
          </w:divBdr>
          <w:divsChild>
            <w:div w:id="433748452">
              <w:marLeft w:val="0"/>
              <w:marRight w:val="0"/>
              <w:marTop w:val="0"/>
              <w:marBottom w:val="0"/>
              <w:divBdr>
                <w:top w:val="none" w:sz="0" w:space="0" w:color="auto"/>
                <w:left w:val="none" w:sz="0" w:space="0" w:color="auto"/>
                <w:bottom w:val="none" w:sz="0" w:space="0" w:color="auto"/>
                <w:right w:val="none" w:sz="0" w:space="0" w:color="auto"/>
              </w:divBdr>
            </w:div>
            <w:div w:id="473450491">
              <w:marLeft w:val="0"/>
              <w:marRight w:val="0"/>
              <w:marTop w:val="0"/>
              <w:marBottom w:val="0"/>
              <w:divBdr>
                <w:top w:val="none" w:sz="0" w:space="0" w:color="auto"/>
                <w:left w:val="none" w:sz="0" w:space="0" w:color="auto"/>
                <w:bottom w:val="none" w:sz="0" w:space="0" w:color="auto"/>
                <w:right w:val="none" w:sz="0" w:space="0" w:color="auto"/>
              </w:divBdr>
            </w:div>
            <w:div w:id="918368550">
              <w:marLeft w:val="0"/>
              <w:marRight w:val="0"/>
              <w:marTop w:val="0"/>
              <w:marBottom w:val="0"/>
              <w:divBdr>
                <w:top w:val="none" w:sz="0" w:space="0" w:color="auto"/>
                <w:left w:val="none" w:sz="0" w:space="0" w:color="auto"/>
                <w:bottom w:val="none" w:sz="0" w:space="0" w:color="auto"/>
                <w:right w:val="none" w:sz="0" w:space="0" w:color="auto"/>
              </w:divBdr>
            </w:div>
            <w:div w:id="1005860862">
              <w:marLeft w:val="0"/>
              <w:marRight w:val="0"/>
              <w:marTop w:val="0"/>
              <w:marBottom w:val="0"/>
              <w:divBdr>
                <w:top w:val="none" w:sz="0" w:space="0" w:color="auto"/>
                <w:left w:val="none" w:sz="0" w:space="0" w:color="auto"/>
                <w:bottom w:val="none" w:sz="0" w:space="0" w:color="auto"/>
                <w:right w:val="none" w:sz="0" w:space="0" w:color="auto"/>
              </w:divBdr>
              <w:divsChild>
                <w:div w:id="98723235">
                  <w:marLeft w:val="0"/>
                  <w:marRight w:val="0"/>
                  <w:marTop w:val="0"/>
                  <w:marBottom w:val="0"/>
                  <w:divBdr>
                    <w:top w:val="none" w:sz="0" w:space="0" w:color="auto"/>
                    <w:left w:val="none" w:sz="0" w:space="0" w:color="auto"/>
                    <w:bottom w:val="none" w:sz="0" w:space="0" w:color="auto"/>
                    <w:right w:val="none" w:sz="0" w:space="0" w:color="auto"/>
                  </w:divBdr>
                  <w:divsChild>
                    <w:div w:id="1962685507">
                      <w:marLeft w:val="0"/>
                      <w:marRight w:val="0"/>
                      <w:marTop w:val="0"/>
                      <w:marBottom w:val="0"/>
                      <w:divBdr>
                        <w:top w:val="none" w:sz="0" w:space="0" w:color="auto"/>
                        <w:left w:val="none" w:sz="0" w:space="0" w:color="auto"/>
                        <w:bottom w:val="none" w:sz="0" w:space="0" w:color="auto"/>
                        <w:right w:val="none" w:sz="0" w:space="0" w:color="auto"/>
                      </w:divBdr>
                      <w:divsChild>
                        <w:div w:id="1559970370">
                          <w:marLeft w:val="0"/>
                          <w:marRight w:val="0"/>
                          <w:marTop w:val="0"/>
                          <w:marBottom w:val="0"/>
                          <w:divBdr>
                            <w:top w:val="none" w:sz="0" w:space="0" w:color="auto"/>
                            <w:left w:val="none" w:sz="0" w:space="0" w:color="auto"/>
                            <w:bottom w:val="none" w:sz="0" w:space="0" w:color="auto"/>
                            <w:right w:val="none" w:sz="0" w:space="0" w:color="auto"/>
                          </w:divBdr>
                          <w:divsChild>
                            <w:div w:id="1288781020">
                              <w:marLeft w:val="0"/>
                              <w:marRight w:val="0"/>
                              <w:marTop w:val="0"/>
                              <w:marBottom w:val="0"/>
                              <w:divBdr>
                                <w:top w:val="none" w:sz="0" w:space="0" w:color="auto"/>
                                <w:left w:val="none" w:sz="0" w:space="0" w:color="auto"/>
                                <w:bottom w:val="none" w:sz="0" w:space="0" w:color="auto"/>
                                <w:right w:val="none" w:sz="0" w:space="0" w:color="auto"/>
                              </w:divBdr>
                              <w:divsChild>
                                <w:div w:id="1666083676">
                                  <w:marLeft w:val="0"/>
                                  <w:marRight w:val="0"/>
                                  <w:marTop w:val="0"/>
                                  <w:marBottom w:val="0"/>
                                  <w:divBdr>
                                    <w:top w:val="none" w:sz="0" w:space="0" w:color="auto"/>
                                    <w:left w:val="none" w:sz="0" w:space="0" w:color="auto"/>
                                    <w:bottom w:val="none" w:sz="0" w:space="0" w:color="auto"/>
                                    <w:right w:val="none" w:sz="0" w:space="0" w:color="auto"/>
                                  </w:divBdr>
                                  <w:divsChild>
                                    <w:div w:id="1925263963">
                                      <w:marLeft w:val="0"/>
                                      <w:marRight w:val="0"/>
                                      <w:marTop w:val="0"/>
                                      <w:marBottom w:val="0"/>
                                      <w:divBdr>
                                        <w:top w:val="none" w:sz="0" w:space="0" w:color="auto"/>
                                        <w:left w:val="none" w:sz="0" w:space="0" w:color="auto"/>
                                        <w:bottom w:val="none" w:sz="0" w:space="0" w:color="auto"/>
                                        <w:right w:val="none" w:sz="0" w:space="0" w:color="auto"/>
                                      </w:divBdr>
                                      <w:divsChild>
                                        <w:div w:id="1123034825">
                                          <w:marLeft w:val="0"/>
                                          <w:marRight w:val="0"/>
                                          <w:marTop w:val="0"/>
                                          <w:marBottom w:val="0"/>
                                          <w:divBdr>
                                            <w:top w:val="none" w:sz="0" w:space="0" w:color="auto"/>
                                            <w:left w:val="none" w:sz="0" w:space="0" w:color="auto"/>
                                            <w:bottom w:val="none" w:sz="0" w:space="0" w:color="auto"/>
                                            <w:right w:val="none" w:sz="0" w:space="0" w:color="auto"/>
                                          </w:divBdr>
                                        </w:div>
                                        <w:div w:id="208360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8824032">
              <w:marLeft w:val="0"/>
              <w:marRight w:val="0"/>
              <w:marTop w:val="0"/>
              <w:marBottom w:val="0"/>
              <w:divBdr>
                <w:top w:val="none" w:sz="0" w:space="0" w:color="auto"/>
                <w:left w:val="none" w:sz="0" w:space="0" w:color="auto"/>
                <w:bottom w:val="none" w:sz="0" w:space="0" w:color="auto"/>
                <w:right w:val="none" w:sz="0" w:space="0" w:color="auto"/>
              </w:divBdr>
            </w:div>
            <w:div w:id="205423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859885">
      <w:bodyDiv w:val="1"/>
      <w:marLeft w:val="0"/>
      <w:marRight w:val="0"/>
      <w:marTop w:val="0"/>
      <w:marBottom w:val="0"/>
      <w:divBdr>
        <w:top w:val="none" w:sz="0" w:space="0" w:color="auto"/>
        <w:left w:val="none" w:sz="0" w:space="0" w:color="auto"/>
        <w:bottom w:val="none" w:sz="0" w:space="0" w:color="auto"/>
        <w:right w:val="none" w:sz="0" w:space="0" w:color="auto"/>
      </w:divBdr>
    </w:div>
    <w:div w:id="2023890889">
      <w:bodyDiv w:val="1"/>
      <w:marLeft w:val="0"/>
      <w:marRight w:val="0"/>
      <w:marTop w:val="0"/>
      <w:marBottom w:val="0"/>
      <w:divBdr>
        <w:top w:val="none" w:sz="0" w:space="0" w:color="auto"/>
        <w:left w:val="none" w:sz="0" w:space="0" w:color="auto"/>
        <w:bottom w:val="none" w:sz="0" w:space="0" w:color="auto"/>
        <w:right w:val="none" w:sz="0" w:space="0" w:color="auto"/>
      </w:divBdr>
      <w:divsChild>
        <w:div w:id="186263528">
          <w:marLeft w:val="0"/>
          <w:marRight w:val="0"/>
          <w:marTop w:val="0"/>
          <w:marBottom w:val="0"/>
          <w:divBdr>
            <w:top w:val="none" w:sz="0" w:space="0" w:color="auto"/>
            <w:left w:val="none" w:sz="0" w:space="0" w:color="auto"/>
            <w:bottom w:val="none" w:sz="0" w:space="0" w:color="auto"/>
            <w:right w:val="none" w:sz="0" w:space="0" w:color="auto"/>
          </w:divBdr>
          <w:divsChild>
            <w:div w:id="726416369">
              <w:marLeft w:val="0"/>
              <w:marRight w:val="0"/>
              <w:marTop w:val="0"/>
              <w:marBottom w:val="0"/>
              <w:divBdr>
                <w:top w:val="none" w:sz="0" w:space="0" w:color="auto"/>
                <w:left w:val="none" w:sz="0" w:space="0" w:color="auto"/>
                <w:bottom w:val="none" w:sz="0" w:space="0" w:color="auto"/>
                <w:right w:val="none" w:sz="0" w:space="0" w:color="auto"/>
              </w:divBdr>
              <w:divsChild>
                <w:div w:id="948581694">
                  <w:marLeft w:val="0"/>
                  <w:marRight w:val="0"/>
                  <w:marTop w:val="0"/>
                  <w:marBottom w:val="0"/>
                  <w:divBdr>
                    <w:top w:val="none" w:sz="0" w:space="0" w:color="auto"/>
                    <w:left w:val="none" w:sz="0" w:space="0" w:color="auto"/>
                    <w:bottom w:val="none" w:sz="0" w:space="0" w:color="auto"/>
                    <w:right w:val="none" w:sz="0" w:space="0" w:color="auto"/>
                  </w:divBdr>
                </w:div>
              </w:divsChild>
            </w:div>
            <w:div w:id="1705205994">
              <w:marLeft w:val="0"/>
              <w:marRight w:val="0"/>
              <w:marTop w:val="0"/>
              <w:marBottom w:val="0"/>
              <w:divBdr>
                <w:top w:val="none" w:sz="0" w:space="0" w:color="auto"/>
                <w:left w:val="none" w:sz="0" w:space="0" w:color="auto"/>
                <w:bottom w:val="none" w:sz="0" w:space="0" w:color="auto"/>
                <w:right w:val="none" w:sz="0" w:space="0" w:color="auto"/>
              </w:divBdr>
              <w:divsChild>
                <w:div w:id="678657254">
                  <w:marLeft w:val="0"/>
                  <w:marRight w:val="0"/>
                  <w:marTop w:val="0"/>
                  <w:marBottom w:val="0"/>
                  <w:divBdr>
                    <w:top w:val="none" w:sz="0" w:space="0" w:color="auto"/>
                    <w:left w:val="none" w:sz="0" w:space="0" w:color="auto"/>
                    <w:bottom w:val="none" w:sz="0" w:space="0" w:color="auto"/>
                    <w:right w:val="none" w:sz="0" w:space="0" w:color="auto"/>
                  </w:divBdr>
                </w:div>
                <w:div w:id="113699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24dd2c6cc424b028e09ca7ba807cff9" PartId="5240d662086d433aa75e3738b2e7cde7"/>
  <Part Type="patvirtinta" Title="(Šiaulių miesto savivaldybės tarybos 2023 m. d. sprendimo Nr. redakcija)" DocPartId="1d3f2da85e58446c877da56ee3bd439f" PartId="7389f9b30a0f4d3e9608a09436ac14ff">
    <Part Type="skirsnis" Title="ŠIAULIŲ MIESTO SAVIVALDYBĖS NEFORMALIOJO VAIKŲ ŠVIETIMO TEIKĖJŲ VEIKLOS KOKYBĖS IŠORINIO VERTINIMO IR APMOKĖJIMO TVARKOS APRAŠAS" DocPartId="7ceafda14a1f4dc2a34c463dc5e84d50" PartId="a3ae2ef9b2f046e2b8378af0ca793802"/>
    <Part Type="skyrius" Nr="1" Title="BENDROSIOS NUOSTATOS" DocPartId="5c0f34a56d2e4b9d9c9b3c7f14aaf606" PartId="e14054a68c3d4a8b86ccb9252142656f">
      <Part Type="punktas" Nr="1" Abbr="1 p." DocPartId="56a6f07722354d57bf669d32e3e3db75" PartId="4459f7c610fe423caa28929fb65bdb5f"/>
      <Part Type="punktas" Nr="2" Abbr="2 p." DocPartId="49822554f92b4a67896a77e2788f31ff" PartId="1cc8e34de2c544b58d0f8fe3a9891947"/>
      <Part Type="punktas" Nr="3" Abbr="3 p." DocPartId="e15033bb2cce43f890461af0d2f12b76" PartId="23830778b22e40c7b646548b0a72a40f"/>
      <Part Type="punktas" Nr="4" Abbr="4 p." DocPartId="7c9e358be5f549bfa32be00706818136" PartId="fb4ab821ea064e03a230d404c128ae06"/>
    </Part>
    <Part Type="skyrius" Nr="2" Title="IŠORINIO VERTINIMO ORGANIZAVIMAS" DocPartId="f2d9c7956d08453cad8db61e8a993895" PartId="58715296add9478991cf443a2976e48c">
      <Part Type="punktas" Nr="5" Abbr="5 p." DocPartId="b5550e473ca74b45a5633a4f9a31ba6b" PartId="da7d940d12e7438aad6280b1521203c6"/>
      <Part Type="punktas" Nr="6" Abbr="6 p." DocPartId="92e9743a487440099669f128dbe7b935" PartId="d8bc51aa23934609905d713ab2006fa3"/>
      <Part Type="punktas" Nr="7" Abbr="7 p." DocPartId="8477e949f5c542d7808d0931deda2cd2" PartId="40945d794a8245889c720577265f4085"/>
      <Part Type="punktas" Nr="8" Abbr="8 p." DocPartId="f9b111159fe64c16949e30f5b19b201e" PartId="c572b3aa8e264ed28d968ae945291b5b"/>
      <Part Type="punktas" Nr="9" Abbr="9 p." DocPartId="c597fc5a78684712b75cee1bd6c02ba3" PartId="9b9cc3565fa04584ab30a17ebcc3f5af"/>
      <Part Type="punktas" Nr="10" Abbr="10 p." DocPartId="7edb9223bc414b3186e4b3cdab026bdd" PartId="2763375c35c346a487d5e62bb2403c8f"/>
    </Part>
    <Part Type="skyrius" Nr="3" Title="APMOKĖJIMAS UŽ IŠORINĮ VERTINIMĄ" DocPartId="0fa1223ad5df43cb83c126c37f33c1ff" PartId="462d2cc834dc423fbba063a76cb483b3">
      <Part Type="punktas" Nr="11" Abbr="11 p." DocPartId="11676b17a83c4dfb95bc2d0356b32100" PartId="4eefed2ab5e840f980af363f38267211"/>
      <Part Type="punktas" Nr="12" Abbr="12 p." DocPartId="a09a1acd96b4451f97199e41708b521e" PartId="fe63f2a2804e4b2c96a4ea6a003ff74c"/>
      <Part Type="punktas" Nr="13" Abbr="13 p." DocPartId="5745b3c837fb4d3392f9bc47e0847bf7" PartId="3b9c1d3ae8cc4ccc98f3a941d76ba87e"/>
      <Part Type="poskyris" Title="mero potvarkiu." DocPartId="b0ecd96889c74734abb04dda2be62d75" PartId="abcd3a5b9ecd42dbbd8d91297a6ab834">
        <Part Type="punktas" Nr="14" Abbr="14 p." DocPartId="5eedf4581efb47fc89319b2f7129f29b" PartId="c0121f216d3d4673925a5e396623192f"/>
      </Part>
    </Part>
    <Part Type="skyrius" Nr="4" Title="ATSAKOMYBĖ IR GINČŲ SPRENDIMO TVARKA" DocPartId="02cfaad963bb4e888791e7549cbe1ded" PartId="7be3b9637850424db3d9773b4e937337">
      <Part Type="punktas" Nr="15" Abbr="15 p." DocPartId="0ba875b13fdb4cf78cab86c20c8518df" PartId="f64c8eb7360f47bd97fa70fc7a83d490"/>
      <Part Type="punktas" Nr="16" Abbr="16 p." DocPartId="cd7d1ac25f23420da6eed71a36079e45" PartId="1269d4265a3d402aba4b498c49204352"/>
      <Part Type="punktas" Nr="17" Abbr="17 p." DocPartId="a8da04607f7c43a9b1c59e27a4e45eba" PartId="6df6b00ec0fb4ca8a3fa457ed9c78469"/>
      <Part Type="punktas" Nr="18" Abbr="18 p." DocPartId="2f1dfb45de3e405cb900bae3db268298" PartId="bad2f3213d8f4e048037cb39b597e77c"/>
    </Part>
    <Part Type="skyrius" Nr="5" Title="BAIGIAMOSIOS NUOSTATOS" DocPartId="df70de34dc3141a9b3eb05f25e7bddca" PartId="4ef2e29135c2455bb0c21fe93e15b19a">
      <Part Type="punktas" Nr="19" Abbr="19 p." DocPartId="7fa00c1474d24ef491836b9c0818de0d" PartId="76ad501090594447bc79a982feef9b3d"/>
      <Part Type="punktas" Nr="20" Abbr="20 p." DocPartId="22dc5acf243e4f848a48e4366b36b1bd" PartId="c8942c5e93a74f4199084500fa1d7ab7"/>
    </Part>
  </Part>
</Parts>
</file>

<file path=customXml/itemProps1.xml><?xml version="1.0" encoding="utf-8"?>
<ds:datastoreItem xmlns:ds="http://schemas.openxmlformats.org/officeDocument/2006/customXml" ds:itemID="{6D1E45A7-591D-4F9C-AE43-3D4097E4B613}">
  <ds:schemaRefs>
    <ds:schemaRef ds:uri="http://schemas.openxmlformats.org/officeDocument/2006/bibliography"/>
  </ds:schemaRefs>
</ds:datastoreItem>
</file>

<file path=customXml/itemProps2.xml><?xml version="1.0" encoding="utf-8"?>
<ds:datastoreItem xmlns:ds="http://schemas.openxmlformats.org/officeDocument/2006/customXml" ds:itemID="{AE032D05-5EBE-431E-A6BA-A0A3E42AE7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725</Words>
  <Characters>5303</Characters>
  <Application>Microsoft Office Word</Application>
  <DocSecurity>4</DocSecurity>
  <Lines>132</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2023-03-09T13:32:00Z</dcterms:created>
  <dc:creator>Asta</dc:creator>
  <lastModifiedBy>adlibuser</lastModifiedBy>
  <lastPrinted>2015-06-26T05:50:00Z</lastPrinted>
  <dcterms:modified xsi:type="dcterms:W3CDTF">2023-03-09T13:32:00Z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50C48874-3425-4867-AB2D-FA838BAD1C46</vt:lpwstr>
  </property>
</Properties>
</file>