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ba092f70a4a947098a10014f2fd63e16"/>
        <w:lock w:val="sdtLocked"/>
        <w:richText/>
      </w:sdtPr>
      <w:sdtContent>
        <w:tbl>
          <w:tblPr>
            <w:tblW w:w="9530" w:type="dxa"/>
            <w:tblInd w:w="-142" w:type="dxa"/>
            <w:tblLook w:val="01E0" w:firstRow="1" w:lastRow="1" w:firstColumn="1" w:lastColumn="1" w:noHBand="0" w:noVBand="0"/>
          </w:tblPr>
          <w:tblGrid>
            <w:gridCol w:w="4820"/>
            <w:gridCol w:w="4710"/>
          </w:tblGrid>
          <w:tr>
            <w:tc>
              <w:tcPr>
                <w:tcW w:w="4820" w:type="dxa"/>
              </w:tcPr>
              <w:p>
                <w:pPr>
                  <w:jc w:val="center"/>
                  <w:rPr>
                    <w:rFonts w:ascii="TimesLT" w:hAnsi="TimesLT"/>
                    <w:b/>
                    <w:sz w:val="4"/>
                  </w:rPr>
                </w:pPr>
              </w:p>
              <w:p>
                <w:pPr>
                  <w:jc w:val="center"/>
                  <w:rPr>
                    <w:rFonts w:ascii="TimesLT" w:hAnsi="TimesLT"/>
                    <w:b/>
                    <w:sz w:val="4"/>
                  </w:rPr>
                </w:pPr>
              </w:p>
              <w:p>
                <w:pPr>
                  <w:jc w:val="center"/>
                  <w:rPr>
                    <w:rFonts w:ascii="TimesLT" w:hAnsi="TimesLT"/>
                    <w:b/>
                    <w:sz w:val="28"/>
                  </w:rPr>
                </w:pPr>
              </w:p>
              <w:p>
                <w:pPr>
                  <w:jc w:val="center"/>
                  <w:rPr>
                    <w:rFonts w:ascii="TimesLT" w:hAnsi="TimesLT"/>
                    <w:b/>
                    <w:sz w:val="28"/>
                  </w:rPr>
                </w:pPr>
                <w:r>
                  <w:rPr>
                    <w:rFonts w:ascii="TimesLT" w:hAnsi="TimesLT"/>
                    <w:b/>
                    <w:sz w:val="28"/>
                  </w:rPr>
                  <w:object w:dxaOrig="1440" w:dyaOrig="1440" w14:anchorId="55AC4215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s1026" type="#_x0000_t75" style="position:absolute;left:0;text-align:left;margin-left:217.35pt;margin-top:14.8pt;width:42.05pt;height:43.25pt;z-index:251660288;visibility:visible;mso-wrap-edited:f" o:allowincell="f" fillcolor="window">
                      <v:imagedata r:id="rId7" o:title=""/>
                    </v:shape>
                    <o:OLEObject Type="Embed" ProgID="Word.Picture.8" ShapeID="_x0000_s1026" DrawAspect="Content" ObjectID="_1779523025" r:id="rId8"/>
                  </w:object>
                </w:r>
              </w:p>
              <w:p>
                <w:pPr>
                  <w:jc w:val="center"/>
                  <w:rPr>
                    <w:rFonts w:ascii="TimesLT" w:hAnsi="TimesLT"/>
                    <w:b/>
                    <w:sz w:val="28"/>
                  </w:rPr>
                </w:pPr>
              </w:p>
              <w:p>
                <w:pPr>
                  <w:jc w:val="center"/>
                  <w:rPr>
                    <w:rFonts w:ascii="TimesLT" w:hAnsi="TimesLT"/>
                    <w:b/>
                    <w:sz w:val="28"/>
                  </w:rPr>
                </w:pPr>
              </w:p>
              <w:p>
                <w:pPr>
                  <w:jc w:val="center"/>
                  <w:rPr>
                    <w:rFonts w:ascii="TimesLT" w:hAnsi="TimesLT"/>
                    <w:b/>
                    <w:sz w:val="28"/>
                  </w:rPr>
                </w:pPr>
              </w:p>
              <w:p>
                <w:pPr>
                  <w:jc w:val="center"/>
                  <w:rPr>
                    <w:b/>
                    <w:sz w:val="8"/>
                  </w:rPr>
                </w:pPr>
                <w:r>
                  <w:rPr>
                    <w:b/>
                    <w:sz w:val="28"/>
                  </w:rPr>
                  <w:t>LIETUVOS SAVIVALDYBIŲ ASOCIACIJA</w:t>
                </w:r>
              </w:p>
              <w:p>
                <w:pPr>
                  <w:jc w:val="center"/>
                  <w:rPr>
                    <w:sz w:val="8"/>
                  </w:rPr>
                </w:pPr>
              </w:p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 xml:space="preserve">Kodas 124111348, Gynėjų g. 16, LT-01109 Vilnius,  tel. (8 5) 261 6063,</w:t>
                </w:r>
              </w:p>
              <w:p>
                <w:pPr>
                  <w:jc w:val="center"/>
                  <w:rPr>
                    <w:sz w:val="6"/>
                  </w:rPr>
                </w:pPr>
                <w:r>
                  <w:rPr>
                    <w:sz w:val="20"/>
                  </w:rPr>
                  <w:t xml:space="preserve">el. p. bendras@lsa.lt,  atsisk. sąsk. LT287044060001377867 AB SEB bankas, banko kodas 70440</w:t>
                </w:r>
              </w:p>
              <w:p>
                <w:pPr>
                  <w:jc w:val="center"/>
                  <w:rPr>
                    <w:sz w:val="6"/>
                  </w:rPr>
                </w:pPr>
              </w:p>
              <w:p>
                <w:pPr>
                  <w:rPr>
                    <w:sz w:val="10"/>
                  </w:rPr>
                </w:pPr>
                <w:r>
                  <w:rPr>
                    <w:sz w:val="10"/>
                    <w:lang w:val="en-US"/>
                  </w:rPr>
                  <mc:AlternateContent>
                    <mc:Choice Requires="wps">
                      <w:drawing>
                        <wp:anchor distT="0" distB="0" distL="114300" distR="114300" simplePos="0" relativeHeight="251659264" behindDoc="0" locked="0" layoutInCell="0" allowOverlap="1" wp14:anchorId="55EAEBE6" wp14:editId="3068B57D">
                          <wp:simplePos x="0" y="0"/>
                          <wp:positionH relativeFrom="column">
                            <wp:posOffset>17145</wp:posOffset>
                          </wp:positionH>
                          <wp:positionV relativeFrom="paragraph">
                            <wp:posOffset>46355</wp:posOffset>
                          </wp:positionV>
                          <wp:extent cx="6035040" cy="0"/>
                          <wp:effectExtent l="0" t="0" r="0" b="0"/>
                          <wp:wrapNone/>
                          <wp:docPr id="2" name="Line 4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CnPr>
                                  <a:cxnSpLocks noChangeShapeType="1"/>
                                </wps:cNvCnPr>
                                <wps:spPr bwMode="auto">
                                  <a:xfrm>
                                    <a:off x="0" y="0"/>
                                    <a:ext cx="6035040" cy="0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19050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noFill/>
                                      </a14:hiddenFill>
                                    </a:ext>
                                  </a:extLst>
                                </wps:spPr>
                                <wps:bodyPr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line w14:anchorId="114FF7D2" id="Line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3.65pt" to="476.55pt,3.6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3dlTOEQIAACkEAAAOAAAAZHJzL2Uyb0RvYy54bWysU8GO2jAQvVfqP1i+QxI2UIgIqyqBXmiL tNsPMLZDrDq2ZRsCqvrvHRuC2PZSVc3BGXtmnt/MGy+fz51EJ26d0KrE2TjFiCuqmVCHEn973Yzm GDlPFCNSK17iC3f4efX+3bI3BZ/oVkvGLQIQ5YrelLj13hRJ4mjLO+LG2nAFzkbbjnjY2kPCLOkB vZPJJE1nSa8tM1ZT7hyc1lcnXkX8puHUf20axz2SJQZuPq42rvuwJqslKQ6WmFbQGw3yDyw6IhRc eoeqiSfoaMUfUJ2gVjvd+DHVXaKbRlAea4BqsvS3al5aYnisBZrjzL1N7v/B0i+nnUWClXiCkSId SLQViqM8dKY3roCASu1sqI2e1YvZavrdIaWrlqgDjwxfLwbSspCRvEkJG2cAf99/1gxiyNHr2KZz Y7sACQ1A56jG5a4GP3tE4XCWPk3THESjgy8hxZBorPOfuO5QMEosgXMEJqet84EIKYaQcI/SGyFl FFsq1APbRTpNY4bTUrDgDXHOHvaVtOhEwrzEL5YFnscwq4+KRbSWE7a+2Z4IebXhdqkCHtQCfG7W dSB+LNLFer6e56N8MluP8rSuRx83VT6abbIP0/qprqo6+xmoZXnRCsa4CuyG4czyvxP/9kyuY3Uf z3sfkrfosWFAdvhH0lHMoN91EvaaXXZ2EBnmMQbf3k4Y+Mc92I8vfPULAAD//wMAUEsDBBQABgAI AAAAIQAODsA12QAAAAUBAAAPAAAAZHJzL2Rvd25yZXYueG1sTI7BTsMwEETvSPyDtUjcqNOW0jTE qaASl94IFXDcxiaJsNdR7KbJ37NwKcfRjN68fDs6KwbTh9aTgvksAWGo8rqlWsHh7eUuBREikkbr ySiYTIBtcX2VY6b9mV7NUMZaMIRChgqaGLtMylA1xmGY+c4Qd1++dxg59rXUPZ4Z7qxcJMmDdNgS PzTYmV1jqu/y5Jiy+kif95gepsmWn5v73ft+IKfU7c349AgimjFexvCrz+pQsNPRn0gHYRUs1jxU sF6C4HazWs5BHP+yLHL53774AQAA//8DAFBLAQItABQABgAIAAAAIQC2gziS/gAAAOEBAAATAAAA AAAAAAAAAAAAAAAAAABbQ29udGVudF9UeXBlc10ueG1sUEsBAi0AFAAGAAgAAAAhADj9If/WAAAA lAEAAAsAAAAAAAAAAAAAAAAALwEAAF9yZWxzLy5yZWxzUEsBAi0AFAAGAAgAAAAhALd2VM4RAgAA KQQAAA4AAAAAAAAAAAAAAAAALgIAAGRycy9lMm9Eb2MueG1sUEsBAi0AFAAGAAgAAAAhAA4OwDXZ AAAABQEAAA8AAAAAAAAAAAAAAAAAawQAAGRycy9kb3ducmV2LnhtbFBLBQYAAAAABAAEAPMAAABx BQAAAAA= " o:allowincell="f" strokeweight="1.5pt"/>
                      </w:pict>
                    </mc:Fallback>
                  </mc:AlternateContent>
                </w:r>
              </w:p>
              <w:p>
                <w:pPr>
                  <w:tabs>
                    <w:tab w:val="center" w:pos="4153"/>
                    <w:tab w:val="right" w:pos="8306"/>
                  </w:tabs>
                </w:pPr>
              </w:p>
              <w:p>
                <w:r>
                  <w:rPr>
                    <w:lang w:val="en-US"/>
                  </w:rPr>
                  <w:t>Savivaldybi</w:t>
                </w:r>
                <w:r>
                  <w:t>ų m</w:t>
                </w:r>
                <w:r>
                  <w:rPr>
                    <w:lang w:val="en-US"/>
                  </w:rPr>
                  <w:t>erams</w:t>
                </w:r>
              </w:p>
              <w:p/>
              <w:p>
                <w:pPr>
                  <w:rPr>
                    <w:rFonts w:ascii="Tahoma" w:hAnsi="Tahoma" w:cs="Tahoma"/>
                    <w:color w:val="3A3D3F"/>
                    <w:sz w:val="18"/>
                    <w:szCs w:val="18"/>
                    <w:shd w:val="clear" w:color="auto" w:fill="FFFFFF"/>
                  </w:rPr>
                </w:pPr>
              </w:p>
              <w:p/>
              <w:p/>
            </w:tc>
            <w:tc>
              <w:tcPr>
                <w:tcW w:w="4710" w:type="dxa"/>
              </w:tcPr>
              <w:p>
                <w:pPr>
                  <w:ind w:left="1336" w:firstLine="124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2024-06-06       Nr. (16)-SD-</w:t>
                </w:r>
              </w:p>
              <w:p>
                <w:pPr>
                  <w:ind w:left="1339"/>
                </w:pPr>
              </w:p>
            </w:tc>
          </w:tr>
          <w:tr>
            <w:trPr>
              <w:trHeight w:val="68"/>
            </w:trPr>
            <w:tc>
              <w:tcPr>
                <w:tcW w:w="4820" w:type="dxa"/>
              </w:tcPr>
              <w:p/>
            </w:tc>
            <w:tc>
              <w:tcPr>
                <w:tcW w:w="4710" w:type="dxa"/>
              </w:tcPr>
              <w:p>
                <w:pPr>
                  <w:ind w:left="1336"/>
                </w:pPr>
              </w:p>
            </w:tc>
          </w:tr>
        </w:tbl>
        <w:sdt>
          <w:sdtPr>
            <w:alias w:val="skirsnis"/>
            <w:tag w:val="part_ccd467704cef4f8e891bcd2f24062137"/>
            <w:lock w:val="sdtLocked"/>
            <w:richText/>
          </w:sdtPr>
          <w:sdtContent>
            <w:p>
              <w:pPr>
                <w:rPr>
                  <w:lang w:val="en-US"/>
                </w:rPr>
              </w:pPr>
              <w:sdt>
                <w:sdtPr>
                  <w:alias w:val="Pavadinimas"/>
                  <w:tag w:val="title_ccd467704cef4f8e891bcd2f24062137"/>
                  <w:lock w:val="sdtLocked"/>
                  <w:richText/>
                </w:sdtPr>
                <w:sdtContent>
                  <w:r>
                    <w:rPr>
                      <w:b/>
                      <w:lang w:val="en-US"/>
                    </w:rPr>
                    <w:t>D</w:t>
                  </w:r>
                  <w:r>
                    <w:rPr>
                      <w:b/>
                    </w:rPr>
                    <w:t>ĖL KANDIDATŲ 202</w:t>
                  </w:r>
                  <w:r>
                    <w:rPr>
                      <w:b/>
                      <w:lang w:val="en-US"/>
                    </w:rPr>
                    <w:t>4</w:t>
                  </w:r>
                  <w:r>
                    <w:rPr>
                      <w:b/>
                    </w:rPr>
                    <w:t xml:space="preserve"> M. „AUKSINĖS KRIVŪLĖS“ RITERIO APDOVANOJIMUI </w:t>
                  </w:r>
                </w:sdtContent>
              </w:sdt>
            </w:p>
            <w:p>
              <w:pPr>
                <w:jc w:val="both"/>
                <w:rPr>
                  <w:b/>
                </w:rPr>
              </w:pPr>
            </w:p>
            <w:p>
              <w:pPr>
                <w:spacing w:line="276" w:lineRule="auto"/>
                <w:jc w:val="both"/>
              </w:pP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Jau devynioliktą kartą, minint Lietuvos vietos savivaldos dieną, „Auksinių krivūlių“ apdovanojimais bus pagerbtos labiausiai įvairiose srityse nusipelniusios šalies savivaldybės.  Apdovanojimų renginyje, kuris šiemet vyks spalio </w:t>
              </w:r>
              <w:r>
                <w:rPr>
                  <w:szCs w:val="24"/>
                  <w:lang w:val="en-US"/>
                </w:rPr>
                <w:t>10 dien</w:t>
              </w:r>
              <w:r>
                <w:rPr>
                  <w:szCs w:val="24"/>
                </w:rPr>
                <w:t>ą, bus įteikti ir „Auksinės krivūlės“ riterio ženklai,</w:t>
              </w:r>
              <w:r>
                <w:t xml:space="preserve"> skirti </w:t>
              </w:r>
              <w:r>
                <w:rPr>
                  <w:szCs w:val="24"/>
                </w:rPr>
                <w:t xml:space="preserve">asmenims, nusipelniusiems Lietuvos savivaldai, jos plėtrai ir stiprinimui. </w:t>
              </w: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Maloniai prašome savivaldybių tarybas siūlyti savo kandidatus šiam apdovanojimui. </w:t>
              </w:r>
            </w:p>
            <w:p>
              <w:pPr>
                <w:spacing w:line="276" w:lineRule="auto"/>
                <w:ind w:firstLine="720"/>
                <w:jc w:val="both"/>
              </w:pPr>
              <w:r>
                <w:rPr>
                  <w:szCs w:val="24"/>
                </w:rPr>
                <w:t xml:space="preserve">Primename, </w:t>
              </w:r>
              <w:r>
                <w:rPr>
                  <w:bCs/>
                  <w:szCs w:val="24"/>
                </w:rPr>
                <w:t>jog pagal</w:t>
              </w:r>
              <w:r>
                <w:t xml:space="preserve"> apdovanojimų nuostatus, teisę pristatyti asmenis LSA „Auksinės krivūlės“ riterio apdovanojimui turi LSA prezidentas ir/arba savivaldybių tarybos. Teikti galima vieną kandidatą. Šalia teikimo (raštu) apdovanojimui, turi būti užpildyta ir kandidato anketa (žr. priedą). Atkreipiame dėmesį, kad kandidato nuopelnus savivaldai prašome pristatyti glaustai.</w:t>
              </w: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Lauksime jūsų siūlymų iki rugsėjo </w:t>
              </w:r>
              <w:r>
                <w:rPr>
                  <w:szCs w:val="24"/>
                  <w:lang w:val="en-US"/>
                </w:rPr>
                <w:t>2</w:t>
              </w:r>
              <w:r>
                <w:rPr>
                  <w:szCs w:val="24"/>
                </w:rPr>
                <w:t xml:space="preserve"> d. </w:t>
              </w: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Kvietimai į apdovanojimų renginį, kuris šiemet vyks Lietuvos nacionaliniame dramos teatre Vilniuje, savivaldybėms bus atsiųsti rugsėjo </w:t>
              </w:r>
              <w:r>
                <w:rPr>
                  <w:bCs/>
                  <w:szCs w:val="24"/>
                </w:rPr>
                <w:t>mėnesį.</w:t>
              </w:r>
              <w:r>
                <w:rPr>
                  <w:b/>
                  <w:bCs/>
                  <w:szCs w:val="24"/>
                </w:rPr>
                <w:t xml:space="preserve">  </w:t>
              </w:r>
            </w:p>
            <w:p>
              <w:pPr>
                <w:spacing w:line="276" w:lineRule="auto"/>
                <w:ind w:firstLine="720"/>
                <w:jc w:val="both"/>
                <w:rPr>
                  <w:bCs/>
                  <w:szCs w:val="24"/>
                </w:rPr>
              </w:pPr>
            </w:p>
            <w:p>
              <w:pPr>
                <w:spacing w:line="276" w:lineRule="auto"/>
                <w:ind w:firstLine="720"/>
                <w:jc w:val="both"/>
              </w:pPr>
              <w:r>
                <w:rPr>
                  <w:bCs/>
                  <w:szCs w:val="24"/>
                </w:rPr>
                <w:t>Pridedama: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t>LSA apdovanojimų nuostatai ir apdovanojimui teikiamo kandidato anketa, 3 psl.</w:t>
              </w:r>
            </w:p>
            <w:p>
              <w:pPr>
                <w:spacing w:line="276" w:lineRule="auto"/>
                <w:ind w:firstLine="1898"/>
                <w:jc w:val="both"/>
              </w:pPr>
            </w:p>
            <w:p>
              <w:pPr>
                <w:spacing w:line="276" w:lineRule="auto"/>
                <w:ind w:firstLine="968"/>
                <w:jc w:val="both"/>
                <w:rPr>
                  <w:bCs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ebcae28432042a1a695a82e03a00234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Direktorė </w:t>
                <w:tab/>
                <w:tab/>
                <w:tab/>
                <w:tab/>
                <w:tab/>
                <w:tab/>
                <w:tab/>
                <w:tab/>
                <w:t>Roma Žakaitienė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  <w:r>
                <w:t>I.Vilūnienė, 8 618 58706, indre.viluniene</w:t>
              </w:r>
              <w:r>
                <w:rPr>
                  <w:lang w:val="en-US"/>
                </w:rPr>
                <w:t>@</w:t>
              </w:r>
              <w:r>
                <w:t>lsa.lt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1" w:h="16834"/>
      <w:pgMar w:top="1276" w:right="844" w:bottom="709" w:left="1701" w:header="142" w:footer="965" w:gutter="0"/>
      <w:paperSrc w:first="1" w:other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  <w:sig w:usb0="00000207" w:usb1="00000000" w:usb2="00000000" w:usb3="00000000" w:csb0="00000085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CAB6C6D-1029-4F88-B11E-5EC515C1F2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44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9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5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179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45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0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e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eaee590c768a4a089a7654645a11d00c" PartId="ba092f70a4a947098a10014f2fd63e16">
    <Part Type="skirsnis" Title="DĖL KANDIDATŲ 2024 M. „AUKSINĖS KRIVŪLĖS“ RITERIO APDOVANOJIMUI" DocPartId="d839d4b679d24a378984863ffd0490d5" PartId="ccd467704cef4f8e891bcd2f24062137"/>
    <Part Type="signatura" DocPartId="d8663dfbacc3402492edd33c6728b370" PartId="5ebcae28432042a1a695a82e03a00234"/>
  </Part>
</Parts>
</file>

<file path=customXml/itemProps1.xml><?xml version="1.0" encoding="utf-8"?>
<ds:datastoreItem xmlns:ds="http://schemas.openxmlformats.org/officeDocument/2006/customXml" ds:itemID="{17D720DE-AF12-496A-876A-39572C9225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54688D-5C60-4324-B2D6-5A724EF1C5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182</Words>
  <Characters>1356</Characters>
  <Application>Microsoft Office Word</Application>
  <DocSecurity>4</DocSecurity>
  <Lines>54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lkjhlkjh</vt:lpstr>
      <vt:lpstr>lkjhlkjh</vt:lpstr>
    </vt:vector>
  </TitlesOfParts>
  <Company>Informatikos sk.</Company>
  <LinksUpToDate>false</LinksUpToDate>
  <CharactersWithSpaces>1524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2024-06-10T08:10:00Z</dcterms:created>
  <dc:creator>Vilniaus m. savivaldybe</dc:creator>
  <lastModifiedBy>adlibuser</lastModifiedBy>
  <lastPrinted>2023-07-25T08:06:00Z</lastPrinted>
  <dcterms:modified xsi:type="dcterms:W3CDTF">2024-06-10T08:10:00Z</dcterms:modified>
  <revision>2</revision>
  <dc:title>lkjhlkjh</dc:title>
</coreProperties>
</file>