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46388964b834063b411cfc1f845c9d7"/>
        <w:lock w:val="sdtLocked"/>
        <w:richText/>
      </w:sdtPr>
      <w:sdtContent>
        <w:p>
          <w:pPr>
            <w:spacing w:line="276" w:lineRule="auto"/>
            <w:jc w:val="center"/>
            <w:rPr>
              <w:rFonts w:eastAsia="Calibri"/>
              <w:b/>
              <w:color w:val="000000"/>
              <w:szCs w:val="24"/>
            </w:rPr>
          </w:pPr>
          <w:r>
            <w:rPr>
              <w:rFonts w:eastAsia="Calibri"/>
              <w:b/>
              <w:color w:val="000000"/>
              <w:szCs w:val="24"/>
            </w:rPr>
            <w:t>NUMATOMO TEISINIO REGULIAVIMO POVEIKIO VERTINIMO PAŽYMA</w:t>
          </w:r>
        </w:p>
        <w:p>
          <w:pPr>
            <w:spacing w:line="276" w:lineRule="auto"/>
            <w:jc w:val="center"/>
            <w:rPr>
              <w:rFonts w:eastAsia="Calibri"/>
              <w:b/>
              <w:color w:val="000000"/>
              <w:szCs w:val="24"/>
            </w:rPr>
          </w:pPr>
        </w:p>
        <w:tbl>
          <w:tblPr>
            <w:tblW w:w="9782" w:type="dxa"/>
            <w:jc w:val="center"/>
            <w:tblLook w:val="00A0" w:firstRow="1" w:lastRow="0" w:firstColumn="1" w:lastColumn="0" w:noHBand="0" w:noVBand="0"/>
          </w:tblPr>
          <w:tblGrid>
            <w:gridCol w:w="2268"/>
            <w:gridCol w:w="7371"/>
            <w:gridCol w:w="143"/>
          </w:tblGrid>
          <w:tr>
            <w:trPr>
              <w:gridAfter w:val="1"/>
              <w:wAfter w:w="143" w:type="dxa"/>
              <w:jc w:val="center"/>
            </w:trPr>
            <w:tc>
              <w:tcPr>
                <w:tcW w:w="2268" w:type="dxa"/>
                <w:shd w:val="clear" w:color="auto" w:fill="auto"/>
                <w:hideMark/>
              </w:tcPr>
              <w:p>
                <w:pPr>
                  <w:rPr>
                    <w:sz w:val="4"/>
                    <w:szCs w:val="4"/>
                  </w:rPr>
                </w:pPr>
              </w:p>
              <w:p>
                <w:pPr>
                  <w:rPr>
                    <w:rFonts w:eastAsia="Calibri"/>
                    <w:szCs w:val="24"/>
                    <w:shd w:val="clear" w:color="auto" w:fill="DBE5F1"/>
                  </w:rPr>
                </w:pPr>
                <w:r>
                  <w:rPr>
                    <w:rFonts w:eastAsia="Calibri"/>
                    <w:b/>
                    <w:szCs w:val="24"/>
                  </w:rPr>
                  <w:t>Projekto</w:t>
                </w:r>
                <w:r>
                  <w:rPr>
                    <w:rFonts w:eastAsia="Calibri"/>
                    <w:b/>
                    <w:szCs w:val="24"/>
                    <w:shd w:val="clear" w:color="auto" w:fill="DBE5F1"/>
                  </w:rPr>
                  <w:t xml:space="preserve"> </w:t>
                </w:r>
                <w:r>
                  <w:rPr>
                    <w:rFonts w:eastAsia="Calibri"/>
                    <w:b/>
                    <w:szCs w:val="24"/>
                  </w:rPr>
                  <w:t>pavadinimas</w:t>
                </w:r>
              </w:p>
            </w:tc>
            <w:tc>
              <w:tcPr>
                <w:tcW w:w="7371" w:type="dxa"/>
                <w:shd w:val="clear" w:color="auto" w:fill="auto"/>
              </w:tcPr>
              <w:p>
                <w:pPr>
                  <w:rPr>
                    <w:sz w:val="4"/>
                    <w:szCs w:val="4"/>
                  </w:rPr>
                </w:pPr>
              </w:p>
              <w:p>
                <w:pPr>
                  <w:jc w:val="both"/>
                  <w:rPr>
                    <w:rFonts w:eastAsia="Calibri"/>
                    <w:szCs w:val="24"/>
                  </w:rPr>
                </w:pPr>
                <w:r>
                  <w:rPr>
                    <w:rFonts w:eastAsia="Calibri"/>
                    <w:szCs w:val="24"/>
                  </w:rPr>
                  <w:t>Lietuvos Respublikos Vyriausybės 2006 m. lapkričio 24 d. nutarimo Nr. 1168 „Dėl apmokestinamųjų gaminių ir pakuočių atliekų naudojimo ir (ar) perdirbimo užduočių patvirtinimo“ pakeitimo projektas (toliau – Nutarimo pakeitimo projektas).</w:t>
                </w:r>
              </w:p>
            </w:tc>
          </w:tr>
          <w:tr>
            <w:trPr>
              <w:gridAfter w:val="1"/>
              <w:wAfter w:w="143" w:type="dxa"/>
              <w:jc w:val="center"/>
            </w:trPr>
            <w:tc>
              <w:tcPr>
                <w:tcW w:w="2268" w:type="dxa"/>
                <w:shd w:val="clear" w:color="auto" w:fill="auto"/>
                <w:hideMark/>
              </w:tcPr>
              <w:p>
                <w:pPr>
                  <w:rPr>
                    <w:sz w:val="4"/>
                    <w:szCs w:val="4"/>
                  </w:rPr>
                </w:pPr>
              </w:p>
              <w:p>
                <w:pPr>
                  <w:shd w:val="clear" w:color="auto" w:fill="FFFFFF"/>
                  <w:rPr>
                    <w:rFonts w:eastAsia="Calibri"/>
                    <w:szCs w:val="24"/>
                  </w:rPr>
                </w:pPr>
                <w:r>
                  <w:rPr>
                    <w:rFonts w:eastAsia="Calibri"/>
                    <w:b/>
                    <w:szCs w:val="24"/>
                  </w:rPr>
                  <w:t>Projekto rengėjas</w:t>
                </w:r>
              </w:p>
            </w:tc>
            <w:tc>
              <w:tcPr>
                <w:tcW w:w="7371" w:type="dxa"/>
                <w:shd w:val="clear" w:color="auto" w:fill="auto"/>
                <w:hideMark/>
              </w:tcPr>
              <w:p>
                <w:pPr>
                  <w:rPr>
                    <w:sz w:val="4"/>
                    <w:szCs w:val="4"/>
                  </w:rPr>
                </w:pPr>
              </w:p>
              <w:p>
                <w:pPr>
                  <w:shd w:val="clear" w:color="auto" w:fill="FFFFFF"/>
                  <w:jc w:val="both"/>
                  <w:rPr>
                    <w:rFonts w:eastAsia="Calibri"/>
                    <w:b/>
                    <w:szCs w:val="24"/>
                  </w:rPr>
                </w:pPr>
                <w:r>
                  <w:rPr>
                    <w:rFonts w:eastAsia="Calibri"/>
                    <w:szCs w:val="24"/>
                  </w:rPr>
                  <w:t>Lietuvos Respublikos aplinkos ministerija.</w:t>
                </w:r>
              </w:p>
            </w:tc>
          </w:tr>
          <w:tr>
            <w:trPr>
              <w:jc w:val="center"/>
            </w:trPr>
            <w:tc>
              <w:tcPr>
                <w:tcW w:w="2268" w:type="dxa"/>
                <w:shd w:val="clear" w:color="auto" w:fill="auto"/>
                <w:hideMark/>
              </w:tcPr>
              <w:p>
                <w:pPr>
                  <w:rPr>
                    <w:sz w:val="4"/>
                    <w:szCs w:val="4"/>
                  </w:rPr>
                </w:pPr>
              </w:p>
              <w:p>
                <w:pPr>
                  <w:rPr>
                    <w:rFonts w:eastAsia="Calibri"/>
                    <w:b/>
                    <w:szCs w:val="24"/>
                  </w:rPr>
                </w:pPr>
                <w:r>
                  <w:rPr>
                    <w:rFonts w:eastAsia="Calibri"/>
                    <w:b/>
                    <w:szCs w:val="24"/>
                  </w:rPr>
                  <w:t>Projekto tikslas</w:t>
                </w:r>
              </w:p>
            </w:tc>
            <w:tc>
              <w:tcPr>
                <w:tcW w:w="7514" w:type="dxa"/>
                <w:gridSpan w:val="2"/>
                <w:shd w:val="clear" w:color="auto" w:fill="auto"/>
                <w:hideMark/>
              </w:tcPr>
              <w:p>
                <w:pPr>
                  <w:rPr>
                    <w:sz w:val="4"/>
                    <w:szCs w:val="4"/>
                  </w:rPr>
                </w:pPr>
              </w:p>
              <w:p>
                <w:pPr>
                  <w:jc w:val="both"/>
                  <w:rPr>
                    <w:szCs w:val="24"/>
                    <w:lang w:eastAsia="lt-LT"/>
                  </w:rPr>
                </w:pPr>
                <w:r>
                  <w:rPr>
                    <w:rFonts w:eastAsia="Calibri"/>
                    <w:szCs w:val="22"/>
                  </w:rPr>
                  <w:t xml:space="preserve">Nustatyti apmokestinamųjų gaminių ir pakuočių atliekų naudojimo ir (ar) perdirbimo 2021–2030 m. užduotis </w:t>
                </w:r>
                <w:r>
                  <w:rPr>
                    <w:rFonts w:eastAsia="Calibri"/>
                    <w:szCs w:val="24"/>
                  </w:rPr>
                  <w:t>atsižvelgiant į per ataskaitinį laikotarpį</w:t>
                </w:r>
                <w:r>
                  <w:rPr>
                    <w:rFonts w:eastAsia="Calibri"/>
                    <w:szCs w:val="22"/>
                  </w:rPr>
                  <w:t xml:space="preserve"> patiektą vidaus rinkai </w:t>
                </w:r>
                <w:r>
                  <w:rPr>
                    <w:rFonts w:eastAsia="Calibri"/>
                    <w:szCs w:val="24"/>
                  </w:rPr>
                  <w:t>atitinkamų apmokestinamųjų gaminių ir</w:t>
                </w:r>
                <w:r>
                  <w:rPr>
                    <w:rFonts w:ascii="Calibri" w:eastAsia="Calibri" w:hAnsi="Calibri"/>
                    <w:sz w:val="22"/>
                    <w:szCs w:val="22"/>
                  </w:rPr>
                  <w:t xml:space="preserve"> </w:t>
                </w:r>
                <w:r>
                  <w:rPr>
                    <w:rFonts w:eastAsia="Calibri"/>
                    <w:szCs w:val="22"/>
                  </w:rPr>
                  <w:t>pakuočių kiekį. Pakuočių atliekų naudojimo ir (ar) perdirbimo užduotis nustatyti atsižvelgiant į Direktyvoje nustatytus minimalius pakuočių atliekoms (pagal svorį) taikomus perdirbimo tikslus 2025 m. ir 2030 m., o esant poreikiui nustatytus tikslų įgyvendinimo terimus pratęsti pagal Direktyvoje nurodytas sąlygas.</w:t>
                </w:r>
              </w:p>
            </w:tc>
          </w:tr>
        </w:tbl>
        <w:p>
          <w:pPr>
            <w:rPr>
              <w:sz w:val="4"/>
              <w:szCs w:val="4"/>
            </w:rPr>
          </w:pPr>
        </w:p>
        <w:p>
          <w:pPr>
            <w:rPr>
              <w:rFonts w:eastAsia="Calibri"/>
              <w:szCs w:val="24"/>
            </w:rPr>
          </w:pPr>
        </w:p>
        <w:p>
          <w:pPr>
            <w:rPr>
              <w:sz w:val="4"/>
              <w:szCs w:val="4"/>
            </w:rPr>
          </w:pPr>
        </w:p>
        <w:tbl>
          <w:tblPr>
            <w:tblW w:w="9639" w:type="dxa"/>
            <w:jc w:val="center"/>
            <w:tblLook w:val="00A0" w:firstRow="1" w:lastRow="0" w:firstColumn="1" w:lastColumn="0" w:noHBand="0" w:noVBand="0"/>
          </w:tblPr>
          <w:tblGrid>
            <w:gridCol w:w="2268"/>
            <w:gridCol w:w="7371"/>
          </w:tblGrid>
          <w:tr>
            <w:trPr>
              <w:trHeight w:val="415"/>
              <w:jc w:val="center"/>
            </w:trPr>
            <w:tc>
              <w:tcPr>
                <w:tcW w:w="2268" w:type="dxa"/>
                <w:shd w:val="clear" w:color="auto" w:fill="FFFFFF"/>
              </w:tcPr>
              <w:p>
                <w:pPr>
                  <w:rPr>
                    <w:sz w:val="4"/>
                    <w:szCs w:val="4"/>
                  </w:rPr>
                </w:pPr>
              </w:p>
              <w:p>
                <w:pPr>
                  <w:shd w:val="clear" w:color="auto" w:fill="FFFFFF"/>
                  <w:rPr>
                    <w:rFonts w:eastAsia="Calibri"/>
                    <w:szCs w:val="24"/>
                  </w:rPr>
                </w:pPr>
              </w:p>
            </w:tc>
            <w:tc>
              <w:tcPr>
                <w:tcW w:w="7371" w:type="dxa"/>
                <w:shd w:val="clear" w:color="auto" w:fill="FFFFFF"/>
                <w:hideMark/>
              </w:tcPr>
              <w:p>
                <w:pPr>
                  <w:jc w:val="center"/>
                  <w:rPr>
                    <w:b/>
                    <w:szCs w:val="24"/>
                    <w:lang w:eastAsia="lt-LT"/>
                  </w:rPr>
                </w:pPr>
                <w:r>
                  <w:rPr>
                    <w:b/>
                    <w:szCs w:val="24"/>
                    <w:lang w:eastAsia="lt-LT"/>
                  </w:rPr>
                  <w:t xml:space="preserve">Siūlomo projekto poveikio įvertinimas </w:t>
                </w:r>
              </w:p>
              <w:p>
                <w:pPr>
                  <w:rPr>
                    <w:sz w:val="4"/>
                    <w:szCs w:val="4"/>
                  </w:rPr>
                </w:pPr>
              </w:p>
              <w:p>
                <w:pPr>
                  <w:shd w:val="clear" w:color="auto" w:fill="FFFFFF"/>
                  <w:jc w:val="center"/>
                  <w:rPr>
                    <w:b/>
                    <w:bCs/>
                    <w:szCs w:val="24"/>
                    <w:lang w:eastAsia="lt-LT"/>
                  </w:rPr>
                </w:pPr>
                <w:r>
                  <w:rPr>
                    <w:b/>
                    <w:szCs w:val="24"/>
                    <w:lang w:eastAsia="lt-LT"/>
                  </w:rPr>
                  <w:t>(</w:t>
                </w:r>
                <w:r>
                  <w:rPr>
                    <w:b/>
                    <w:bCs/>
                    <w:szCs w:val="24"/>
                    <w:lang w:eastAsia="lt-LT"/>
                  </w:rPr>
                  <w:t>teigiamos ir (ar) neigiamos pasekmės)</w:t>
                </w:r>
              </w:p>
            </w:tc>
          </w:tr>
          <w:tr>
            <w:trPr>
              <w:jc w:val="center"/>
            </w:trPr>
            <w:tc>
              <w:tcPr>
                <w:tcW w:w="2268" w:type="dxa"/>
                <w:shd w:val="clear" w:color="auto" w:fill="FFFFFF"/>
              </w:tcPr>
              <w:p>
                <w:pPr>
                  <w:rPr>
                    <w:sz w:val="4"/>
                    <w:szCs w:val="4"/>
                  </w:rPr>
                </w:pPr>
              </w:p>
              <w:p>
                <w:pPr>
                  <w:rPr>
                    <w:rFonts w:eastAsia="Calibri"/>
                    <w:b/>
                    <w:szCs w:val="24"/>
                  </w:rPr>
                </w:pPr>
                <w:r>
                  <w:rPr>
                    <w:rFonts w:eastAsia="Calibri"/>
                    <w:b/>
                    <w:szCs w:val="24"/>
                  </w:rPr>
                  <w:t>Poveikis aplinkai ir klimato kaitai</w:t>
                </w:r>
              </w:p>
            </w:tc>
            <w:tc>
              <w:tcPr>
                <w:tcW w:w="7371" w:type="dxa"/>
                <w:shd w:val="clear" w:color="auto" w:fill="FFFFFF"/>
              </w:tcPr>
              <w:p>
                <w:pPr>
                  <w:rPr>
                    <w:sz w:val="4"/>
                    <w:szCs w:val="4"/>
                  </w:rPr>
                </w:pPr>
              </w:p>
              <w:p>
                <w:pPr>
                  <w:jc w:val="both"/>
                  <w:rPr>
                    <w:rFonts w:eastAsia="Calibri"/>
                    <w:szCs w:val="24"/>
                  </w:rPr>
                </w:pPr>
                <w:r>
                  <w:rPr>
                    <w:rFonts w:eastAsia="Calibri"/>
                    <w:szCs w:val="24"/>
                  </w:rPr>
                  <w:t xml:space="preserve">Prognozuojamas teigiamas poveikis. Nustačius didesnes pakuočių atliekų perdirbimo užduotis, gamintojai skatinami rinktis perdirbamą ar pakartotinio naudojimo pakuotę gaminiams pakuoti. Supakuotus gaminius Lietuvos rinkai tiekiantys gamintojai ir importuotojai įpareigojami surinkti ir perdirbti didesnį pakuočių atliekų kiekį siekiant prisidėti prie tvaresnės visuomenės kūrimo, </w:t>
                </w:r>
                <w:r>
                  <w:rPr>
                    <w:rFonts w:eastAsia="Calibri"/>
                    <w:szCs w:val="24"/>
                    <w:lang w:eastAsia="lt-LT"/>
                  </w:rPr>
                  <w:t>mažinant sąvartynuose šalinamų atliekų kiekį ir plėtojant racionalų atliekų medžiaginių ir energinių išteklių naudojimą</w:t>
                </w:r>
                <w:r>
                  <w:rPr>
                    <w:rFonts w:eastAsia="Calibri"/>
                    <w:szCs w:val="24"/>
                  </w:rPr>
                  <w:t xml:space="preserve">. </w:t>
                </w:r>
              </w:p>
              <w:p>
                <w:pPr>
                  <w:rPr>
                    <w:sz w:val="4"/>
                    <w:szCs w:val="4"/>
                  </w:rPr>
                </w:pPr>
              </w:p>
              <w:p>
                <w:pPr>
                  <w:jc w:val="both"/>
                  <w:rPr>
                    <w:rFonts w:eastAsia="Calibri"/>
                    <w:szCs w:val="24"/>
                  </w:rPr>
                </w:pPr>
                <w:r>
                  <w:rPr>
                    <w:rFonts w:eastAsia="Calibri"/>
                    <w:color w:val="000000"/>
                    <w:szCs w:val="24"/>
                  </w:rPr>
                  <w:t>Neigiamas poveikis. Nenumatomas.</w:t>
                </w:r>
              </w:p>
            </w:tc>
          </w:tr>
          <w:tr>
            <w:trPr>
              <w:jc w:val="center"/>
            </w:trPr>
            <w:tc>
              <w:tcPr>
                <w:tcW w:w="2268" w:type="dxa"/>
                <w:shd w:val="clear" w:color="auto" w:fill="FFFFFF"/>
                <w:hideMark/>
              </w:tcPr>
              <w:p>
                <w:pPr>
                  <w:rPr>
                    <w:sz w:val="4"/>
                    <w:szCs w:val="4"/>
                  </w:rPr>
                </w:pPr>
              </w:p>
              <w:p>
                <w:pPr>
                  <w:rPr>
                    <w:rFonts w:eastAsia="Calibri"/>
                    <w:b/>
                    <w:szCs w:val="24"/>
                  </w:rPr>
                </w:pPr>
                <w:r>
                  <w:rPr>
                    <w:rFonts w:eastAsia="Calibri"/>
                    <w:b/>
                    <w:szCs w:val="24"/>
                  </w:rPr>
                  <w:t xml:space="preserve">Poveikis </w:t>
                </w:r>
              </w:p>
              <w:p>
                <w:pPr>
                  <w:rPr>
                    <w:sz w:val="4"/>
                    <w:szCs w:val="4"/>
                  </w:rPr>
                </w:pPr>
              </w:p>
              <w:p>
                <w:pPr>
                  <w:rPr>
                    <w:rFonts w:eastAsia="Calibri"/>
                    <w:b/>
                    <w:szCs w:val="24"/>
                  </w:rPr>
                </w:pPr>
                <w:r>
                  <w:rPr>
                    <w:rFonts w:eastAsia="Calibri"/>
                    <w:b/>
                    <w:szCs w:val="24"/>
                  </w:rPr>
                  <w:t>valstybės finansams</w:t>
                </w:r>
              </w:p>
            </w:tc>
            <w:tc>
              <w:tcPr>
                <w:tcW w:w="7371" w:type="dxa"/>
                <w:shd w:val="clear" w:color="auto" w:fill="auto"/>
                <w:hideMark/>
              </w:tcPr>
              <w:p>
                <w:pPr>
                  <w:rPr>
                    <w:sz w:val="4"/>
                    <w:szCs w:val="4"/>
                  </w:rPr>
                </w:pPr>
              </w:p>
              <w:p>
                <w:pPr>
                  <w:jc w:val="both"/>
                  <w:rPr>
                    <w:rFonts w:eastAsia="Calibri"/>
                    <w:szCs w:val="24"/>
                  </w:rPr>
                </w:pPr>
                <w:r>
                  <w:rPr>
                    <w:szCs w:val="24"/>
                    <w:lang w:eastAsia="lt-LT"/>
                  </w:rPr>
                  <w:t>Papildomų lėšų Nutarimo pakeitimo projekto įgyvendinimui nereikės.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268" w:type="dxa"/>
                <w:tcBorders>
                  <w:top w:val="nil"/>
                  <w:left w:val="nil"/>
                  <w:bottom w:val="nil"/>
                  <w:right w:val="nil"/>
                </w:tcBorders>
                <w:shd w:val="clear" w:color="auto" w:fill="FFFFFF"/>
              </w:tcPr>
              <w:p>
                <w:pPr>
                  <w:rPr>
                    <w:sz w:val="4"/>
                    <w:szCs w:val="4"/>
                  </w:rPr>
                </w:pPr>
              </w:p>
              <w:p>
                <w:pPr>
                  <w:rPr>
                    <w:rFonts w:eastAsia="Calibri"/>
                    <w:b/>
                    <w:szCs w:val="24"/>
                  </w:rPr>
                </w:pPr>
                <w:r>
                  <w:rPr>
                    <w:rFonts w:eastAsia="Calibri"/>
                    <w:b/>
                    <w:szCs w:val="24"/>
                  </w:rPr>
                  <w:t>Poveikis administracinei naštai</w:t>
                </w:r>
              </w:p>
            </w:tc>
            <w:tc>
              <w:tcPr>
                <w:tcW w:w="7371" w:type="dxa"/>
                <w:tcBorders>
                  <w:top w:val="nil"/>
                  <w:left w:val="nil"/>
                  <w:bottom w:val="nil"/>
                  <w:right w:val="nil"/>
                </w:tcBorders>
                <w:shd w:val="clear" w:color="auto" w:fill="FFFFFF"/>
                <w:hideMark/>
              </w:tcPr>
              <w:p>
                <w:pPr>
                  <w:rPr>
                    <w:sz w:val="4"/>
                    <w:szCs w:val="4"/>
                  </w:rPr>
                </w:pPr>
              </w:p>
              <w:p>
                <w:pPr>
                  <w:jc w:val="both"/>
                  <w:rPr>
                    <w:rFonts w:eastAsia="Calibri"/>
                    <w:szCs w:val="24"/>
                  </w:rPr>
                </w:pPr>
                <w:r>
                  <w:rPr>
                    <w:rFonts w:eastAsia="Calibri"/>
                    <w:szCs w:val="24"/>
                  </w:rPr>
                  <w:t>Nenumatomas.</w:t>
                </w:r>
              </w:p>
            </w:tc>
          </w:tr>
          <w:tr>
            <w:tblPrEx>
              <w:shd w:val="clear" w:color="auto" w:fill="FFFFFF"/>
            </w:tblPrEx>
            <w:trPr>
              <w:trHeight w:val="379"/>
              <w:jc w:val="center"/>
            </w:trPr>
            <w:tc>
              <w:tcPr>
                <w:tcW w:w="9639" w:type="dxa"/>
                <w:gridSpan w:val="2"/>
                <w:vMerge w:val="restart"/>
                <w:shd w:val="clear" w:color="auto" w:fill="FFFFFF"/>
                <w:hideMark/>
              </w:tcPr>
              <w:p>
                <w:pPr>
                  <w:rPr>
                    <w:sz w:val="4"/>
                    <w:szCs w:val="4"/>
                  </w:rPr>
                </w:pPr>
              </w:p>
              <w:p>
                <w:pPr>
                  <w:shd w:val="clear" w:color="auto" w:fill="FFFFFF"/>
                  <w:rPr>
                    <w:rFonts w:eastAsia="Calibri"/>
                    <w:b/>
                    <w:szCs w:val="24"/>
                  </w:rPr>
                </w:pPr>
                <w:r>
                  <w:rPr>
                    <w:rFonts w:eastAsia="Calibri"/>
                    <w:b/>
                    <w:szCs w:val="24"/>
                  </w:rPr>
                  <w:t xml:space="preserve">Kita svarbi                  </w:t>
                </w:r>
                <w:r>
                  <w:rPr>
                    <w:rFonts w:eastAsia="Calibri"/>
                    <w:szCs w:val="24"/>
                  </w:rPr>
                  <w:t>Nėra.</w:t>
                </w:r>
              </w:p>
              <w:p>
                <w:pPr>
                  <w:rPr>
                    <w:sz w:val="4"/>
                    <w:szCs w:val="4"/>
                  </w:rPr>
                </w:pPr>
              </w:p>
              <w:p>
                <w:pPr>
                  <w:shd w:val="clear" w:color="auto" w:fill="FFFFFF"/>
                  <w:rPr>
                    <w:rFonts w:eastAsia="Calibri"/>
                    <w:b/>
                    <w:szCs w:val="24"/>
                  </w:rPr>
                </w:pPr>
                <w:r>
                  <w:rPr>
                    <w:rFonts w:eastAsia="Calibri"/>
                    <w:b/>
                    <w:szCs w:val="24"/>
                  </w:rPr>
                  <w:t>informacija</w:t>
                </w:r>
                <w:r>
                  <w:rPr>
                    <w:rFonts w:eastAsia="Calibri"/>
                    <w:szCs w:val="24"/>
                  </w:rPr>
                  <w:t xml:space="preserve">                 </w:t>
                </w:r>
              </w:p>
              <w:p>
                <w:pPr>
                  <w:rPr>
                    <w:sz w:val="4"/>
                    <w:szCs w:val="4"/>
                  </w:rPr>
                </w:pPr>
              </w:p>
              <w:p>
                <w:pPr>
                  <w:shd w:val="clear" w:color="auto" w:fill="FFFFFF"/>
                  <w:jc w:val="both"/>
                  <w:rPr>
                    <w:rFonts w:eastAsia="Calibri"/>
                    <w:b/>
                    <w:szCs w:val="24"/>
                  </w:rPr>
                </w:pPr>
              </w:p>
            </w:tc>
          </w:tr>
          <w:tr>
            <w:tblPrEx>
              <w:shd w:val="clear" w:color="auto" w:fill="FFFFFF"/>
            </w:tblPrEx>
            <w:trPr>
              <w:trHeight w:val="379"/>
              <w:jc w:val="center"/>
            </w:trPr>
            <w:tc>
              <w:tcPr>
                <w:tcW w:w="0" w:type="auto"/>
                <w:gridSpan w:val="2"/>
                <w:vMerge/>
                <w:shd w:val="clear" w:color="auto" w:fill="FFFFFF"/>
                <w:vAlign w:val="center"/>
                <w:hideMark/>
              </w:tcPr>
              <w:p>
                <w:pPr>
                  <w:spacing w:line="276" w:lineRule="auto"/>
                  <w:rPr>
                    <w:rFonts w:eastAsia="Calibri"/>
                    <w:b/>
                    <w:szCs w:val="24"/>
                  </w:rPr>
                </w:pPr>
              </w:p>
            </w:tc>
          </w:tr>
        </w:tbl>
        <w:sdt>
          <w:sdtPr>
            <w:alias w:val="lentele"/>
            <w:tag w:val="part_c5079c7d753448a5b42422ed25ebf422"/>
            <w:lock w:val="sdtLocked"/>
            <w:richText/>
          </w:sdtPr>
          <w:sdtContent>
            <w:p>
              <w:pPr>
                <w:spacing w:line="276" w:lineRule="auto"/>
                <w:jc w:val="both"/>
                <w:rPr>
                  <w:b/>
                  <w:szCs w:val="24"/>
                </w:rPr>
              </w:pPr>
              <w:sdt>
                <w:sdtPr>
                  <w:alias w:val="Pavadinimas"/>
                  <w:tag w:val="title_c5079c7d753448a5b42422ed25ebf422"/>
                  <w:lock w:val="sdtLocked"/>
                  <w:richText/>
                </w:sdtPr>
                <w:sdtContent>
                  <w:r>
                    <w:rPr>
                      <w:b/>
                      <w:szCs w:val="24"/>
                    </w:rPr>
                    <w:t>Informacija apie asmenį ir instituciją, atsakingą už poveikio vertinimą</w:t>
                  </w:r>
                </w:sdtContent>
              </w:sdt>
            </w:p>
            <w:p>
              <w:pPr>
                <w:spacing w:line="276" w:lineRule="auto"/>
                <w:jc w:val="both"/>
                <w:rPr>
                  <w:b/>
                  <w:szCs w:val="24"/>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6804"/>
              </w:tblGrid>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Ieva Kazulytė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Vyriausioji specialistė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Lietuvos Respublikos aplinkos ministerijos Atliekų politikos grupė</w:t>
                    </w:r>
                  </w:p>
                </w:tc>
              </w:tr>
              <w:tr>
                <w:trPr>
                  <w:jc w:val="center"/>
                </w:trPr>
                <w:tc>
                  <w:tcPr>
                    <w:tcW w:w="2835" w:type="dxa"/>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6804" w:type="dxa"/>
                    <w:tcBorders>
                      <w:top w:val="single" w:sz="4" w:space="0" w:color="auto"/>
                      <w:left w:val="single" w:sz="4" w:space="0" w:color="auto"/>
                      <w:bottom w:val="single" w:sz="4" w:space="0" w:color="auto"/>
                      <w:right w:val="single" w:sz="4" w:space="0" w:color="auto"/>
                    </w:tcBorders>
                    <w:tcMar>
                      <w:top w:w="28" w:type="dxa"/>
                      <w:bottom w:w="28" w:type="dxa"/>
                    </w:tcMar>
                  </w:tcPr>
                  <w:p>
                    <w:pPr>
                      <w:rPr>
                        <w:szCs w:val="24"/>
                        <w:lang w:val="en-US"/>
                      </w:rPr>
                    </w:pPr>
                    <w:r>
                      <w:rPr>
                        <w:szCs w:val="24"/>
                      </w:rPr>
                      <w:t xml:space="preserve">Tel. 8 </w:t>
                    </w:r>
                    <w:r>
                      <w:rPr>
                        <w:szCs w:val="24"/>
                        <w:lang w:val="en-US"/>
                      </w:rPr>
                      <w:t>696</w:t>
                    </w:r>
                    <w:r>
                      <w:rPr>
                        <w:szCs w:val="24"/>
                      </w:rPr>
                      <w:t xml:space="preserve"> 49 647; el. paštas: ieva.kazulyte@am.lt</w:t>
                    </w:r>
                  </w:p>
                  <w:p>
                    <w:pPr>
                      <w:ind w:firstLine="62"/>
                      <w:rPr>
                        <w:szCs w:val="24"/>
                      </w:rPr>
                    </w:pPr>
                  </w:p>
                </w:tc>
              </w:tr>
            </w:tbl>
            <w:p/>
          </w:sdtContent>
        </w:sdt>
        <w:sdt>
          <w:sdtPr>
            <w:alias w:val="signatura"/>
            <w:tag w:val="part_4377be4d20144139a342802362194d37"/>
            <w:lock w:val="sdtLocked"/>
            <w:richText/>
          </w:sdtPr>
          <w:sdtContent>
            <w:p>
              <w:pPr>
                <w:tabs>
                  <w:tab w:val="left" w:pos="6237"/>
                </w:tabs>
                <w:jc w:val="center"/>
                <w:rPr>
                  <w:szCs w:val="24"/>
                  <w:lang w:val="x-none" w:eastAsia="x-none"/>
                </w:rPr>
              </w:pPr>
              <w:r>
                <w:rPr>
                  <w:szCs w:val="24"/>
                  <w:lang w:val="x-none" w:eastAsia="x-none"/>
                </w:rPr>
                <w:t>______________</w:t>
              </w:r>
            </w:p>
          </w:sdtContent>
        </w:sdt>
      </w:sdtContent>
    </w:sdt>
    <w:sectPr>
      <w:pgSz w:w="11906" w:h="16838"/>
      <w:pgMar w:top="1077" w:right="567" w:bottom="1077"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5A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5670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da7fd0afc1b1433989e91da078c07a38" PartId="646388964b834063b411cfc1f845c9d7">
    <Part Type="lentele" Title="Informacija apie asmenį ir instituciją, atsakingą už poveikio vertinimą" DocPartId="874e74909f3845519d8ef3bf420134ca" PartId="c5079c7d753448a5b42422ed25ebf422"/>
    <Part Type="signatura" DocPartId="cd36c52ecfd745d6a9867c4a8eb20c9e" PartId="4377be4d20144139a342802362194d37"/>
  </Part>
</Parts>
</file>

<file path=customXml/itemProps1.xml><?xml version="1.0" encoding="utf-8"?>
<ds:datastoreItem xmlns:ds="http://schemas.openxmlformats.org/officeDocument/2006/customXml" ds:itemID="{941AF430-3FF3-4352-B3EC-38F1D09C1CAE}">
  <ds:schemaRefs>
    <ds:schemaRef ds:uri="http://schemas.openxmlformats.org/officeDocument/2006/bibliography"/>
  </ds:schemaRefs>
</ds:datastoreItem>
</file>

<file path=customXml/itemProps2.xml><?xml version="1.0" encoding="utf-8"?>
<ds:datastoreItem xmlns:ds="http://schemas.openxmlformats.org/officeDocument/2006/customXml" ds:itemID="{911AE467-48C6-4F52-B662-0DF17A9C08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250</Words>
  <Characters>1902</Characters>
  <Application>Microsoft Office Word</Application>
  <DocSecurity>4</DocSecurity>
  <Lines>61</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2119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2021-04-01T13:50:00Z</dcterms:created>
  <dc:creator>Vita Beleckaitė</dc:creator>
  <lastModifiedBy>adlibuser</lastModifiedBy>
  <dcterms:modified xsi:type="dcterms:W3CDTF">2021-04-01T13:50:00Z</dcterms:modified>
  <revision>2</revision>
</coreProperties>
</file>