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fa3300876e8d4346b9144ff312028327"/>
        <w:lock w:val="sdtLocked"/>
        <w:richText/>
      </w:sdtPr>
      <w:sdtContent>
        <w:p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eastAsia="lt-LT"/>
            </w:rPr>
          </w:pPr>
        </w:p>
        <w:p>
          <w:pPr>
            <w:widowControl w:val="0"/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Direktyvos 2018/852</w:t>
          </w:r>
          <w:r>
            <w:rPr>
              <w:rFonts w:eastAsia="Lucida Sans Unicode"/>
              <w:b/>
              <w:bCs/>
              <w:szCs w:val="24"/>
              <w:lang w:eastAsia="lt-LT"/>
            </w:rPr>
            <w:t xml:space="preserve"> </w:t>
          </w:r>
          <w:r>
            <w:rPr>
              <w:b/>
              <w:caps/>
              <w:szCs w:val="24"/>
              <w:lang w:eastAsia="lt-LT"/>
            </w:rPr>
            <w:t xml:space="preserve">IR </w:t>
          </w:r>
          <w:r>
            <w:rPr>
              <w:rFonts w:eastAsia="Lucida Sans Unicode"/>
              <w:b/>
              <w:szCs w:val="24"/>
              <w:lang w:eastAsia="lt-LT"/>
            </w:rPr>
            <w:t xml:space="preserve">LIETUVOS RESPUBLIKOS VYRIAUSYBĖS 2006 M. LAPKRIČIO 24 D. NUTARIMO NR. 1168 „DĖL APMOKESTINAMŲJŲ GAMINIŲ IR PAKUOČIŲ ATLIEKŲ NAUDOJIMO IR (AR) PERDIRBIMO UŽDUOČIŲ PATVIRTINIMO“ PAKEITIMO </w:t>
          </w:r>
          <w:r>
            <w:rPr>
              <w:b/>
              <w:szCs w:val="24"/>
              <w:lang w:eastAsia="lt-LT"/>
            </w:rPr>
            <w:t>PROJEKTO ATITIKTIES LENTELĖ</w:t>
          </w:r>
        </w:p>
        <w:p>
          <w:pPr>
            <w:widowControl w:val="0"/>
            <w:suppressAutoHyphens/>
            <w:snapToGrid w:val="0"/>
            <w:jc w:val="both"/>
            <w:rPr>
              <w:b/>
              <w:sz w:val="22"/>
              <w:szCs w:val="22"/>
              <w:lang w:eastAsia="lt-LT"/>
            </w:rPr>
          </w:pPr>
        </w:p>
        <w:tbl>
          <w:tblPr>
            <w:tblW w:w="0" w:type="auto"/>
            <w:tblInd w:w="55" w:type="dxa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3063"/>
            <w:gridCol w:w="9920"/>
            <w:gridCol w:w="2098"/>
          </w:tblGrid>
          <w:tr>
            <w:tc>
              <w:tcPr>
                <w:tcW w:w="3063" w:type="dxa"/>
                <w:tcBorders>
                  <w:top w:val="single" w:sz="2" w:space="0" w:color="000000"/>
                  <w:left w:val="single" w:sz="1" w:space="0" w:color="000000"/>
                  <w:bottom w:val="single" w:sz="4" w:space="0" w:color="auto"/>
                </w:tcBorders>
              </w:tcPr>
              <w:p>
                <w:pPr>
                  <w:widowControl w:val="0"/>
                  <w:suppressLineNumbers/>
                  <w:suppressAutoHyphens/>
                  <w:snapToGrid w:val="0"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  <w:t>2018 m. gegužės 30 d. Europos Parlamento ir Tarybos direktyva (ES) 2018/852 kuria iš dalies keičiama Direktyva 94/62/EB dėl pakuočių ir pakuočių atliekų</w:t>
                </w:r>
              </w:p>
            </w:tc>
            <w:tc>
              <w:tcPr>
                <w:tcW w:w="9920" w:type="dxa"/>
                <w:tcBorders>
                  <w:top w:val="single" w:sz="2" w:space="0" w:color="000000"/>
                  <w:left w:val="single" w:sz="1" w:space="0" w:color="000000"/>
                  <w:bottom w:val="single" w:sz="4" w:space="0" w:color="auto"/>
                </w:tcBorders>
              </w:tcPr>
              <w:p>
                <w:pPr>
                  <w:widowControl w:val="0"/>
                  <w:suppressAutoHyphens/>
                  <w:snapToGrid w:val="0"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  <w:t>Lietuvos Respublikos Vyriausybės 2006 m. lapkričio 24 d. nutarimo Nr. 1168 „Dėl apmokestinamųjų gaminių ir pakuočių atliekų naudojimo ir (ar) perdirbimo užduočių patvirtinimo“ pakeitimo</w:t>
                </w:r>
                <w:r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  <w:t xml:space="preserve"> projektas (toliau – Nutarimo projektas)</w:t>
                </w:r>
              </w:p>
            </w:tc>
            <w:tc>
              <w:tcPr>
                <w:tcW w:w="2098" w:type="dxa"/>
                <w:tcBorders>
                  <w:top w:val="single" w:sz="2" w:space="0" w:color="000000"/>
                  <w:left w:val="single" w:sz="1" w:space="0" w:color="000000"/>
                  <w:bottom w:val="single" w:sz="4" w:space="0" w:color="auto"/>
                  <w:right w:val="single" w:sz="1" w:space="0" w:color="000000"/>
                </w:tcBorders>
              </w:tcPr>
              <w:p>
                <w:pPr>
                  <w:widowControl w:val="0"/>
                  <w:suppressAutoHyphens/>
                  <w:snapToGrid w:val="0"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  <w:t>Direktyvos perkėlimo ir įgyvendinimo lygis</w:t>
                </w:r>
              </w:p>
            </w:tc>
          </w:tr>
          <w:tr>
            <w:tc>
              <w:tcPr>
                <w:tcW w:w="30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  <w:t>1 straipsnis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  <w:t>Daliniai pakeitimai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  <w:t>1 straipsnio 5 dalies a punktas: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6 straipsnis iš dalies keičiamas taip: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a) 1 dalis papildoma šiais punktais: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„f) ne vėliau kaip 2025 m. gruodžio 31 d. mažiausiai 65 % visų pakuočių atliekų (pagal svorį) turi būti perdirbama;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g) ne vėliau kaip 2025 m. gruodžio 31 d. turi būti pasiekti šie minimalūs toliau nurodytų pakuočių atliekose esančių medžiagų perdirbimo tikslai (pagal svorį):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i) 50 % plastiko;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ii) 25 % medienos;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iii) 70 % juodųjų metalų;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iv) 50 % aliuminio;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v) 70 % stiklo;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vi) 75 % popieriaus ir kartono;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h) ne vėliau kaip 2030 m. gruodžio 31 d. mažiausiai 70 % visų pakuočių atliekų (pagal svorį) turi būti perdirbama;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i) ne vėliau kaip 2030 m. gruodžio 31 d. turi būti pasiekti šie minimalūs toliau nurodytų pakuočių atliekose esančių medžiagų perdirbimo tikslai (pagal svorį):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i) 55 % plastiko;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ii) 30 % medienos;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iii) 80 % juodųjų metalų;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iv) 60 % aliuminio;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v) 75 % stiklo;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>vi) 85 % popieriaus ir kartono.“</w:t>
                </w:r>
              </w:p>
            </w:tc>
            <w:tc>
              <w:tcPr>
                <w:tcW w:w="99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color w:val="000000"/>
                    <w:sz w:val="22"/>
                    <w:szCs w:val="22"/>
                    <w:lang w:eastAsia="lt-LT"/>
                  </w:rPr>
                  <w:t>Nutarimo projektas:</w:t>
                </w:r>
              </w:p>
              <w:p>
                <w:pPr>
                  <w:widowControl w:val="0"/>
                  <w:suppressAutoHyphens/>
                  <w:ind w:firstLine="567"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</w:p>
              <w:p>
                <w:pPr>
                  <w:widowControl w:val="0"/>
                  <w:suppressAutoHyphens/>
                  <w:ind w:firstLine="567"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>Lietuvos Respublikos Vyriausybė</w:t>
                </w:r>
                <w:r>
                  <w:rPr>
                    <w:spacing w:val="80"/>
                    <w:kern w:val="24"/>
                    <w:lang w:eastAsia="ar-SA"/>
                  </w:rPr>
                  <w:t xml:space="preserve"> </w:t>
                </w:r>
                <w:r>
                  <w:rPr>
                    <w:spacing w:val="80"/>
                    <w:kern w:val="24"/>
                    <w:sz w:val="22"/>
                    <w:lang w:eastAsia="ar-SA"/>
                  </w:rPr>
                  <w:t>nutaria</w:t>
                </w: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>:</w:t>
                </w:r>
              </w:p>
              <w:p>
                <w:pPr>
                  <w:widowControl w:val="0"/>
                  <w:suppressAutoHyphens/>
                  <w:ind w:right="49" w:firstLine="567"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>Pakeisti Lietuvos Respublikos Vyriausybės 2006 m. lapkričio 24 d. nutarimą Nr. 1168 „Dėl Apmokestinamųjų gaminių ir pakuočių atliekų naudojimo ir (ar) perdirbimo užduočių patvirtinimo“ ir išdėstyti jį nauja redakcija: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>&lt;...&gt;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color w:val="000000"/>
                    <w:sz w:val="22"/>
                    <w:szCs w:val="22"/>
                    <w:lang w:eastAsia="lt-LT"/>
                  </w:rPr>
                </w:pPr>
              </w:p>
              <w:tbl>
                <w:tblPr>
                  <w:tblW w:w="9745" w:type="dxa"/>
                  <w:tblInd w:w="55" w:type="dxa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CellMar>
                    <w:top w:w="55" w:type="dxa"/>
                    <w:left w:w="55" w:type="dxa"/>
                    <w:bottom w:w="55" w:type="dxa"/>
                    <w:right w:w="55" w:type="dxa"/>
                  </w:tblCellMar>
                  <w:tblLook w:val="0000" w:firstRow="0" w:lastRow="0" w:firstColumn="0" w:lastColumn="0" w:noHBand="0" w:noVBand="0"/>
                </w:tblPr>
                <w:tblGrid>
                  <w:gridCol w:w="563"/>
                  <w:gridCol w:w="1138"/>
                  <w:gridCol w:w="2552"/>
                  <w:gridCol w:w="2551"/>
                  <w:gridCol w:w="2941"/>
                </w:tblGrid>
                <w:tr>
                  <w:trPr>
                    <w:trHeight w:val="1600"/>
                    <w:tblHeader/>
                  </w:trPr>
                  <w:tc>
                    <w:tcPr>
                      <w:tcW w:w="563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Eil. Nr.</w:t>
                      </w:r>
                    </w:p>
                  </w:tc>
                  <w:tc>
                    <w:tcPr>
                      <w:tcW w:w="1138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Metai</w:t>
                      </w:r>
                    </w:p>
                  </w:tc>
                  <w:tc>
                    <w:tcPr>
                      <w:tcW w:w="2552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Gaminių ir pakuočių atliekų pavadinimas</w:t>
                      </w:r>
                    </w:p>
                  </w:tc>
                  <w:tc>
                    <w:tcPr>
                      <w:tcW w:w="2551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Naudojimas ir (ar) perdirbimas*</w:t>
                      </w:r>
                    </w:p>
                  </w:tc>
                  <w:tc>
                    <w:tcPr>
                      <w:tcW w:w="2941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Užduotis (procentais), atsižvelgiant į tiektų Lietuvos Respublikos vidaus rinkai gaminių ir vienkartinių pakuočių kiekį</w:t>
                      </w:r>
                    </w:p>
                  </w:tc>
                </w:tr>
                <w:tr>
                  <w:tc>
                    <w:tcPr>
                      <w:tcW w:w="9745" w:type="dxa"/>
                      <w:gridSpan w:val="5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b/>
                          <w:bCs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b/>
                          <w:bCs/>
                          <w:sz w:val="22"/>
                          <w:szCs w:val="22"/>
                          <w:lang w:eastAsia="lt-LT"/>
                        </w:rPr>
                        <w:t>II. VIENKARTINIŲ PAKUOČIŲ ATLIEKŲ NAUDOJIMO IR (AR) PERDIRBIMO UŽDUOTYS</w:t>
                      </w:r>
                    </w:p>
                  </w:tc>
                </w:tr>
                <w:tr>
                  <w:tc>
                    <w:tcPr>
                      <w:tcW w:w="563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6.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2021</w:t>
                      </w:r>
                    </w:p>
                  </w:tc>
                  <w:tc>
                    <w:tcPr>
                      <w:tcW w:w="2552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stiklinė pakuotė</w:t>
                      </w:r>
                    </w:p>
                  </w:tc>
                  <w:tc>
                    <w:tcPr>
                      <w:tcW w:w="2551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>perdirbimas</w:t>
                      </w:r>
                    </w:p>
                  </w:tc>
                  <w:tc>
                    <w:tcPr>
                      <w:tcW w:w="2941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65</w:t>
                      </w:r>
                    </w:p>
                  </w:tc>
                </w:tr>
                <w:t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2022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67</w:t>
                      </w:r>
                    </w:p>
                  </w:tc>
                </w:tr>
                <w:t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2023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70</w:t>
                      </w:r>
                    </w:p>
                  </w:tc>
                </w:tr>
                <w:t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2024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70</w:t>
                      </w:r>
                    </w:p>
                  </w:tc>
                </w:tr>
                <w:tr>
                  <w:trPr>
                    <w:trHeight w:val="139"/>
                  </w:trP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val="en-GB"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val="en-GB" w:eastAsia="lt-LT"/>
                        </w:rPr>
                        <w:t>nuo</w:t>
                      </w: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 xml:space="preserve"> </w:t>
                      </w:r>
                      <w:r>
                        <w:rPr>
                          <w:rFonts w:eastAsia="Lucida Sans Unicode"/>
                          <w:sz w:val="22"/>
                          <w:szCs w:val="22"/>
                          <w:lang w:val="en-GB" w:eastAsia="lt-LT"/>
                        </w:rPr>
                        <w:t>2025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70</w:t>
                      </w:r>
                    </w:p>
                  </w:tc>
                </w:tr>
                <w:tr>
                  <w:trPr>
                    <w:trHeight w:val="187"/>
                  </w:trP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 xml:space="preserve">nuo </w:t>
                      </w:r>
                      <w:r>
                        <w:rPr>
                          <w:rFonts w:eastAsia="Lucida Sans Unicode"/>
                          <w:sz w:val="22"/>
                          <w:szCs w:val="22"/>
                          <w:lang w:val="en-GB" w:eastAsia="lt-LT"/>
                        </w:rPr>
                        <w:t>2030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75</w:t>
                      </w:r>
                    </w:p>
                  </w:tc>
                </w:tr>
                <w:tr>
                  <w:tc>
                    <w:tcPr>
                      <w:tcW w:w="563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7.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2021</w:t>
                      </w:r>
                    </w:p>
                  </w:tc>
                  <w:tc>
                    <w:tcPr>
                      <w:tcW w:w="2552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plastikinė pakuotė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spacing w:line="200" w:lineRule="atLeast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 xml:space="preserve">PET pakuotė </w:t>
                      </w:r>
                    </w:p>
                  </w:tc>
                  <w:tc>
                    <w:tcPr>
                      <w:tcW w:w="2551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>naudojimas,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>iš jo perdirbimas</w:t>
                      </w: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val="en-US"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val="en-US" w:eastAsia="lt-LT"/>
                        </w:rPr>
                        <w:t>50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val="en-US"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val="en-US" w:eastAsia="lt-LT"/>
                        </w:rPr>
                        <w:t>37</w:t>
                      </w:r>
                    </w:p>
                  </w:tc>
                </w:tr>
                <w:t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nuo 2022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val="en-US"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val="en-US" w:eastAsia="lt-LT"/>
                        </w:rPr>
                        <w:t>70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val="en-US"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val="en-US" w:eastAsia="lt-LT"/>
                        </w:rPr>
                        <w:t>60</w:t>
                      </w:r>
                    </w:p>
                  </w:tc>
                </w:tr>
                <w:tr>
                  <w:trPr>
                    <w:trHeight w:val="211"/>
                  </w:trP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nuo 2025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>perdirbimas</w:t>
                      </w: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65</w:t>
                      </w:r>
                    </w:p>
                  </w:tc>
                </w:tr>
                <w:tr>
                  <w:trPr>
                    <w:trHeight w:val="141"/>
                  </w:trPr>
                  <w:tc>
                    <w:tcPr>
                      <w:tcW w:w="563" w:type="dxa"/>
                      <w:vMerge/>
                      <w:tcBorders>
                        <w:bottom w:val="single" w:sz="4" w:space="0" w:color="auto"/>
                      </w:tcBorders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  <w:tcBorders>
                        <w:bottom w:val="single" w:sz="4" w:space="0" w:color="auto"/>
                      </w:tcBorders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nuo 2030</w:t>
                      </w:r>
                    </w:p>
                  </w:tc>
                  <w:tc>
                    <w:tcPr>
                      <w:tcW w:w="2552" w:type="dxa"/>
                      <w:vMerge/>
                      <w:tcBorders>
                        <w:bottom w:val="single" w:sz="4" w:space="0" w:color="auto"/>
                      </w:tcBorders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  <w:tcBorders>
                        <w:bottom w:val="single" w:sz="4" w:space="0" w:color="auto"/>
                      </w:tcBorders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  <w:tcBorders>
                        <w:bottom w:val="single" w:sz="4" w:space="0" w:color="auto"/>
                      </w:tcBorders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70</w:t>
                      </w:r>
                    </w:p>
                  </w:tc>
                </w:tr>
                <w:tr>
                  <w:trPr>
                    <w:trHeight w:val="825"/>
                  </w:trPr>
                  <w:tc>
                    <w:tcPr>
                      <w:tcW w:w="563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 xml:space="preserve">8. 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2021</w:t>
                      </w:r>
                    </w:p>
                  </w:tc>
                  <w:tc>
                    <w:tcPr>
                      <w:tcW w:w="2552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 xml:space="preserve">kombinuota pakuotė </w:t>
                      </w:r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(vyraujanti medžiaga – popierius ir kartonas)</w:t>
                      </w:r>
                    </w:p>
                  </w:tc>
                  <w:tc>
                    <w:tcPr>
                      <w:tcW w:w="255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 xml:space="preserve">naudojimas, 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>iš jo perdirbimas</w:t>
                      </w: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25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20</w:t>
                      </w:r>
                    </w:p>
                  </w:tc>
                </w:tr>
                <w:tr>
                  <w:tc>
                    <w:tcPr>
                      <w:tcW w:w="563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9.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2021</w:t>
                      </w:r>
                    </w:p>
                  </w:tc>
                  <w:tc>
                    <w:tcPr>
                      <w:tcW w:w="2552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kombinuota pakuotė</w:t>
                      </w:r>
                    </w:p>
                  </w:tc>
                  <w:tc>
                    <w:tcPr>
                      <w:tcW w:w="255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  <w:t>perdirbimas ar kitoks naudojimas</w:t>
                      </w: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25</w:t>
                      </w:r>
                    </w:p>
                  </w:tc>
                </w:tr>
                <w:tr>
                  <w:tc>
                    <w:tcPr>
                      <w:tcW w:w="563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10.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nuo 2022</w:t>
                      </w:r>
                    </w:p>
                  </w:tc>
                  <w:tc>
                    <w:tcPr>
                      <w:tcW w:w="2552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kombinuota pakuotė</w:t>
                      </w:r>
                    </w:p>
                  </w:tc>
                  <w:tc>
                    <w:tcPr>
                      <w:tcW w:w="255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  <w:t xml:space="preserve">naudojimas, 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  <w:t>iš jo perdirbimas</w:t>
                      </w: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30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25</w:t>
                      </w:r>
                    </w:p>
                  </w:tc>
                </w:tr>
                <w:t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nuo 2025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>perdirbimas</w:t>
                      </w: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30</w:t>
                      </w:r>
                    </w:p>
                  </w:tc>
                </w:tr>
                <w:t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nuo 2030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35</w:t>
                      </w:r>
                    </w:p>
                  </w:tc>
                </w:tr>
                <w:tr>
                  <w:trPr>
                    <w:trHeight w:val="164"/>
                  </w:trPr>
                  <w:tc>
                    <w:tcPr>
                      <w:tcW w:w="563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11.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2021</w:t>
                      </w:r>
                    </w:p>
                  </w:tc>
                  <w:tc>
                    <w:tcPr>
                      <w:tcW w:w="2552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 xml:space="preserve">metalinė </w:t>
                      </w: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(</w:t>
                      </w:r>
                      <w:r>
                        <w:rPr>
                          <w:rFonts w:eastAsia="Lucida Sans Unicode"/>
                          <w:color w:val="000000"/>
                          <w:sz w:val="22"/>
                          <w:szCs w:val="24"/>
                          <w:lang w:eastAsia="lt-LT"/>
                        </w:rPr>
                        <w:t>įskaitant aliuminio) pakuotė</w:t>
                      </w:r>
                    </w:p>
                  </w:tc>
                  <w:tc>
                    <w:tcPr>
                      <w:tcW w:w="2551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>perdirbimas</w:t>
                      </w:r>
                    </w:p>
                  </w:tc>
                  <w:tc>
                    <w:tcPr>
                      <w:tcW w:w="2941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54</w:t>
                      </w:r>
                    </w:p>
                  </w:tc>
                </w:tr>
                <w:t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2022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  <w:vMerge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</w:tr>
                <w:t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2023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  <w:vMerge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</w:tr>
                <w:t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2024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  <w:vMerge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</w:tr>
                <w:tr>
                  <w:tc>
                    <w:tcPr>
                      <w:tcW w:w="563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val="en-US" w:eastAsia="lt-LT"/>
                        </w:rPr>
                        <w:t>12.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 xml:space="preserve">nuo </w:t>
                      </w:r>
                      <w:r>
                        <w:rPr>
                          <w:rFonts w:eastAsia="Lucida Sans Unicode"/>
                          <w:sz w:val="22"/>
                          <w:szCs w:val="22"/>
                          <w:lang w:val="en-GB" w:eastAsia="lt-LT"/>
                        </w:rPr>
                        <w:t>2025</w:t>
                      </w:r>
                    </w:p>
                  </w:tc>
                  <w:tc>
                    <w:tcPr>
                      <w:tcW w:w="2552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metalinė (juodųjų metalų) pakuotė</w:t>
                      </w:r>
                    </w:p>
                  </w:tc>
                  <w:tc>
                    <w:tcPr>
                      <w:tcW w:w="2551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>perdirbimas</w:t>
                      </w:r>
                    </w:p>
                  </w:tc>
                  <w:tc>
                    <w:tcPr>
                      <w:tcW w:w="2941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75</w:t>
                      </w:r>
                    </w:p>
                  </w:tc>
                </w:tr>
                <w:t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 xml:space="preserve">nuo </w:t>
                      </w:r>
                      <w:r>
                        <w:rPr>
                          <w:rFonts w:eastAsia="Lucida Sans Unicode"/>
                          <w:sz w:val="22"/>
                          <w:szCs w:val="22"/>
                          <w:lang w:val="en-GB" w:eastAsia="lt-LT"/>
                        </w:rPr>
                        <w:t>2030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85</w:t>
                      </w:r>
                    </w:p>
                  </w:tc>
                </w:tr>
                <w:tr>
                  <w:tc>
                    <w:tcPr>
                      <w:tcW w:w="563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val="en-US"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13.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nuo 2025</w:t>
                      </w:r>
                    </w:p>
                  </w:tc>
                  <w:tc>
                    <w:tcPr>
                      <w:tcW w:w="2552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metalinė (aliuminio) pakuotė</w:t>
                      </w:r>
                    </w:p>
                  </w:tc>
                  <w:tc>
                    <w:tcPr>
                      <w:tcW w:w="2551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>perdirbimas</w:t>
                      </w:r>
                    </w:p>
                  </w:tc>
                  <w:tc>
                    <w:tcPr>
                      <w:tcW w:w="2941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55</w:t>
                      </w:r>
                    </w:p>
                  </w:tc>
                </w:tr>
                <w:tr>
                  <w:trPr>
                    <w:trHeight w:val="253"/>
                  </w:trPr>
                  <w:tc>
                    <w:tcPr>
                      <w:tcW w:w="563" w:type="dxa"/>
                      <w:vMerge/>
                      <w:tcBorders>
                        <w:bottom w:val="single" w:sz="4" w:space="0" w:color="auto"/>
                      </w:tcBorders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  <w:tcBorders>
                        <w:bottom w:val="single" w:sz="4" w:space="0" w:color="auto"/>
                      </w:tcBorders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nuo 2030</w:t>
                      </w:r>
                    </w:p>
                  </w:tc>
                  <w:tc>
                    <w:tcPr>
                      <w:tcW w:w="2552" w:type="dxa"/>
                      <w:vMerge/>
                      <w:tcBorders>
                        <w:bottom w:val="single" w:sz="4" w:space="0" w:color="auto"/>
                      </w:tcBorders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  <w:tcBorders>
                        <w:bottom w:val="single" w:sz="4" w:space="0" w:color="auto"/>
                      </w:tcBorders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  <w:tcBorders>
                        <w:bottom w:val="single" w:sz="4" w:space="0" w:color="auto"/>
                      </w:tcBorders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65</w:t>
                      </w:r>
                    </w:p>
                  </w:tc>
                </w:tr>
                <w:tr>
                  <w:tc>
                    <w:tcPr>
                      <w:tcW w:w="563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14.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2021</w:t>
                      </w:r>
                    </w:p>
                  </w:tc>
                  <w:tc>
                    <w:tcPr>
                      <w:tcW w:w="2552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popierinė ir kartoninė pakuotė</w:t>
                      </w:r>
                    </w:p>
                  </w:tc>
                  <w:tc>
                    <w:tcPr>
                      <w:tcW w:w="2551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 xml:space="preserve">naudojimas, 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>iš jo perdirbimas</w:t>
                      </w: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80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76</w:t>
                      </w:r>
                    </w:p>
                  </w:tc>
                </w:tr>
                <w:t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nuo 2022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85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80</w:t>
                      </w:r>
                    </w:p>
                  </w:tc>
                </w:tr>
                <w:tr>
                  <w:trPr>
                    <w:trHeight w:val="150"/>
                  </w:trP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nuo 2025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>perdirbimas</w:t>
                      </w: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83</w:t>
                      </w:r>
                    </w:p>
                  </w:tc>
                </w:tr>
                <w:tr>
                  <w:trPr>
                    <w:trHeight w:val="113"/>
                  </w:trP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nuo 2030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85</w:t>
                      </w:r>
                    </w:p>
                  </w:tc>
                </w:tr>
                <w:tr>
                  <w:trPr>
                    <w:trHeight w:val="444"/>
                  </w:trPr>
                  <w:tc>
                    <w:tcPr>
                      <w:tcW w:w="563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15.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2021</w:t>
                      </w:r>
                    </w:p>
                  </w:tc>
                  <w:tc>
                    <w:tcPr>
                      <w:tcW w:w="2552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medinė pakuotė</w:t>
                      </w:r>
                    </w:p>
                  </w:tc>
                  <w:tc>
                    <w:tcPr>
                      <w:tcW w:w="2551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 xml:space="preserve">naudojimas, 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>iš jo perdirbimas</w:t>
                      </w: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45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35</w:t>
                      </w:r>
                    </w:p>
                  </w:tc>
                </w:tr>
                <w:tr>
                  <w:trPr>
                    <w:trHeight w:val="444"/>
                  </w:trP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nuo 2022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45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35</w:t>
                      </w:r>
                    </w:p>
                  </w:tc>
                </w:tr>
                <w:tr>
                  <w:trPr>
                    <w:trHeight w:val="198"/>
                  </w:trP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 xml:space="preserve">nuo </w:t>
                      </w:r>
                      <w:r>
                        <w:rPr>
                          <w:rFonts w:eastAsia="Lucida Sans Unicode"/>
                          <w:sz w:val="22"/>
                          <w:szCs w:val="22"/>
                          <w:lang w:val="en-GB" w:eastAsia="lt-LT"/>
                        </w:rPr>
                        <w:t>2025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>perdirbimas</w:t>
                      </w: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35</w:t>
                      </w:r>
                    </w:p>
                  </w:tc>
                </w:tr>
                <w:tr>
                  <w:trPr>
                    <w:trHeight w:val="167"/>
                  </w:trP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 xml:space="preserve">nuo </w:t>
                      </w:r>
                      <w:r>
                        <w:rPr>
                          <w:rFonts w:eastAsia="Lucida Sans Unicode"/>
                          <w:sz w:val="22"/>
                          <w:szCs w:val="22"/>
                          <w:lang w:val="en-GB" w:eastAsia="lt-LT"/>
                        </w:rPr>
                        <w:t>2030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37</w:t>
                      </w:r>
                    </w:p>
                  </w:tc>
                </w:tr>
                <w:tr>
                  <w:tc>
                    <w:tcPr>
                      <w:tcW w:w="563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16.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2021</w:t>
                      </w:r>
                    </w:p>
                  </w:tc>
                  <w:tc>
                    <w:tcPr>
                      <w:tcW w:w="2552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 xml:space="preserve">kita pakuotė </w:t>
                      </w:r>
                    </w:p>
                  </w:tc>
                  <w:tc>
                    <w:tcPr>
                      <w:tcW w:w="2551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 xml:space="preserve">naudojimas, 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>iš jo perdirbimas</w:t>
                      </w: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45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22</w:t>
                      </w:r>
                    </w:p>
                  </w:tc>
                </w:tr>
                <w:t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nuo 2022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45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22</w:t>
                      </w:r>
                    </w:p>
                  </w:tc>
                </w:tr>
                <w:tr>
                  <w:trPr>
                    <w:trHeight w:val="103"/>
                  </w:trP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nuo 2025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>perdirbimas</w:t>
                      </w: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25</w:t>
                      </w:r>
                    </w:p>
                  </w:tc>
                </w:tr>
                <w:t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nuo 2030</w:t>
                      </w:r>
                    </w:p>
                  </w:tc>
                  <w:tc>
                    <w:tcPr>
                      <w:tcW w:w="2552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  <w:tc>
                    <w:tcPr>
                      <w:tcW w:w="2551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27</w:t>
                      </w:r>
                    </w:p>
                  </w:tc>
                </w:tr>
                <w:tr>
                  <w:tc>
                    <w:tcPr>
                      <w:tcW w:w="9745" w:type="dxa"/>
                      <w:gridSpan w:val="5"/>
                    </w:tcPr>
                    <w:p>
                      <w:pPr>
                        <w:widowControl w:val="0"/>
                        <w:suppressAutoHyphens/>
                        <w:snapToGrid w:val="0"/>
                        <w:spacing w:line="200" w:lineRule="atLeast"/>
                        <w:jc w:val="center"/>
                        <w:rPr>
                          <w:rFonts w:eastAsia="Lucida Sans Unicode"/>
                          <w:b/>
                          <w:bCs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b/>
                          <w:bCs/>
                          <w:sz w:val="22"/>
                          <w:szCs w:val="22"/>
                          <w:lang w:eastAsia="lt-LT"/>
                        </w:rPr>
                        <w:t>III. PAKUOČIŲ, KURIOMS TAIKOMA UŽSTATO UŽ VIENKARTINES PAKUOTES SISTEMA, ATLIEKŲ SURINKIMO IR PERDIRBIMO UŽDUOTYS</w:t>
                      </w:r>
                    </w:p>
                  </w:tc>
                </w:tr>
                <w:tr>
                  <w:trPr>
                    <w:trHeight w:val="1516"/>
                  </w:trPr>
                  <w:tc>
                    <w:tcPr>
                      <w:tcW w:w="563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spacing w:line="200" w:lineRule="atLeast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>17.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spacing w:line="200" w:lineRule="atLeast"/>
                        <w:rPr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sz w:val="22"/>
                          <w:szCs w:val="22"/>
                          <w:lang w:eastAsia="lt-LT"/>
                        </w:rPr>
                        <w:t>nuo 2021</w:t>
                      </w:r>
                    </w:p>
                  </w:tc>
                  <w:tc>
                    <w:tcPr>
                      <w:tcW w:w="2552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spacing w:line="200" w:lineRule="atLeast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 xml:space="preserve">stiklinė pakuotė  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spacing w:line="200" w:lineRule="atLeast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 xml:space="preserve">PET pakuotė </w:t>
                      </w:r>
                    </w:p>
                    <w:p>
                      <w:pPr>
                        <w:widowControl w:val="0"/>
                        <w:suppressAutoHyphens/>
                        <w:snapToGrid w:val="0"/>
                        <w:spacing w:line="200" w:lineRule="atLeast"/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lang w:eastAsia="lt-LT"/>
                        </w:rPr>
                        <w:t xml:space="preserve">metalinė (įskaitant aliumininę) pakuotė </w:t>
                      </w:r>
                    </w:p>
                  </w:tc>
                  <w:tc>
                    <w:tcPr>
                      <w:tcW w:w="255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spacing w:line="200" w:lineRule="atLeast"/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>surinkimas ir perdirbimas</w:t>
                      </w:r>
                    </w:p>
                  </w:tc>
                  <w:tc>
                    <w:tcPr>
                      <w:tcW w:w="2941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spacing w:line="200" w:lineRule="atLeast"/>
                        <w:jc w:val="center"/>
                        <w:rPr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sz w:val="22"/>
                          <w:szCs w:val="22"/>
                          <w:lang w:eastAsia="lt-LT"/>
                        </w:rPr>
                        <w:t>90</w:t>
                      </w:r>
                    </w:p>
                  </w:tc>
                </w:tr>
              </w:tbl>
              <w:p>
                <w:pPr>
                  <w:keepNext/>
                  <w:widowControl w:val="0"/>
                  <w:suppressAutoHyphens/>
                  <w:jc w:val="both"/>
                  <w:rPr>
                    <w:rFonts w:eastAsia="Lucida Sans Unicode"/>
                    <w:szCs w:val="24"/>
                    <w:lang w:eastAsia="lt-LT"/>
                  </w:rPr>
                </w:pPr>
              </w:p>
            </w:tc>
            <w:tc>
              <w:tcPr>
                <w:tcW w:w="20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suppressAutoHyphens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>Visiškas</w:t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widowControl w:val="0"/>
                  <w:suppressAutoHyphens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</w:p>
            </w:tc>
          </w:tr>
        </w:tbl>
        <w:p>
          <w:pPr>
            <w:widowControl w:val="0"/>
            <w:suppressAutoHyphens/>
            <w:jc w:val="both"/>
            <w:rPr>
              <w:rFonts w:eastAsia="Lucida Sans Unicode"/>
              <w:b/>
              <w:lang w:eastAsia="lt-LT"/>
            </w:rPr>
          </w:pP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6837" w:h="11905" w:orient="landscape"/>
      <w:pgMar w:top="993" w:right="677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eastAsia="lt-LT"/>
      </w:rPr>
      <w:fldChar w:fldCharType="begin"/>
    </w:r>
    <w:r>
      <w:rPr>
        <w:rFonts w:eastAsia="Lucida Sans Unicode"/>
        <w:szCs w:val="24"/>
        <w:lang w:eastAsia="lt-LT"/>
      </w:rPr>
      <w:instrText xml:space="preserve">PAGE  </w:instrText>
    </w:r>
    <w:r>
      <w:rPr>
        <w:rFonts w:eastAsia="Lucida Sans Unicode"/>
        <w:szCs w:val="24"/>
        <w:lang w:eastAsia="lt-LT"/>
      </w:rPr>
      <w:fldChar w:fldCharType="end"/>
    </w:r>
  </w:p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eastAsia="lt-LT"/>
      </w:rPr>
      <w:fldChar w:fldCharType="begin"/>
    </w:r>
    <w:r>
      <w:rPr>
        <w:rFonts w:eastAsia="Lucida Sans Unicode"/>
        <w:szCs w:val="24"/>
        <w:lang w:eastAsia="lt-LT"/>
      </w:rPr>
      <w:instrText xml:space="preserve">PAGE  </w:instrText>
    </w:r>
    <w:r>
      <w:rPr>
        <w:rFonts w:eastAsia="Lucida Sans Unicode"/>
        <w:szCs w:val="24"/>
        <w:lang w:eastAsia="lt-LT"/>
      </w:rPr>
      <w:fldChar w:fldCharType="separate"/>
    </w:r>
    <w:r>
      <w:rPr>
        <w:rFonts w:eastAsia="Lucida Sans Unicode"/>
        <w:szCs w:val="24"/>
        <w:lang w:eastAsia="lt-LT"/>
      </w:rPr>
      <w:t>3</w:t>
    </w:r>
    <w:r>
      <w:rPr>
        <w:rFonts w:eastAsia="Lucida Sans Unicode"/>
        <w:szCs w:val="24"/>
        <w:lang w:eastAsia="lt-LT"/>
      </w:rPr>
      <w:fldChar w:fldCharType="end"/>
    </w:r>
  </w:p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hideSpellingErrors/>
  <w:defaultTabStop w:val="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62222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7bf1b5d869f743b38a5bdb0543d8b00d" PartId="fa3300876e8d4346b9144ff312028327"/>
</Parts>
</file>

<file path=customXml/itemProps1.xml><?xml version="1.0" encoding="utf-8"?>
<ds:datastoreItem xmlns:ds="http://schemas.openxmlformats.org/officeDocument/2006/customXml" ds:itemID="{8662B726-61AA-4E50-AD2C-2F01EF9503D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556</Words>
  <Characters>3063</Characters>
  <Application>Microsoft Office Word</Application>
  <DocSecurity>4</DocSecurity>
  <Lines>306</Lines>
  <Paragraphs>201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2003 M</vt:lpstr>
    </vt:vector>
  </TitlesOfParts>
  <Company>AM</Company>
  <LinksUpToDate>false</LinksUpToDate>
  <CharactersWithSpaces>3418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2021-04-01T13:50:00Z</dcterms:created>
  <dc:creator>Neringa Paškauskaitė</dc:creator>
  <lastModifiedBy>adlibuser</lastModifiedBy>
  <lastPrinted>2010-09-24T10:11:00Z</lastPrinted>
  <dcterms:modified xsi:type="dcterms:W3CDTF">2021-04-01T13:50:00Z</dcterms:modified>
  <revision>2</revision>
  <dc:title>2003 M</dc:title>
</coreProperties>
</file>