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0d0e9719eccf4a3098d988561ec94564"/>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widowControl w:val="0"/>
                  <w:suppressLineNumbers/>
                  <w:tabs>
                    <w:tab w:val="center" w:pos="4800"/>
                    <w:tab w:val="right" w:pos="9601"/>
                  </w:tabs>
                  <w:suppressAutoHyphens/>
                  <w:rPr>
                    <w:rFonts w:eastAsia="Andale Sans UI" w:cs="Tahoma"/>
                    <w:szCs w:val="24"/>
                    <w:lang w:bidi="en-US"/>
                  </w:rPr>
                </w:pPr>
              </w:p>
              <w:p>
                <w:pPr>
                  <w:rPr>
                    <w:sz w:val="10"/>
                    <w:szCs w:val="10"/>
                  </w:rPr>
                </w:pPr>
              </w:p>
              <w:p>
                <w:pPr>
                  <w:widowControl w:val="0"/>
                  <w:suppressLineNumbers/>
                  <w:suppressAutoHyphens/>
                  <w:jc w:val="center"/>
                  <w:rPr>
                    <w:rFonts w:eastAsia="Andale Sans UI" w:cs="Tahoma"/>
                    <w:i/>
                    <w:iCs/>
                    <w:sz w:val="28"/>
                    <w:szCs w:val="28"/>
                    <w:lang w:bidi="en-US"/>
                  </w:rPr>
                </w:pPr>
                <w:r>
                  <w:rPr>
                    <w:rFonts w:eastAsia="Andale Sans UI" w:cs="Tahoma"/>
                    <w:i/>
                    <w:iCs/>
                    <w:sz w:val="20"/>
                    <w:lang w:val="en-US"/>
                  </w:rPr>
                  <w:drawing>
                    <wp:inline distT="0" distB="0" distL="0" distR="0" wp14:anchorId="11299932" wp14:editId="03E6DEEC">
                      <wp:extent cx="523875" cy="619125"/>
                      <wp:effectExtent l="1905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523875" cy="61912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01105 Vilnius,</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tel. 8 706 63661, faks. 8 706 63663, el. p. info@am.lt, http://www.am.lrv.lt.</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widowControl w:val="0"/>
                  <w:suppressLineNumbers/>
                  <w:suppressAutoHyphens/>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widowControl w:val="0"/>
                  <w:suppressLineNumbers/>
                  <w:suppressAutoHyphens/>
                  <w:rPr>
                    <w:rFonts w:eastAsia="Andale Sans UI" w:cs="Tahoma"/>
                    <w:szCs w:val="24"/>
                    <w:lang w:bidi="en-US"/>
                  </w:rPr>
                </w:pPr>
                <w:r>
                  <w:rPr>
                    <w:rFonts w:eastAsia="Andale Sans UI" w:cs="Tahoma"/>
                    <w:szCs w:val="24"/>
                    <w:lang w:bidi="en-US"/>
                  </w:rPr>
                  <w:t>Adresatams pagal sąrašą</w:t>
                </w:r>
              </w:p>
              <w:p>
                <w:pPr>
                  <w:widowControl w:val="0"/>
                  <w:suppressLineNumbers/>
                  <w:suppressAutoHyphens/>
                  <w:rPr>
                    <w:rFonts w:eastAsia="Andale Sans UI" w:cs="Tahoma"/>
                    <w:szCs w:val="24"/>
                    <w:lang w:bidi="en-US"/>
                  </w:rPr>
                </w:pPr>
              </w:p>
              <w:p>
                <w:pPr>
                  <w:widowControl w:val="0"/>
                  <w:suppressLineNumbers/>
                  <w:suppressAutoHyphens/>
                  <w:rPr>
                    <w:rFonts w:eastAsia="Andale Sans UI" w:cs="Tahoma"/>
                    <w:spacing w:val="10"/>
                    <w:szCs w:val="24"/>
                    <w:lang w:bidi="en-US"/>
                  </w:rPr>
                </w:pPr>
              </w:p>
            </w:tc>
            <w:tc>
              <w:tcPr>
                <w:tcW w:w="282" w:type="dxa"/>
                <w:tcMar>
                  <w:top w:w="0" w:type="dxa"/>
                  <w:left w:w="0" w:type="dxa"/>
                  <w:bottom w:w="0" w:type="dxa"/>
                  <w:right w:w="0" w:type="dxa"/>
                </w:tcMar>
              </w:tcPr>
              <w:p>
                <w:pPr>
                  <w:widowControl w:val="0"/>
                  <w:suppressAutoHyphens/>
                  <w:ind w:right="67"/>
                  <w:jc w:val="right"/>
                  <w:rPr>
                    <w:rFonts w:eastAsia="Andale Sans UI" w:cs="Tahoma"/>
                    <w:spacing w:val="10"/>
                    <w:szCs w:val="24"/>
                    <w:lang w:bidi="en-US"/>
                  </w:rPr>
                </w:pPr>
              </w:p>
            </w:tc>
            <w:tc>
              <w:tcPr>
                <w:tcW w:w="1841" w:type="dxa"/>
                <w:tcMar>
                  <w:top w:w="0" w:type="dxa"/>
                  <w:left w:w="0" w:type="dxa"/>
                  <w:bottom w:w="0" w:type="dxa"/>
                  <w:right w:w="0" w:type="dxa"/>
                </w:tcMar>
              </w:tcPr>
              <w:p>
                <w:pPr>
                  <w:widowControl w:val="0"/>
                  <w:suppressLineNumbers/>
                  <w:tabs>
                    <w:tab w:val="right" w:pos="1774"/>
                  </w:tabs>
                  <w:suppressAutoHyphens/>
                  <w:ind w:right="67"/>
                  <w:rPr>
                    <w:rFonts w:eastAsia="Andale Sans UI" w:cs="Tahoma"/>
                    <w:szCs w:val="24"/>
                    <w:lang w:bidi="en-US"/>
                  </w:rPr>
                </w:pPr>
                <w:r>
                  <w:rPr>
                    <w:rFonts w:eastAsia="Andale Sans UI" w:cs="Tahoma"/>
                    <w:szCs w:val="24"/>
                    <w:lang w:bidi="en-US"/>
                  </w:rPr>
                  <w:t>20</w:t>
                </w:r>
                <w:r>
                  <w:rPr>
                    <w:rFonts w:eastAsia="Andale Sans UI" w:cs="Tahoma"/>
                    <w:szCs w:val="24"/>
                    <w:lang w:val="en-US" w:bidi="en-US"/>
                  </w:rPr>
                  <w:t>21</w:t>
                </w:r>
                <w:r>
                  <w:rPr>
                    <w:rFonts w:eastAsia="Andale Sans UI" w:cs="Tahoma"/>
                    <w:szCs w:val="24"/>
                    <w:lang w:bidi="en-US"/>
                  </w:rPr>
                  <w:t>-04-</w:t>
                  <w:tab/>
                </w:r>
              </w:p>
            </w:tc>
            <w:tc>
              <w:tcPr>
                <w:tcW w:w="565" w:type="dxa"/>
              </w:tcPr>
              <w:p>
                <w:pPr>
                  <w:widowControl w:val="0"/>
                  <w:suppressAutoHyphen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widowControl w:val="0"/>
                  <w:suppressLineNumbers/>
                  <w:suppressAutoHyphens/>
                  <w:ind w:right="67"/>
                  <w:rPr>
                    <w:rFonts w:eastAsia="Andale Sans UI" w:cs="Tahoma"/>
                    <w:szCs w:val="24"/>
                    <w:lang w:bidi="en-US"/>
                  </w:rPr>
                </w:pPr>
                <w:r>
                  <w:rPr>
                    <w:rFonts w:eastAsia="Andale Sans UI" w:cs="Tahoma"/>
                    <w:szCs w:val="24"/>
                    <w:lang w:bidi="en-US"/>
                  </w:rPr>
                  <w:t>(17)-D8-</w:t>
                </w: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widowControl w:val="0"/>
                  <w:tabs>
                    <w:tab w:val="left" w:pos="2869"/>
                  </w:tabs>
                  <w:suppressAutoHyphens/>
                  <w:ind w:right="67" w:firstLine="62"/>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widowControl w:val="0"/>
                  <w:suppressLineNumbers/>
                  <w:suppressAutoHyphens/>
                  <w:ind w:right="67"/>
                  <w:rPr>
                    <w:rFonts w:eastAsia="Andale Sans UI" w:cs="Tahoma"/>
                    <w:szCs w:val="24"/>
                    <w:lang w:bidi="en-US"/>
                  </w:rPr>
                </w:pPr>
              </w:p>
            </w:tc>
            <w:tc>
              <w:tcPr>
                <w:tcW w:w="565" w:type="dxa"/>
              </w:tcPr>
              <w:p>
                <w:pPr>
                  <w:widowControl w:val="0"/>
                  <w:tabs>
                    <w:tab w:val="left" w:pos="2869"/>
                  </w:tabs>
                  <w:suppressAutoHyphen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widowControl w:val="0"/>
                  <w:suppressLineNumbers/>
                  <w:suppressAutoHyphens/>
                  <w:ind w:right="67"/>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widowControl w:val="0"/>
                  <w:tabs>
                    <w:tab w:val="left" w:pos="2869"/>
                  </w:tabs>
                  <w:suppressAutoHyphens/>
                  <w:ind w:right="67"/>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widowControl w:val="0"/>
                  <w:suppressLineNumbers/>
                  <w:suppressAutoHyphens/>
                  <w:jc w:val="both"/>
                  <w:rPr>
                    <w:rFonts w:eastAsia="Andale Sans UI" w:cs="Tahoma"/>
                    <w:b/>
                    <w:bCs/>
                    <w:szCs w:val="24"/>
                    <w:lang w:bidi="en-US"/>
                  </w:rPr>
                </w:pPr>
                <w:r>
                  <w:rPr>
                    <w:rFonts w:eastAsia="Andale Sans UI" w:cs="Tahoma"/>
                    <w:b/>
                    <w:bCs/>
                    <w:caps/>
                    <w:szCs w:val="24"/>
                    <w:lang w:bidi="en-US"/>
                  </w:rPr>
                  <w:t>dėl</w:t>
                </w:r>
                <w:r>
                  <w:rPr>
                    <w:rFonts w:eastAsia="Andale Sans UI" w:cs="Tahoma"/>
                    <w:b/>
                    <w:color w:val="000000"/>
                    <w:spacing w:val="10"/>
                    <w:szCs w:val="24"/>
                    <w:lang w:bidi="en-US"/>
                  </w:rPr>
                  <w:t xml:space="preserve"> LIETUVOS RESPUBLIKOS VYRIAUSYBĖS NUTARIMO PROJEKTO DERINIMO</w:t>
                </w:r>
              </w:p>
            </w:tc>
          </w:tr>
        </w:tbl>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sdtContent>
    </w:sdt>
    <w:sdt>
      <w:sdtPr>
        <w:alias w:val="pastraipa"/>
        <w:tag w:val="part_65cdce34139a44bd82d1e9bdd0af7a02"/>
        <w:lock w:val="sdtLocked"/>
        <w:richText/>
      </w:sdtPr>
      <w:sdtContent>
        <w:p>
          <w:pPr>
            <w:widowControl w:val="0"/>
            <w:suppressAutoHyphens/>
            <w:ind w:right="-2" w:firstLine="567"/>
            <w:jc w:val="both"/>
            <w:rPr>
              <w:rFonts w:eastAsia="Andale Sans UI"/>
              <w:szCs w:val="24"/>
              <w:lang w:bidi="en-US"/>
            </w:rPr>
          </w:pPr>
          <w:r>
            <w:rPr>
              <w:rFonts w:eastAsia="Andale Sans UI"/>
              <w:szCs w:val="24"/>
              <w:lang w:bidi="en-US"/>
            </w:rPr>
            <w:t>Aplinkos ministerija parengė ir teikia derinti Lietuvos Respublikos Vyriausybės 2006 m. lapkričio 24 d. nutarimo Nr. 1168 „Dėl apmokestinamųjų gaminių ir pakuočių atliekų naudojimo ir (ar) perdirbimo užduočių patvirtinimo“ pakeitimo projektą (toliau – Nutarimo projektas).</w:t>
          </w:r>
        </w:p>
      </w:sdtContent>
    </w:sdt>
    <w:sdt>
      <w:sdtPr>
        <w:alias w:val="pastraipa"/>
        <w:tag w:val="part_5ce3a26b4a3e40bd8164199a6761de34"/>
        <w:lock w:val="sdtLocked"/>
        <w:richText/>
      </w:sdtPr>
      <w:sdtContent>
        <w:p>
          <w:pPr>
            <w:widowControl w:val="0"/>
            <w:suppressAutoHyphens/>
            <w:ind w:firstLine="567"/>
            <w:jc w:val="both"/>
            <w:rPr>
              <w:rFonts w:eastAsia="Andale Sans UI" w:cs="Tahoma"/>
              <w:szCs w:val="24"/>
              <w:lang w:bidi="en-US"/>
            </w:rPr>
          </w:pPr>
          <w:r>
            <w:rPr>
              <w:rFonts w:eastAsia="Andale Sans UI"/>
              <w:szCs w:val="24"/>
              <w:lang w:bidi="en-US"/>
            </w:rPr>
            <w:t xml:space="preserve">Nutarimo projektas parengtas įgyvendinant </w:t>
          </w:r>
          <w:r>
            <w:rPr>
              <w:rFonts w:eastAsia="Andale Sans UI" w:cs="Tahoma"/>
              <w:szCs w:val="24"/>
              <w:lang w:bidi="en-US"/>
            </w:rPr>
            <w:t>2018 m. gegužės 30 d. Europos Parlamento ir Tarybos direktyvos (ES) 2018/852 kuria iš dalies keičiama Direktyva 94/62/EB dėl pakuočių ir pakuočių atliekų (toliau – Direktyva) 1 straipsnio 5 dalies a punkte nustatytus pakuočių atliekų perdirbimo tikslus ir Mokesčio už aplinkos teršimą įstatymo Nr. VIII-1183 6 straipsnio 4 dalies, 3 ir 4 priedų nuostatas.</w:t>
          </w:r>
        </w:p>
      </w:sdtContent>
    </w:sdt>
    <w:sdt>
      <w:sdtPr>
        <w:alias w:val="pastraipa"/>
        <w:tag w:val="part_5ca6b2c76db64edd969f185c40298be1"/>
        <w:lock w:val="sdtLocked"/>
        <w:richText/>
      </w:sdtPr>
      <w:sdtContent>
        <w:p>
          <w:pPr>
            <w:widowControl w:val="0"/>
            <w:suppressAutoHyphens/>
            <w:ind w:right="-2" w:firstLine="567"/>
            <w:jc w:val="both"/>
            <w:rPr>
              <w:rFonts w:eastAsia="Andale Sans UI"/>
              <w:szCs w:val="24"/>
              <w:lang w:bidi="en-US"/>
            </w:rPr>
          </w:pPr>
          <w:r>
            <w:rPr>
              <w:rFonts w:eastAsia="Andale Sans UI"/>
              <w:szCs w:val="24"/>
              <w:lang w:bidi="en-US"/>
            </w:rPr>
            <w:t>Nutarimo projekto tikslas – nustatyti pagal Mokesčio už aplinkos teršimą įstatymą apmokestinamų gaminių ir pakuočių atliekų naudojimo ir (ar) perdirbimo 2021–2030 m. užduotis atsižvelgiant į per ataskaitinį laikotarpį patiektą vidaus rinkai atitinkamų gaminių ir pakuočių kiekį. Pakuočių atliekų naudojimo ir (ar) perdirbimo užduotis nustatyti atsižvelgiant į Direktyvoje nustatytus minimalius pakuočių atliekoms (pagal svorį) taikomus perdirbimo 2025 m. ir 2030 m. tikslus, o esant poreikiui nustatytus tikslų įgyvendinimo terimus pratęsti pagal Direktyvoje nurodytas sąlygas.</w:t>
          </w:r>
        </w:p>
      </w:sdtContent>
    </w:sdt>
    <w:sdt>
      <w:sdtPr>
        <w:alias w:val="pastraipa"/>
        <w:tag w:val="part_2f726aad5d9f4b76b1e0d6b16ee0f83c"/>
        <w:lock w:val="sdtLocked"/>
        <w:richText/>
      </w:sdtPr>
      <w:sdtContent>
        <w:p>
          <w:pPr>
            <w:widowControl w:val="0"/>
            <w:suppressAutoHyphens/>
            <w:ind w:right="-2" w:firstLine="567"/>
            <w:jc w:val="both"/>
            <w:rPr>
              <w:rFonts w:eastAsia="Andale Sans UI"/>
              <w:szCs w:val="24"/>
              <w:lang w:bidi="en-US"/>
            </w:rPr>
          </w:pPr>
          <w:r>
            <w:rPr>
              <w:rFonts w:eastAsia="Andale Sans UI"/>
              <w:szCs w:val="24"/>
              <w:lang w:bidi="en-US"/>
            </w:rPr>
            <w:t>Atsižvelgiant į esamus Europos Sąjungos</w:t>
          </w:r>
          <w:r>
            <w:rPr>
              <w:rFonts w:eastAsia="Andale Sans UI"/>
              <w:szCs w:val="24"/>
              <w:vertAlign w:val="superscript"/>
              <w:lang w:bidi="en-US"/>
            </w:rPr>
            <w:footnoteReference w:id="1"/>
          </w:r>
          <w:r>
            <w:rPr>
              <w:rFonts w:eastAsia="Andale Sans UI"/>
              <w:szCs w:val="24"/>
              <w:lang w:bidi="en-US"/>
            </w:rPr>
            <w:t xml:space="preserve"> ir Lietuvos Respublikos gaminių ir pakuočių atliekų tvarkymo tikslus</w:t>
          </w:r>
          <w:r>
            <w:rPr>
              <w:rFonts w:eastAsia="Andale Sans UI"/>
              <w:szCs w:val="24"/>
              <w:vertAlign w:val="superscript"/>
              <w:lang w:bidi="en-US"/>
            </w:rPr>
            <w:footnoteReference w:id="2"/>
          </w:r>
          <w:r>
            <w:rPr>
              <w:rFonts w:eastAsia="Andale Sans UI"/>
              <w:szCs w:val="24"/>
              <w:lang w:bidi="en-US"/>
            </w:rPr>
            <w:t xml:space="preserve"> ir naujus žiedinės ekonomikos pakuočių atliekų tvarkymo tikslus</w:t>
          </w:r>
          <w:r>
            <w:rPr>
              <w:rFonts w:eastAsia="Andale Sans UI"/>
              <w:szCs w:val="24"/>
              <w:vertAlign w:val="superscript"/>
              <w:lang w:bidi="en-US"/>
            </w:rPr>
            <w:footnoteReference w:id="3"/>
          </w:r>
          <w:r>
            <w:rPr>
              <w:rFonts w:eastAsia="Andale Sans UI"/>
              <w:szCs w:val="24"/>
              <w:lang w:bidi="en-US"/>
            </w:rPr>
            <w:t>, siekiant, kad kuo mažiau atliekų būtų šalinama sąvartyne ir skatinant pakartotinį naudojimą, perdirbimą ar kitą atliekų panaudojimo formą, Nutarimo projekte siūloma:</w:t>
          </w:r>
        </w:p>
        <w:sdt>
          <w:sdtPr>
            <w:alias w:val="1 p."/>
            <w:tag w:val="part_50bd340bf0b5478e8afa305e2e0afee4"/>
            <w:lock w:val="sdtLocked"/>
            <w:richText/>
          </w:sdtPr>
          <w:sdtContent>
            <w:p>
              <w:pPr>
                <w:widowControl w:val="0"/>
                <w:suppressAutoHyphens/>
                <w:ind w:firstLine="567"/>
                <w:jc w:val="both"/>
                <w:rPr>
                  <w:rFonts w:eastAsia="Andale Sans UI"/>
                  <w:szCs w:val="24"/>
                  <w:lang w:bidi="en-US"/>
                </w:rPr>
              </w:pPr>
              <w:sdt>
                <w:sdtPr>
                  <w:alias w:val="Numeris"/>
                  <w:tag w:val="nr_50bd340bf0b5478e8afa305e2e0afee4"/>
                  <w:lock w:val="sdtLocked"/>
                  <w:richText/>
                </w:sdtPr>
                <w:sdtContent>
                  <w:r>
                    <w:rPr>
                      <w:rFonts w:eastAsia="Andale Sans UI"/>
                      <w:szCs w:val="24"/>
                      <w:lang w:bidi="en-US"/>
                    </w:rPr>
                    <w:t>1</w:t>
                  </w:r>
                </w:sdtContent>
              </w:sdt>
              <w:r>
                <w:rPr>
                  <w:rFonts w:eastAsia="Andale Sans UI"/>
                  <w:szCs w:val="24"/>
                  <w:lang w:bidi="en-US"/>
                </w:rPr>
                <w:t xml:space="preserve">. nuo 2021 metų keisti nustatytą stiklinių pakuočių perdirbimo užduotį, kitoms  vienkartinių pakuočių (kurioms netaikoma užstato sistema) atliekų perdirbimo užduotis keisti nuo 202</w:t>
              </w:r>
              <w:r>
                <w:rPr>
                  <w:rFonts w:eastAsia="Andale Sans UI"/>
                  <w:szCs w:val="24"/>
                  <w:lang w:val="en-US" w:bidi="en-US"/>
                </w:rPr>
                <w:t>2</w:t>
              </w:r>
              <w:r>
                <w:rPr>
                  <w:rFonts w:eastAsia="Andale Sans UI"/>
                  <w:szCs w:val="24"/>
                  <w:lang w:bidi="en-US"/>
                </w:rPr>
                <w:t xml:space="preserve"> metų, nuosekliai didinant iki Direktyvoje nustatytų perdirbimo tikslų:</w:t>
              </w:r>
            </w:p>
            <w:sdt>
              <w:sdtPr>
                <w:alias w:val="1.1 pp."/>
                <w:tag w:val="part_49aac2609dc84f888d3269600903d00c"/>
                <w:lock w:val="sdtLocked"/>
                <w:richText/>
              </w:sdtPr>
              <w:sdtContent>
                <w:p>
                  <w:pPr>
                    <w:widowControl w:val="0"/>
                    <w:suppressAutoHyphens/>
                    <w:ind w:firstLine="567"/>
                    <w:jc w:val="both"/>
                    <w:rPr>
                      <w:rFonts w:eastAsia="Andale Sans UI"/>
                      <w:szCs w:val="24"/>
                      <w:lang w:bidi="en-US"/>
                    </w:rPr>
                  </w:pPr>
                  <w:sdt>
                    <w:sdtPr>
                      <w:alias w:val="Numeris"/>
                      <w:tag w:val="nr_49aac2609dc84f888d3269600903d00c"/>
                      <w:lock w:val="sdtLocked"/>
                      <w:richText/>
                    </w:sdtPr>
                    <w:sdtContent>
                      <w:r>
                        <w:rPr>
                          <w:rFonts w:eastAsia="Andale Sans UI"/>
                          <w:szCs w:val="24"/>
                          <w:lang w:bidi="en-US"/>
                        </w:rPr>
                        <w:t>1.1</w:t>
                      </w:r>
                    </w:sdtContent>
                  </w:sdt>
                  <w:r>
                    <w:rPr>
                      <w:rFonts w:eastAsia="Andale Sans UI"/>
                      <w:szCs w:val="24"/>
                      <w:lang w:bidi="en-US"/>
                    </w:rPr>
                    <w:t>. stiklinei pakuotei nuo 2020 metų nustatyta 70 proc. perdirbimo užduotis. Įvertinus stiklinių pakuočių atliekų surinkimo problematiką ir pastarųjų metų stiklinių pakuočių atliekų surinkimo ir perdirbimo duomenis</w:t>
                  </w:r>
                  <w:r>
                    <w:rPr>
                      <w:rFonts w:eastAsia="Andale Sans UI"/>
                      <w:szCs w:val="24"/>
                      <w:vertAlign w:val="superscript"/>
                      <w:lang w:bidi="en-US"/>
                    </w:rPr>
                    <w:footnoteReference w:id="4"/>
                  </w:r>
                  <w:r>
                    <w:rPr>
                      <w:rFonts w:eastAsia="Andale Sans UI"/>
                      <w:szCs w:val="24"/>
                      <w:lang w:bidi="en-US"/>
                    </w:rPr>
                    <w:t>, siūloma sumažinti stiklinių pakuočių atliekų perdirbimo užduotį, 2021 metams nustatant 65 proc. perdirbimo užduotį, nuosekliai didinant užduoties dydį iki minimalių Direktyvoje nustatytų perdirbimo užduočių</w:t>
                  </w:r>
                  <w:r>
                    <w:rPr>
                      <w:rFonts w:eastAsia="Andale Sans UI"/>
                      <w:szCs w:val="24"/>
                      <w:vertAlign w:val="superscript"/>
                      <w:lang w:bidi="en-US"/>
                    </w:rPr>
                    <w:footnoteReference w:id="5"/>
                  </w:r>
                  <w:r>
                    <w:rPr>
                      <w:rFonts w:eastAsia="Andale Sans UI"/>
                      <w:szCs w:val="24"/>
                      <w:lang w:bidi="en-US"/>
                    </w:rPr>
                    <w:t xml:space="preserve">: nuo 2025 metų – 70 proc., nuo 2030 metų – 75 proc.; </w:t>
                  </w:r>
                </w:p>
              </w:sdtContent>
            </w:sdt>
            <w:sdt>
              <w:sdtPr>
                <w:alias w:val="1.2 pp."/>
                <w:tag w:val="part_529cb2ddbda34b429568351a9de2fc6c"/>
                <w:lock w:val="sdtLocked"/>
                <w:richText/>
              </w:sdtPr>
              <w:sdtContent>
                <w:p>
                  <w:pPr>
                    <w:widowControl w:val="0"/>
                    <w:suppressAutoHyphens/>
                    <w:ind w:firstLine="567"/>
                    <w:jc w:val="both"/>
                    <w:rPr>
                      <w:rFonts w:eastAsia="Andale Sans UI"/>
                      <w:szCs w:val="24"/>
                      <w:lang w:bidi="en-US"/>
                    </w:rPr>
                  </w:pPr>
                  <w:sdt>
                    <w:sdtPr>
                      <w:alias w:val="Numeris"/>
                      <w:tag w:val="nr_529cb2ddbda34b429568351a9de2fc6c"/>
                      <w:lock w:val="sdtLocked"/>
                      <w:richText/>
                    </w:sdtPr>
                    <w:sdtContent>
                      <w:r>
                        <w:rPr>
                          <w:rFonts w:eastAsia="Andale Sans UI"/>
                          <w:szCs w:val="24"/>
                          <w:lang w:bidi="en-US"/>
                        </w:rPr>
                        <w:t>1.2</w:t>
                      </w:r>
                    </w:sdtContent>
                  </w:sdt>
                  <w:r>
                    <w:rPr>
                      <w:rFonts w:eastAsia="Andale Sans UI"/>
                      <w:szCs w:val="24"/>
                      <w:lang w:bidi="en-US"/>
                    </w:rPr>
                    <w:t>. plastikinei ir PET pakuotei nuo 2017 metų nustatyta 50 proc. naudojimo, iš jo 37 proc. perdirbimo užduotis. Įvertinus pastarųjų metų plastikinės pakuotės surinkimo ir perdirbimo duomenis</w:t>
                  </w:r>
                  <w:r>
                    <w:rPr>
                      <w:rFonts w:eastAsia="Andale Sans UI"/>
                      <w:szCs w:val="24"/>
                      <w:vertAlign w:val="superscript"/>
                      <w:lang w:bidi="en-US"/>
                    </w:rPr>
                    <w:footnoteReference w:id="6"/>
                  </w:r>
                  <w:r>
                    <w:rPr>
                      <w:rFonts w:eastAsia="Andale Sans UI"/>
                      <w:szCs w:val="24"/>
                      <w:lang w:bidi="en-US"/>
                    </w:rPr>
                    <w:t>, siūloma didinti plastikinių pakuočių atliekų tvarkymo užduotis, 202</w:t>
                  </w:r>
                  <w:r>
                    <w:rPr>
                      <w:rFonts w:eastAsia="Andale Sans UI"/>
                      <w:szCs w:val="24"/>
                      <w:lang w:val="en-US" w:bidi="en-US"/>
                    </w:rPr>
                    <w:t>2</w:t>
                  </w:r>
                  <w:r>
                    <w:rPr>
                      <w:rFonts w:eastAsia="Andale Sans UI"/>
                      <w:szCs w:val="24"/>
                      <w:lang w:bidi="en-US"/>
                    </w:rPr>
                    <w:t xml:space="preserve"> metams nustatant 70 proc. naudojimo, iš jo 60 proc. perdirbimo užduotį. Įvertinus plastikinių pakuočių tiekimo vidaus rinkai ir atliekų tvarkymo duomenis, kurie rodo, kad plastikinių pakuočių surinkimo infrastruktūra ir perdirbimas pakankamai gerai išvystyti, siūloma nuo 2025 metų nustatyti ambicingesnes, didesnes už Direktyvoje nurodomas minimalias</w:t>
                  </w:r>
                  <w:r>
                    <w:rPr>
                      <w:rFonts w:eastAsia="Andale Sans UI"/>
                      <w:szCs w:val="24"/>
                      <w:vertAlign w:val="superscript"/>
                      <w:lang w:bidi="en-US"/>
                    </w:rPr>
                    <w:footnoteReference w:id="7"/>
                  </w:r>
                  <w:r>
                    <w:rPr>
                      <w:rFonts w:eastAsia="Andale Sans UI"/>
                      <w:szCs w:val="24"/>
                      <w:lang w:bidi="en-US"/>
                    </w:rPr>
                    <w:t xml:space="preserve"> plastikinių pakuočių atliekų perdirbimo užduotis: nuo 2025 metų – 65 proc., nuo 2030 metų – 70 proc.;</w:t>
                  </w:r>
                </w:p>
              </w:sdtContent>
            </w:sdt>
            <w:sdt>
              <w:sdtPr>
                <w:alias w:val="1.3 pp."/>
                <w:tag w:val="part_66eb3469864940c5937e4c59a17319f5"/>
                <w:lock w:val="sdtLocked"/>
                <w:richText/>
              </w:sdtPr>
              <w:sdtContent>
                <w:p>
                  <w:pPr>
                    <w:widowControl w:val="0"/>
                    <w:suppressAutoHyphens/>
                    <w:ind w:firstLine="567"/>
                    <w:jc w:val="both"/>
                    <w:rPr>
                      <w:rFonts w:eastAsia="Andale Sans UI"/>
                      <w:szCs w:val="24"/>
                      <w:lang w:bidi="en-US"/>
                    </w:rPr>
                  </w:pPr>
                  <w:sdt>
                    <w:sdtPr>
                      <w:alias w:val="Numeris"/>
                      <w:tag w:val="nr_66eb3469864940c5937e4c59a17319f5"/>
                      <w:lock w:val="sdtLocked"/>
                      <w:richText/>
                    </w:sdtPr>
                    <w:sdtContent>
                      <w:r>
                        <w:rPr>
                          <w:rFonts w:eastAsia="Andale Sans UI"/>
                          <w:szCs w:val="24"/>
                          <w:lang w:bidi="en-US"/>
                        </w:rPr>
                        <w:t>1.3</w:t>
                      </w:r>
                    </w:sdtContent>
                  </w:sdt>
                  <w:r>
                    <w:rPr>
                      <w:rFonts w:eastAsia="Andale Sans UI"/>
                      <w:szCs w:val="24"/>
                      <w:lang w:bidi="en-US"/>
                    </w:rPr>
                    <w:t>. įvertinus pastarųjų metų kombinuotųjų pakuočių (įskaitant kombinuotąsias pakuotes, kurių vyraujanti medžiaga – popierius ir kartonas) surinkimo ir perdirbimo duomenis</w:t>
                  </w:r>
                  <w:r>
                    <w:rPr>
                      <w:rFonts w:eastAsia="Andale Sans UI"/>
                      <w:szCs w:val="24"/>
                      <w:vertAlign w:val="superscript"/>
                      <w:lang w:bidi="en-US"/>
                    </w:rPr>
                    <w:footnoteReference w:id="8"/>
                  </w:r>
                  <w:r>
                    <w:rPr>
                      <w:rFonts w:eastAsia="Andale Sans UI"/>
                      <w:szCs w:val="24"/>
                      <w:lang w:bidi="en-US"/>
                    </w:rPr>
                    <w:t xml:space="preserve">, siūloma kombinuotoms pakuotėms nuo 2022 metų nustatyti 30 proc. naudojimo, iš jo perdirbimo 25 proc. užduotį, proporcingai didinant perdirbimo užduotį: nuo 2025 metų – 30 proc., nuo 2030 metų – 35 proc.; </w:t>
                  </w:r>
                </w:p>
              </w:sdtContent>
            </w:sdt>
            <w:sdt>
              <w:sdtPr>
                <w:alias w:val="1.4 pp."/>
                <w:tag w:val="part_60d956748f0b402982d3e2b0e9238dc8"/>
                <w:lock w:val="sdtLocked"/>
                <w:richText/>
              </w:sdtPr>
              <w:sdtContent>
                <w:p>
                  <w:pPr>
                    <w:widowControl w:val="0"/>
                    <w:suppressAutoHyphens/>
                    <w:ind w:firstLine="567"/>
                    <w:jc w:val="both"/>
                    <w:rPr>
                      <w:rFonts w:eastAsia="Andale Sans UI" w:cs="Tahoma"/>
                      <w:szCs w:val="24"/>
                      <w:lang w:bidi="en-US"/>
                    </w:rPr>
                  </w:pPr>
                  <w:sdt>
                    <w:sdtPr>
                      <w:alias w:val="Numeris"/>
                      <w:tag w:val="nr_60d956748f0b402982d3e2b0e9238dc8"/>
                      <w:lock w:val="sdtLocked"/>
                      <w:richText/>
                    </w:sdtPr>
                    <w:sdtContent>
                      <w:r>
                        <w:rPr>
                          <w:rFonts w:eastAsia="Andale Sans UI" w:cs="Tahoma"/>
                          <w:szCs w:val="24"/>
                          <w:lang w:bidi="en-US"/>
                        </w:rPr>
                        <w:t>1.4</w:t>
                      </w:r>
                    </w:sdtContent>
                  </w:sdt>
                  <w:r>
                    <w:rPr>
                      <w:rFonts w:eastAsia="Andale Sans UI" w:cs="Tahoma"/>
                      <w:szCs w:val="24"/>
                      <w:lang w:bidi="en-US"/>
                    </w:rPr>
                    <w:t xml:space="preserve">. </w:t>
                  </w:r>
                  <w:r>
                    <w:rPr>
                      <w:rFonts w:eastAsia="Andale Sans UI"/>
                      <w:szCs w:val="24"/>
                      <w:lang w:bidi="en-US"/>
                    </w:rPr>
                    <w:t xml:space="preserve">įvertinus Direktyvoje nustatytus perdirbimo tikslus juodųjų metalų ir aliuminio pakuotei, nuo 2025 m. metalinės </w:t>
                  </w:r>
                  <w:r>
                    <w:rPr>
                      <w:rFonts w:eastAsia="Andale Sans UI" w:cs="Tahoma"/>
                      <w:szCs w:val="24"/>
                      <w:lang w:bidi="en-US"/>
                    </w:rPr>
                    <w:t>(</w:t>
                  </w:r>
                  <w:r>
                    <w:rPr>
                      <w:rFonts w:eastAsia="Andale Sans UI" w:cs="Tahoma"/>
                      <w:color w:val="000000"/>
                      <w:szCs w:val="24"/>
                      <w:lang w:bidi="en-US"/>
                    </w:rPr>
                    <w:t xml:space="preserve">įskaitant aliuminio) </w:t>
                  </w:r>
                  <w:r>
                    <w:rPr>
                      <w:rFonts w:eastAsia="Andale Sans UI"/>
                      <w:szCs w:val="24"/>
                      <w:lang w:bidi="en-US"/>
                    </w:rPr>
                    <w:t>pakuotės užduotis išskiriama į atskiras užduotis metalinei (juodųjų metalų) pakuotei ir metalinei (aliuminio) pakuotei. Įvertinus pakuočių tiekimo vidaus rinkai ir atliekų tvarkymo duomenis</w:t>
                  </w:r>
                  <w:r>
                    <w:rPr>
                      <w:rFonts w:eastAsia="Andale Sans UI"/>
                      <w:szCs w:val="24"/>
                      <w:vertAlign w:val="superscript"/>
                      <w:lang w:bidi="en-US"/>
                    </w:rPr>
                    <w:footnoteReference w:id="9"/>
                  </w:r>
                  <w:r>
                    <w:rPr>
                      <w:rFonts w:eastAsia="Andale Sans UI"/>
                      <w:szCs w:val="24"/>
                      <w:lang w:bidi="en-US"/>
                    </w:rPr>
                    <w:t>, siūloma nuo 2025 metų nustatyti ambicingesnes, didesnes už Direktyvoje nurodomas minimalias</w:t>
                  </w:r>
                  <w:r>
                    <w:rPr>
                      <w:rFonts w:eastAsia="Andale Sans UI"/>
                      <w:szCs w:val="24"/>
                      <w:vertAlign w:val="superscript"/>
                      <w:lang w:bidi="en-US"/>
                    </w:rPr>
                    <w:footnoteReference w:id="10"/>
                  </w:r>
                  <w:r>
                    <w:rPr>
                      <w:rFonts w:eastAsia="Andale Sans UI"/>
                      <w:szCs w:val="24"/>
                      <w:lang w:bidi="en-US"/>
                    </w:rPr>
                    <w:t xml:space="preserve"> metalinės (juodųjų metalų) pakuotės ir metalinės (aliuminio) pakuotės perdirbimo užduotis: metalinei (juodųjų metalų) pakuotei nuo 2025 metų – 75 proc., nuo 2030 metų – 85 proc., metalinei (aliuminio pakuotei nuo 2025 metų – 55 proc., nuo 2030 metų – 65 proc.</w:t>
                  </w:r>
                </w:p>
              </w:sdtContent>
            </w:sdt>
            <w:sdt>
              <w:sdtPr>
                <w:alias w:val="1.5 pp."/>
                <w:tag w:val="part_d24ff4010c494cc796ceec7fcc0a9477"/>
                <w:lock w:val="sdtLocked"/>
                <w:richText/>
              </w:sdtPr>
              <w:sdtContent>
                <w:p>
                  <w:pPr>
                    <w:widowControl w:val="0"/>
                    <w:suppressAutoHyphens/>
                    <w:ind w:firstLine="567"/>
                    <w:jc w:val="both"/>
                    <w:rPr>
                      <w:rFonts w:eastAsia="Andale Sans UI"/>
                      <w:szCs w:val="24"/>
                      <w:lang w:bidi="en-US"/>
                    </w:rPr>
                  </w:pPr>
                  <w:sdt>
                    <w:sdtPr>
                      <w:alias w:val="Numeris"/>
                      <w:tag w:val="nr_d24ff4010c494cc796ceec7fcc0a9477"/>
                      <w:lock w:val="sdtLocked"/>
                      <w:richText/>
                    </w:sdtPr>
                    <w:sdtContent>
                      <w:r>
                        <w:rPr>
                          <w:rFonts w:eastAsia="Andale Sans UI" w:cs="Tahoma"/>
                          <w:szCs w:val="24"/>
                          <w:lang w:bidi="en-US"/>
                        </w:rPr>
                        <w:t>1.5</w:t>
                      </w:r>
                    </w:sdtContent>
                  </w:sdt>
                  <w:r>
                    <w:rPr>
                      <w:rFonts w:eastAsia="Andale Sans UI" w:cs="Tahoma"/>
                      <w:szCs w:val="24"/>
                      <w:lang w:bidi="en-US"/>
                    </w:rPr>
                    <w:t>. popierinei ir kartoninei pakuotei nuo 2016 metų</w:t>
                  </w:r>
                  <w:r>
                    <w:rPr>
                      <w:rFonts w:eastAsia="Andale Sans UI"/>
                      <w:szCs w:val="24"/>
                      <w:lang w:bidi="en-US"/>
                    </w:rPr>
                    <w:t xml:space="preserve"> nustatyta 80 proc. naudojimo, iš jo 76 proc. perdirbimo užduotis. Įvertinus pastarųjų metų popierinių ir kartoninių pakuočių atliekų surinkimo ir perdirbimo duomenis</w:t>
                  </w:r>
                  <w:r>
                    <w:rPr>
                      <w:rFonts w:eastAsia="Andale Sans UI"/>
                      <w:szCs w:val="24"/>
                      <w:vertAlign w:val="superscript"/>
                      <w:lang w:bidi="en-US"/>
                    </w:rPr>
                    <w:footnoteReference w:id="11"/>
                  </w:r>
                  <w:r>
                    <w:rPr>
                      <w:rFonts w:eastAsia="Andale Sans UI"/>
                      <w:szCs w:val="24"/>
                      <w:lang w:bidi="en-US"/>
                    </w:rPr>
                    <w:t xml:space="preserve"> ir norint 2030 metais pasiekti minimalų, popierinei ir kartoninei pakuotei, Direktyvoje nustatytą perdirbimo tikslą</w:t>
                  </w:r>
                  <w:r>
                    <w:rPr>
                      <w:rFonts w:eastAsia="Andale Sans UI"/>
                      <w:szCs w:val="24"/>
                      <w:vertAlign w:val="superscript"/>
                      <w:lang w:bidi="en-US"/>
                    </w:rPr>
                    <w:footnoteReference w:id="12"/>
                  </w:r>
                  <w:r>
                    <w:rPr>
                      <w:rFonts w:eastAsia="Andale Sans UI"/>
                      <w:szCs w:val="24"/>
                      <w:lang w:bidi="en-US"/>
                    </w:rPr>
                    <w:t xml:space="preserve">, siūloma didinti popierinių ir kartoninių pakuočių tvarkymo užduotis, nuo 2022 metų nustatant 85 proc. naudojimo, iš jo 80 proc. perdirbimo užduotį, o nuo 2025 metų – 83 proc., 2030 metų – 85 proc. perdirbimo užduotį;  </w:t>
                  </w:r>
                </w:p>
              </w:sdtContent>
            </w:sdt>
            <w:sdt>
              <w:sdtPr>
                <w:alias w:val="1.6 pp."/>
                <w:tag w:val="part_8cb43b1cd8ae4cf6adaba7f0f9a02686"/>
                <w:lock w:val="sdtLocked"/>
                <w:richText/>
              </w:sdtPr>
              <w:sdtContent>
                <w:p>
                  <w:pPr>
                    <w:widowControl w:val="0"/>
                    <w:suppressAutoHyphens/>
                    <w:ind w:firstLine="567"/>
                    <w:jc w:val="both"/>
                    <w:rPr>
                      <w:rFonts w:eastAsia="Andale Sans UI"/>
                      <w:szCs w:val="24"/>
                      <w:lang w:bidi="en-US"/>
                    </w:rPr>
                  </w:pPr>
                  <w:sdt>
                    <w:sdtPr>
                      <w:alias w:val="Numeris"/>
                      <w:tag w:val="nr_8cb43b1cd8ae4cf6adaba7f0f9a02686"/>
                      <w:lock w:val="sdtLocked"/>
                      <w:richText/>
                    </w:sdtPr>
                    <w:sdtContent>
                      <w:r>
                        <w:rPr>
                          <w:rFonts w:eastAsia="Andale Sans UI"/>
                          <w:szCs w:val="24"/>
                          <w:lang w:bidi="en-US"/>
                        </w:rPr>
                        <w:t>1.6</w:t>
                      </w:r>
                    </w:sdtContent>
                  </w:sdt>
                  <w:r>
                    <w:rPr>
                      <w:rFonts w:eastAsia="Andale Sans UI"/>
                      <w:szCs w:val="24"/>
                      <w:lang w:bidi="en-US"/>
                    </w:rPr>
                    <w:t>. medinei pakuotei nuo 2016 metų nustatyta 45 proc. naudojimo, iš jo 35 proc. perdirbimo užduotis. Įvertinus medinių pakuočių atliekų tvarkymo problematiką, pastarųjų metų surinkimo ir perdirbimo duomenis</w:t>
                  </w:r>
                  <w:r>
                    <w:rPr>
                      <w:rFonts w:eastAsia="Andale Sans UI"/>
                      <w:szCs w:val="24"/>
                      <w:vertAlign w:val="superscript"/>
                      <w:lang w:bidi="en-US"/>
                    </w:rPr>
                    <w:footnoteReference w:id="13"/>
                  </w:r>
                  <w:r>
                    <w:rPr>
                      <w:rFonts w:eastAsia="Andale Sans UI"/>
                      <w:szCs w:val="24"/>
                      <w:lang w:bidi="en-US"/>
                    </w:rPr>
                    <w:t xml:space="preserve"> ir norint 2030 metais pasiekti minimalų Direktyvoje nustatytą pakuočių atliekų perdirbimo tikslą</w:t>
                  </w:r>
                  <w:r>
                    <w:rPr>
                      <w:rFonts w:eastAsia="Andale Sans UI"/>
                      <w:szCs w:val="24"/>
                      <w:vertAlign w:val="superscript"/>
                      <w:lang w:bidi="en-US"/>
                    </w:rPr>
                    <w:footnoteReference w:id="14"/>
                  </w:r>
                  <w:r>
                    <w:rPr>
                      <w:rFonts w:eastAsia="Andale Sans UI"/>
                      <w:szCs w:val="24"/>
                      <w:lang w:bidi="en-US"/>
                    </w:rPr>
                    <w:t>, siūloma nuo 2030 metų padidinti medinių pakuočių atliekų perdirbimo užduotį iki 37 proc.;</w:t>
                  </w:r>
                </w:p>
              </w:sdtContent>
            </w:sdt>
            <w:sdt>
              <w:sdtPr>
                <w:alias w:val="1.7 pp."/>
                <w:tag w:val="part_f7771d4326ce499e8739cf441addedbc"/>
                <w:lock w:val="sdtLocked"/>
                <w:richText/>
              </w:sdtPr>
              <w:sdtContent>
                <w:p>
                  <w:pPr>
                    <w:widowControl w:val="0"/>
                    <w:suppressAutoHyphens/>
                    <w:ind w:firstLine="567"/>
                    <w:jc w:val="both"/>
                    <w:rPr>
                      <w:rFonts w:eastAsia="Andale Sans UI"/>
                      <w:szCs w:val="24"/>
                      <w:lang w:bidi="en-US"/>
                    </w:rPr>
                  </w:pPr>
                  <w:sdt>
                    <w:sdtPr>
                      <w:alias w:val="Numeris"/>
                      <w:tag w:val="nr_f7771d4326ce499e8739cf441addedbc"/>
                      <w:lock w:val="sdtLocked"/>
                      <w:richText/>
                    </w:sdtPr>
                    <w:sdtContent>
                      <w:r>
                        <w:rPr>
                          <w:rFonts w:eastAsia="Andale Sans UI"/>
                          <w:szCs w:val="24"/>
                          <w:lang w:bidi="en-US"/>
                        </w:rPr>
                        <w:t>1.7</w:t>
                      </w:r>
                    </w:sdtContent>
                  </w:sdt>
                  <w:r>
                    <w:rPr>
                      <w:rFonts w:eastAsia="Andale Sans UI"/>
                      <w:szCs w:val="24"/>
                      <w:lang w:bidi="en-US"/>
                    </w:rPr>
                    <w:t>. kitai pakuotei nuo 2016 metų nustatyta 45 proc. naudojimo, iš jo 22 proc. perdirbimo užduotis. Nutarimo projektu siūloma proporcingai didinti kitos pakuotės perdirbimo užduotį, nuo 2025 metų – 25 proc., nuo 2030 metų – 27 proc.;</w:t>
                  </w:r>
                </w:p>
              </w:sdtContent>
            </w:sdt>
          </w:sdtContent>
        </w:sdt>
        <w:sdt>
          <w:sdtPr>
            <w:alias w:val="2 p."/>
            <w:tag w:val="part_ae91bb789f2440679248dddea6d6cd85"/>
            <w:lock w:val="sdtLocked"/>
            <w:richText/>
          </w:sdtPr>
          <w:sdtContent>
            <w:p>
              <w:pPr>
                <w:widowControl w:val="0"/>
                <w:suppressAutoHyphens/>
                <w:ind w:firstLine="567"/>
                <w:jc w:val="both"/>
                <w:rPr>
                  <w:rFonts w:eastAsia="Andale Sans UI" w:cs="Tahoma"/>
                  <w:szCs w:val="24"/>
                  <w:lang w:bidi="en-US"/>
                </w:rPr>
              </w:pPr>
              <w:sdt>
                <w:sdtPr>
                  <w:alias w:val="Numeris"/>
                  <w:tag w:val="nr_ae91bb789f2440679248dddea6d6cd85"/>
                  <w:lock w:val="sdtLocked"/>
                  <w:richText/>
                </w:sdtPr>
                <w:sdtContent>
                  <w:r>
                    <w:rPr>
                      <w:rFonts w:eastAsia="Andale Sans UI"/>
                      <w:szCs w:val="24"/>
                      <w:lang w:bidi="en-US"/>
                    </w:rPr>
                    <w:t>2</w:t>
                  </w:r>
                </w:sdtContent>
              </w:sdt>
              <w:r>
                <w:rPr>
                  <w:rFonts w:eastAsia="Andale Sans UI"/>
                  <w:szCs w:val="24"/>
                  <w:lang w:bidi="en-US"/>
                </w:rPr>
                <w:t xml:space="preserve">. pagal </w:t>
              </w:r>
              <w:r>
                <w:rPr>
                  <w:rFonts w:eastAsia="Andale Sans UI" w:cs="Tahoma"/>
                  <w:szCs w:val="24"/>
                  <w:lang w:bidi="en-US"/>
                </w:rPr>
                <w:t>Mokesčio už aplinkos teršimą įstatymo 4 priedo nuostatas</w:t>
              </w:r>
              <w:r>
                <w:rPr>
                  <w:rFonts w:eastAsia="Andale Sans UI"/>
                  <w:szCs w:val="24"/>
                  <w:lang w:bidi="en-US"/>
                </w:rPr>
                <w:t xml:space="preserve"> nustatyti vieną užduotį visų rūšių kombinuotosioms pakuotėms;3. patikslinti gaminių pavadinimus pagal </w:t>
              </w:r>
              <w:r>
                <w:rPr>
                  <w:rFonts w:eastAsia="Andale Sans UI" w:cs="Tahoma"/>
                  <w:szCs w:val="24"/>
                  <w:lang w:bidi="en-US"/>
                </w:rPr>
                <w:t>Mokesčio už aplinkos teršimą įstatymo 3 priedo nuostatas;</w:t>
              </w:r>
            </w:p>
          </w:sdtContent>
        </w:sdt>
        <w:sdt>
          <w:sdtPr>
            <w:alias w:val="4 p."/>
            <w:tag w:val="part_22b2b47c0d4f41a8824588b59d55fc36"/>
            <w:lock w:val="sdtLocked"/>
            <w:richText/>
          </w:sdtPr>
          <w:sdtContent>
            <w:p>
              <w:pPr>
                <w:widowControl w:val="0"/>
                <w:suppressAutoHyphens/>
                <w:ind w:firstLine="567"/>
                <w:jc w:val="both"/>
                <w:rPr>
                  <w:rFonts w:eastAsia="Andale Sans UI"/>
                  <w:szCs w:val="24"/>
                  <w:lang w:bidi="en-US"/>
                </w:rPr>
              </w:pPr>
              <w:sdt>
                <w:sdtPr>
                  <w:alias w:val="Numeris"/>
                  <w:tag w:val="nr_22b2b47c0d4f41a8824588b59d55fc36"/>
                  <w:lock w:val="sdtLocked"/>
                  <w:richText/>
                </w:sdtPr>
                <w:sdtContent>
                  <w:r>
                    <w:rPr>
                      <w:rFonts w:eastAsia="Andale Sans UI" w:cs="Tahoma"/>
                      <w:szCs w:val="24"/>
                      <w:lang w:bidi="en-US"/>
                    </w:rPr>
                    <w:t>4</w:t>
                  </w:r>
                </w:sdtContent>
              </w:sdt>
              <w:r>
                <w:rPr>
                  <w:rFonts w:eastAsia="Andale Sans UI" w:cs="Tahoma"/>
                  <w:szCs w:val="24"/>
                  <w:lang w:bidi="en-US"/>
                </w:rPr>
                <w:t xml:space="preserve">. įvertinus studijos dėl </w:t>
              </w:r>
              <w:r>
                <w:rPr>
                  <w:rFonts w:eastAsia="Andale Sans UI"/>
                  <w:szCs w:val="24"/>
                  <w:lang w:bidi="en-US"/>
                </w:rPr>
                <w:t>„</w:t>
              </w:r>
              <w:r>
                <w:rPr>
                  <w:rFonts w:eastAsia="Andale Sans UI"/>
                  <w:color w:val="000000"/>
                  <w:szCs w:val="24"/>
                  <w:shd w:val="clear" w:color="auto" w:fill="FFFFFF"/>
                  <w:lang w:bidi="en-US"/>
                </w:rPr>
                <w:t>padangų atliekų panaudojimo statybos ir kitų produktų gamyboje, statyboje ar kitose veiklose“</w:t>
              </w:r>
              <w:r>
                <w:rPr>
                  <w:rFonts w:eastAsia="Andale Sans UI"/>
                  <w:color w:val="000000"/>
                  <w:szCs w:val="24"/>
                  <w:shd w:val="clear" w:color="auto" w:fill="FFFFFF"/>
                  <w:vertAlign w:val="superscript"/>
                  <w:lang w:bidi="en-US"/>
                </w:rPr>
                <w:footnoteReference w:id="15"/>
              </w:r>
              <w:r>
                <w:rPr>
                  <w:rFonts w:eastAsia="Andale Sans UI"/>
                  <w:color w:val="000000"/>
                  <w:szCs w:val="24"/>
                  <w:shd w:val="clear" w:color="auto" w:fill="FFFFFF"/>
                  <w:lang w:bidi="en-US"/>
                </w:rPr>
                <w:t xml:space="preserve"> rezultatus, nuo 2025 metų nuosekliai didinti padangų atliekų tvarkymo užduotis</w:t>
              </w:r>
              <w:r>
                <w:rPr>
                  <w:rFonts w:eastAsia="Andale Sans UI" w:cs="Tahoma"/>
                  <w:szCs w:val="24"/>
                  <w:lang w:bidi="en-US"/>
                </w:rPr>
                <w:t>.</w:t>
              </w:r>
              <w:r>
                <w:rPr>
                  <w:rFonts w:eastAsia="Andale Sans UI"/>
                  <w:szCs w:val="24"/>
                  <w:lang w:bidi="en-US"/>
                </w:rPr>
                <w:t xml:space="preserve"> </w:t>
              </w:r>
            </w:p>
            <w:p>
              <w:pPr>
                <w:ind w:firstLine="567"/>
                <w:jc w:val="both"/>
                <w:rPr>
                  <w:rFonts w:eastAsia="Andale Sans UI"/>
                  <w:szCs w:val="24"/>
                  <w:lang w:eastAsia="lt-LT"/>
                </w:rPr>
              </w:pPr>
              <w:r>
                <w:rPr>
                  <w:rFonts w:eastAsia="Andale Sans UI"/>
                  <w:szCs w:val="24"/>
                  <w:lang w:eastAsia="lt-LT"/>
                </w:rPr>
                <w:t>Nutarimo projektas neprieštarauja Vyriausybės programai.</w:t>
              </w:r>
            </w:p>
            <w:p>
              <w:pPr>
                <w:ind w:firstLine="567"/>
                <w:jc w:val="both"/>
                <w:rPr>
                  <w:color w:val="000000"/>
                  <w:szCs w:val="24"/>
                  <w:lang w:eastAsia="lt-LT"/>
                </w:rPr>
              </w:pPr>
              <w:r>
                <w:rPr>
                  <w:color w:val="000000"/>
                  <w:szCs w:val="24"/>
                  <w:lang w:eastAsia="lt-LT"/>
                </w:rPr>
                <w:t>Nutarimo projektas nenotifikuotinas Europos Komisijai pagal Lietuvos Respublikos Vyriausybės 1999 m. gegužės 20 d. nutarimo Nr. 617 „Dėl informacijos apie techninius reglamentus ir atitikties įvertinimo procedūras teikimo taisyklių patvirtinimo“ reikalavimus.</w:t>
              </w:r>
            </w:p>
            <w:p>
              <w:pPr>
                <w:widowControl w:val="0"/>
                <w:shd w:val="clear" w:color="auto" w:fill="FFFFFF"/>
                <w:suppressAutoHyphens/>
                <w:ind w:firstLine="567"/>
                <w:jc w:val="both"/>
                <w:textAlignment w:val="center"/>
                <w:rPr>
                  <w:rFonts w:eastAsia="Andale Sans UI" w:cs="Tahoma"/>
                  <w:szCs w:val="24"/>
                  <w:lang w:bidi="en-US"/>
                </w:rPr>
              </w:pPr>
              <w:r>
                <w:rPr>
                  <w:rFonts w:eastAsia="Andale Sans UI" w:cs="Tahoma"/>
                  <w:szCs w:val="24"/>
                  <w:lang w:bidi="en-US"/>
                </w:rPr>
                <w:t>Pritarus Nutarimo projektui, keisti ar priimti naujų teisės aktų nereikės.</w:t>
              </w:r>
            </w:p>
            <w:p>
              <w:pPr>
                <w:widowControl w:val="0"/>
                <w:shd w:val="clear" w:color="auto" w:fill="FFFFFF"/>
                <w:suppressAutoHyphens/>
                <w:ind w:firstLine="567"/>
                <w:jc w:val="both"/>
                <w:textAlignment w:val="center"/>
                <w:rPr>
                  <w:rFonts w:eastAsia="Andale Sans UI" w:cs="Tahoma"/>
                  <w:szCs w:val="24"/>
                  <w:lang w:bidi="en-US"/>
                </w:rPr>
              </w:pPr>
              <w:r>
                <w:rPr>
                  <w:rFonts w:eastAsia="Andale Sans UI" w:cs="Tahoma"/>
                  <w:szCs w:val="24"/>
                  <w:lang w:bidi="en-US"/>
                </w:rPr>
                <w:t>Nutarimo projekte sąvokos neįtvirtinamos.</w:t>
              </w:r>
            </w:p>
            <w:p>
              <w:pPr>
                <w:widowControl w:val="0"/>
                <w:shd w:val="clear" w:color="auto" w:fill="FFFFFF"/>
                <w:suppressAutoHyphens/>
                <w:ind w:firstLine="567"/>
                <w:jc w:val="both"/>
                <w:textAlignment w:val="center"/>
                <w:rPr>
                  <w:szCs w:val="24"/>
                  <w:lang w:eastAsia="lt-LT"/>
                </w:rPr>
              </w:pPr>
              <w:r>
                <w:rPr>
                  <w:rFonts w:eastAsia="Andale Sans UI" w:cs="Tahoma"/>
                  <w:szCs w:val="24"/>
                  <w:lang w:bidi="en-US"/>
                </w:rPr>
                <w:t>Nutarimo projektas</w:t>
              </w:r>
              <w:r>
                <w:rPr>
                  <w:szCs w:val="24"/>
                  <w:lang w:eastAsia="lt-LT"/>
                </w:rPr>
                <w:t xml:space="preserve"> paskelbtas Seimo Teisės aktų informacinėje sistemoje (TAIS),</w:t>
              </w:r>
              <w:r>
                <w:rPr>
                  <w:rFonts w:eastAsia="Andale Sans UI" w:cs="Tahoma"/>
                  <w:szCs w:val="24"/>
                  <w:lang w:bidi="en-US"/>
                </w:rPr>
                <w:t xml:space="preserve"> kur su juo gali susipažinti suinteresuotos institucijos ir visuomenė</w:t>
              </w:r>
              <w:r>
                <w:rPr>
                  <w:szCs w:val="24"/>
                  <w:lang w:eastAsia="lt-LT"/>
                </w:rPr>
                <w:t xml:space="preserve">. </w:t>
              </w:r>
            </w:p>
            <w:p>
              <w:pPr>
                <w:widowControl w:val="0"/>
                <w:suppressAutoHyphens/>
                <w:ind w:firstLine="567"/>
                <w:jc w:val="both"/>
                <w:rPr>
                  <w:rFonts w:eastAsia="Andale Sans UI" w:cs="Tahoma"/>
                  <w:szCs w:val="24"/>
                  <w:lang w:bidi="en-US"/>
                </w:rPr>
              </w:pPr>
              <w:r>
                <w:rPr>
                  <w:rFonts w:eastAsia="Andale Sans UI" w:cs="Tahoma"/>
                  <w:szCs w:val="24"/>
                  <w:lang w:bidi="en-US"/>
                </w:rPr>
                <w:t xml:space="preserve">Pastabas ir pasiūlymus Nutarimo projektui prašome pateikti per </w:t>
              </w:r>
              <w:r>
                <w:rPr>
                  <w:rFonts w:eastAsia="Andale Sans UI" w:cs="Tahoma"/>
                  <w:b/>
                  <w:szCs w:val="24"/>
                  <w:lang w:bidi="en-US"/>
                </w:rPr>
                <w:t>10 darbo dienų</w:t>
              </w:r>
              <w:r>
                <w:rPr>
                  <w:rFonts w:eastAsia="Andale Sans UI" w:cs="Tahoma"/>
                  <w:szCs w:val="24"/>
                  <w:lang w:bidi="en-US"/>
                </w:rPr>
                <w:t xml:space="preserve"> po jo paskelbimo TAIS. Per nustatytą laiką negavę pastabų ir pasiūlymų, laikysime, kad pastabų ir pasiūlymų Nutarimo projektui neturite.</w:t>
              </w:r>
            </w:p>
            <w:p>
              <w:pPr>
                <w:widowControl w:val="0"/>
                <w:suppressAutoHyphens/>
                <w:ind w:firstLine="567"/>
                <w:jc w:val="both"/>
                <w:rPr>
                  <w:rFonts w:eastAsia="Andale Sans UI"/>
                  <w:szCs w:val="24"/>
                  <w:lang w:bidi="en-US"/>
                </w:rPr>
              </w:pPr>
              <w:r>
                <w:rPr>
                  <w:rFonts w:eastAsia="Andale Sans UI"/>
                  <w:szCs w:val="24"/>
                  <w:lang w:bidi="en-US"/>
                </w:rPr>
                <w:t xml:space="preserve">Nutarimo projektas parengtas laikantis Lietuvos Respublikos valstybinės kalbos, Lietuvos Respublikos teisėkūros pagrindų įstatymų reikalavimų ir atitinka bendrinės lietuvių kalbos normas. </w:t>
              </w:r>
            </w:p>
            <w:p>
              <w:pPr>
                <w:widowControl w:val="0"/>
                <w:shd w:val="clear" w:color="auto" w:fill="FFFFFF"/>
                <w:suppressAutoHyphens/>
                <w:spacing w:line="276" w:lineRule="auto"/>
                <w:ind w:firstLine="567"/>
                <w:jc w:val="both"/>
                <w:textAlignment w:val="center"/>
                <w:rPr>
                  <w:rFonts w:eastAsia="Andale Sans UI" w:cs="Tahoma"/>
                  <w:szCs w:val="24"/>
                  <w:lang w:bidi="en-US"/>
                </w:rPr>
              </w:pPr>
              <w:r>
                <w:rPr>
                  <w:rFonts w:eastAsia="Andale Sans UI"/>
                  <w:szCs w:val="24"/>
                  <w:lang w:bidi="en-US"/>
                </w:rPr>
                <w:t xml:space="preserve">Nutarimo </w:t>
              </w:r>
              <w:r>
                <w:rPr>
                  <w:rFonts w:eastAsia="Andale Sans UI" w:cs="Tahoma"/>
                  <w:szCs w:val="24"/>
                  <w:lang w:bidi="en-US"/>
                </w:rPr>
                <w:t xml:space="preserve">projektą parengė </w:t>
              </w:r>
              <w:r>
                <w:rPr>
                  <w:rFonts w:eastAsia="Andale Sans UI"/>
                  <w:szCs w:val="24"/>
                  <w:lang w:bidi="en-US"/>
                </w:rPr>
                <w:t xml:space="preserve">Aplinkos ministerijos Atliekų politikos grupės </w:t>
              </w:r>
              <w:r>
                <w:rPr>
                  <w:rFonts w:eastAsia="Andale Sans UI" w:cs="Tahoma"/>
                  <w:color w:val="000000"/>
                  <w:szCs w:val="24"/>
                  <w:lang w:bidi="en-US"/>
                </w:rPr>
                <w:t xml:space="preserve">(vadovė Agnė Bagočiutė, tel. 8 646 89902) vyriausioji specialistė Ieva Kazulytė (tel. </w:t>
              </w:r>
              <w:r>
                <w:rPr>
                  <w:szCs w:val="24"/>
                  <w:lang w:eastAsia="lt-LT"/>
                </w:rPr>
                <w:t xml:space="preserve">8 696 49647, el. paštas </w:t>
              </w:r>
              <w:r>
                <w:rPr>
                  <w:color w:val="000080"/>
                  <w:szCs w:val="24"/>
                  <w:u w:val="single"/>
                  <w:lang w:eastAsia="lt-LT"/>
                </w:rPr>
                <w:t>ieva.kazulyte@am.lt</w:t>
              </w:r>
              <w:r>
                <w:rPr>
                  <w:rFonts w:eastAsia="Andale Sans UI" w:cs="Tahoma"/>
                  <w:color w:val="000000"/>
                  <w:szCs w:val="24"/>
                  <w:lang w:bidi="en-US"/>
                </w:rPr>
                <w:t>)</w:t>
              </w:r>
              <w:r>
                <w:rPr>
                  <w:rFonts w:eastAsia="Andale Sans UI" w:cs="Tahoma"/>
                  <w:szCs w:val="24"/>
                  <w:lang w:bidi="en-US"/>
                </w:rPr>
                <w:t>.</w:t>
              </w:r>
            </w:p>
            <w:p>
              <w:pPr>
                <w:widowControl w:val="0"/>
                <w:suppressAutoHyphens/>
                <w:ind w:firstLine="567"/>
                <w:jc w:val="both"/>
                <w:rPr>
                  <w:rFonts w:eastAsia="Andale Sans UI" w:cs="Tahoma"/>
                  <w:szCs w:val="24"/>
                  <w:lang w:bidi="en-US"/>
                </w:rPr>
              </w:pPr>
              <w:r>
                <w:rPr>
                  <w:rFonts w:eastAsia="Andale Sans UI" w:cs="Tahoma"/>
                  <w:szCs w:val="24"/>
                  <w:lang w:bidi="en-US"/>
                </w:rPr>
                <w:t xml:space="preserve">PRIDEDAMA: </w:t>
              </w:r>
            </w:p>
          </w:sdtContent>
        </w:sdt>
        <w:sdt>
          <w:sdtPr>
            <w:alias w:val="1 p."/>
            <w:tag w:val="part_e2c9a493ac6247b2b34634094dddf376"/>
            <w:lock w:val="sdtLocked"/>
            <w:richText/>
          </w:sdtPr>
          <w:sdtContent>
            <w:p>
              <w:pPr>
                <w:widowControl w:val="0"/>
                <w:suppressAutoHyphens/>
                <w:ind w:left="927" w:hanging="360"/>
                <w:jc w:val="both"/>
                <w:rPr>
                  <w:rFonts w:eastAsia="Andale Sans UI" w:cs="Tahoma"/>
                  <w:szCs w:val="24"/>
                  <w:lang w:bidi="en-US"/>
                </w:rPr>
              </w:pPr>
              <w:sdt>
                <w:sdtPr>
                  <w:alias w:val="Numeris"/>
                  <w:tag w:val="nr_e2c9a493ac6247b2b34634094dddf376"/>
                  <w:lock w:val="sdtLocked"/>
                  <w:richText/>
                </w:sdtPr>
                <w:sdtContent>
                  <w:r>
                    <w:rPr>
                      <w:rFonts w:eastAsia="Andale Sans UI" w:cs="Tahoma"/>
                      <w:szCs w:val="24"/>
                      <w:lang w:bidi="en-US"/>
                    </w:rPr>
                    <w:t>1</w:t>
                  </w:r>
                </w:sdtContent>
              </w:sdt>
              <w:r>
                <w:rPr>
                  <w:rFonts w:eastAsia="Andale Sans UI" w:cs="Tahoma"/>
                  <w:szCs w:val="24"/>
                  <w:lang w:bidi="en-US"/>
                </w:rPr>
                <w:t>.</w:t>
                <w:tab/>
                <w:t xml:space="preserve">Nutarimo projektas, 3 lapai. </w:t>
              </w:r>
            </w:p>
          </w:sdtContent>
        </w:sdt>
        <w:sdt>
          <w:sdtPr>
            <w:alias w:val="2 p."/>
            <w:tag w:val="part_f22f442179664df69278b0f55db55136"/>
            <w:lock w:val="sdtLocked"/>
            <w:richText/>
          </w:sdtPr>
          <w:sdtContent>
            <w:p>
              <w:pPr>
                <w:widowControl w:val="0"/>
                <w:suppressAutoHyphens/>
                <w:ind w:left="927" w:hanging="360"/>
                <w:jc w:val="both"/>
                <w:rPr>
                  <w:rFonts w:eastAsia="Andale Sans UI" w:cs="Tahoma"/>
                  <w:szCs w:val="24"/>
                  <w:lang w:bidi="en-US"/>
                </w:rPr>
              </w:pPr>
              <w:sdt>
                <w:sdtPr>
                  <w:alias w:val="Numeris"/>
                  <w:tag w:val="nr_f22f442179664df69278b0f55db55136"/>
                  <w:lock w:val="sdtLocked"/>
                  <w:richText/>
                </w:sdtPr>
                <w:sdtContent>
                  <w:r>
                    <w:rPr>
                      <w:rFonts w:eastAsia="Andale Sans UI" w:cs="Tahoma"/>
                      <w:szCs w:val="24"/>
                      <w:lang w:bidi="en-US"/>
                    </w:rPr>
                    <w:t>2</w:t>
                  </w:r>
                </w:sdtContent>
              </w:sdt>
              <w:r>
                <w:rPr>
                  <w:rFonts w:eastAsia="Andale Sans UI" w:cs="Tahoma"/>
                  <w:szCs w:val="24"/>
                  <w:lang w:bidi="en-US"/>
                </w:rPr>
                <w:t>.</w:t>
                <w:tab/>
                <w:t>Numatomo teisinio reguliavimo poveikio vertinimo pažyma, 1 lapas.</w:t>
              </w:r>
            </w:p>
          </w:sdtContent>
        </w:sdt>
        <w:sdt>
          <w:sdtPr>
            <w:alias w:val="3 p."/>
            <w:tag w:val="part_b60082943cb24989926767aef00bec58"/>
            <w:lock w:val="sdtLocked"/>
            <w:richText/>
          </w:sdtPr>
          <w:sdtContent>
            <w:p>
              <w:pPr>
                <w:widowControl w:val="0"/>
                <w:suppressAutoHyphens/>
                <w:ind w:left="927" w:hanging="360"/>
                <w:jc w:val="both"/>
                <w:rPr>
                  <w:rFonts w:eastAsia="Andale Sans UI" w:cs="Tahoma"/>
                  <w:szCs w:val="24"/>
                  <w:lang w:bidi="en-US"/>
                </w:rPr>
              </w:pPr>
              <w:sdt>
                <w:sdtPr>
                  <w:alias w:val="Numeris"/>
                  <w:tag w:val="nr_b60082943cb24989926767aef00bec58"/>
                  <w:lock w:val="sdtLocked"/>
                  <w:richText/>
                </w:sdtPr>
                <w:sdtContent>
                  <w:r>
                    <w:rPr>
                      <w:rFonts w:eastAsia="Andale Sans UI" w:cs="Tahoma"/>
                      <w:szCs w:val="24"/>
                      <w:lang w:bidi="en-US"/>
                    </w:rPr>
                    <w:t>3</w:t>
                  </w:r>
                </w:sdtContent>
              </w:sdt>
              <w:r>
                <w:rPr>
                  <w:rFonts w:eastAsia="Andale Sans UI" w:cs="Tahoma"/>
                  <w:szCs w:val="24"/>
                  <w:lang w:bidi="en-US"/>
                </w:rPr>
                <w:t>.</w:t>
                <w:tab/>
              </w:r>
              <w:r>
                <w:rPr>
                  <w:rFonts w:eastAsia="Lucida Sans Unicode"/>
                  <w:bCs/>
                  <w:color w:val="000000"/>
                  <w:szCs w:val="24"/>
                  <w:lang w:eastAsia="lt-LT" w:bidi="en-US"/>
                </w:rPr>
                <w:t xml:space="preserve">Direktyvos </w:t>
              </w:r>
              <w:r>
                <w:rPr>
                  <w:rFonts w:cs="Tahoma"/>
                  <w:caps/>
                  <w:szCs w:val="24"/>
                  <w:lang w:bidi="en-US"/>
                </w:rPr>
                <w:t>2018/852</w:t>
              </w:r>
              <w:r>
                <w:rPr>
                  <w:rFonts w:eastAsia="Andale Sans UI" w:cs="Tahoma"/>
                  <w:bCs/>
                  <w:szCs w:val="24"/>
                  <w:lang w:bidi="en-US"/>
                </w:rPr>
                <w:t xml:space="preserve"> </w:t>
              </w:r>
              <w:r>
                <w:rPr>
                  <w:rFonts w:eastAsia="Lucida Sans Unicode"/>
                  <w:bCs/>
                  <w:color w:val="000000"/>
                  <w:szCs w:val="24"/>
                  <w:lang w:eastAsia="lt-LT" w:bidi="en-US"/>
                </w:rPr>
                <w:t xml:space="preserve">ir Nutarimo projekto </w:t>
              </w:r>
              <w:r>
                <w:rPr>
                  <w:rFonts w:eastAsia="Andale Sans UI" w:cs="Tahoma"/>
                  <w:bCs/>
                  <w:szCs w:val="24"/>
                  <w:lang w:bidi="en-US"/>
                </w:rPr>
                <w:t>atitikties lentelė, 3 lapai.</w:t>
              </w:r>
            </w:p>
          </w:sdtContent>
        </w:sdt>
        <w:sdt>
          <w:sdtPr>
            <w:alias w:val="4 p."/>
            <w:tag w:val="part_4b9ee42476054c9a8352c750108f0548"/>
            <w:lock w:val="sdtLocked"/>
            <w:richText/>
          </w:sdtPr>
          <w:sdtContent>
            <w:p>
              <w:pPr>
                <w:widowControl w:val="0"/>
                <w:suppressAutoHyphens/>
                <w:ind w:left="927" w:hanging="360"/>
                <w:jc w:val="both"/>
                <w:rPr>
                  <w:rFonts w:eastAsia="Andale Sans UI" w:cs="Tahoma"/>
                  <w:szCs w:val="24"/>
                  <w:lang w:bidi="en-US"/>
                </w:rPr>
              </w:pPr>
              <w:sdt>
                <w:sdtPr>
                  <w:alias w:val="Numeris"/>
                  <w:tag w:val="nr_4b9ee42476054c9a8352c750108f0548"/>
                  <w:lock w:val="sdtLocked"/>
                  <w:richText/>
                </w:sdtPr>
                <w:sdtContent>
                  <w:r>
                    <w:rPr>
                      <w:rFonts w:eastAsia="Andale Sans UI" w:cs="Tahoma"/>
                      <w:szCs w:val="24"/>
                      <w:lang w:bidi="en-US"/>
                    </w:rPr>
                    <w:t>4</w:t>
                  </w:r>
                </w:sdtContent>
              </w:sdt>
              <w:r>
                <w:rPr>
                  <w:rFonts w:eastAsia="Andale Sans UI" w:cs="Tahoma"/>
                  <w:szCs w:val="24"/>
                  <w:lang w:bidi="en-US"/>
                </w:rPr>
                <w:t>.</w:t>
                <w:tab/>
              </w:r>
              <w:r>
                <w:rPr>
                  <w:rFonts w:eastAsia="Lucida Sans Unicode"/>
                  <w:bCs/>
                  <w:color w:val="000000"/>
                  <w:szCs w:val="24"/>
                  <w:lang w:eastAsia="lt-LT" w:bidi="en-US"/>
                </w:rPr>
                <w:t xml:space="preserve">Direktyvos 2006/66/EB ir Nutarimo projekto </w:t>
              </w:r>
              <w:r>
                <w:rPr>
                  <w:rFonts w:eastAsia="Andale Sans UI" w:cs="Tahoma"/>
                  <w:bCs/>
                  <w:szCs w:val="24"/>
                  <w:lang w:bidi="en-US"/>
                </w:rPr>
                <w:t>atitikties lentelė, 2 lapai.</w:t>
              </w:r>
            </w:p>
            <w:tbl>
              <w:tblPr>
                <w:tblW w:w="0" w:type="auto"/>
                <w:tblInd w:w="8" w:type="dxa"/>
                <w:tblLayout w:type="fixed"/>
                <w:tblCellMar>
                  <w:left w:w="0" w:type="dxa"/>
                  <w:right w:w="0" w:type="dxa"/>
                </w:tblCellMar>
                <w:tblLook w:val="0000" w:firstRow="0" w:lastRow="0" w:firstColumn="0" w:lastColumn="0" w:noHBand="0" w:noVBand="0"/>
              </w:tblPr>
              <w:tblGrid>
                <w:gridCol w:w="4817"/>
                <w:gridCol w:w="4814"/>
              </w:tblGrid>
              <w:tr>
                <w:trPr>
                  <w:trHeight w:val="435"/>
                </w:trPr>
                <w:tc>
                  <w:tcPr>
                    <w:tcW w:w="4817" w:type="dxa"/>
                    <w:vAlign w:val="bottom"/>
                  </w:tcPr>
                  <w:p>
                    <w:pPr>
                      <w:widowControl w:val="0"/>
                      <w:suppressLineNumbers/>
                      <w:suppressAutoHyphens/>
                      <w:rPr>
                        <w:rFonts w:eastAsia="Andale Sans UI" w:cs="Tahoma"/>
                        <w:szCs w:val="24"/>
                        <w:lang w:bidi="en-US"/>
                      </w:rPr>
                    </w:pPr>
                  </w:p>
                  <w:p>
                    <w:pPr>
                      <w:widowControl w:val="0"/>
                      <w:suppressLineNumbers/>
                      <w:suppressAutoHyphens/>
                      <w:rPr>
                        <w:rFonts w:eastAsia="Andale Sans UI" w:cs="Tahoma"/>
                        <w:szCs w:val="24"/>
                        <w:lang w:bidi="en-US"/>
                      </w:rPr>
                    </w:pPr>
                  </w:p>
                  <w:p>
                    <w:pPr>
                      <w:widowControl w:val="0"/>
                      <w:suppressLineNumbers/>
                      <w:suppressAutoHyphens/>
                      <w:rPr>
                        <w:rFonts w:eastAsia="Andale Sans UI" w:cs="Tahoma"/>
                        <w:szCs w:val="24"/>
                        <w:lang w:bidi="en-US"/>
                      </w:rPr>
                    </w:pPr>
                  </w:p>
                  <w:p>
                    <w:pPr>
                      <w:widowControl w:val="0"/>
                      <w:suppressLineNumbers/>
                      <w:suppressAutoHyphens/>
                      <w:rPr>
                        <w:rFonts w:eastAsia="Andale Sans UI" w:cs="Tahoma"/>
                        <w:szCs w:val="24"/>
                        <w:lang w:bidi="en-US"/>
                      </w:rPr>
                    </w:pPr>
                    <w:r>
                      <w:rPr>
                        <w:rFonts w:eastAsia="Andale Sans UI" w:cs="Tahoma"/>
                        <w:szCs w:val="24"/>
                        <w:lang w:bidi="en-US"/>
                      </w:rPr>
                      <w:t xml:space="preserve">Aplinkos viceministrė </w:t>
                    </w:r>
                  </w:p>
                </w:tc>
                <w:tc>
                  <w:tcPr>
                    <w:tcW w:w="4814" w:type="dxa"/>
                    <w:vAlign w:val="bottom"/>
                  </w:tcPr>
                  <w:p>
                    <w:pPr>
                      <w:widowControl w:val="0"/>
                      <w:suppressAutoHyphens/>
                      <w:ind w:right="34"/>
                      <w:jc w:val="right"/>
                      <w:rPr>
                        <w:rFonts w:eastAsia="Andale Sans UI" w:cs="Tahoma"/>
                        <w:szCs w:val="24"/>
                        <w:lang w:bidi="en-US"/>
                      </w:rPr>
                    </w:pPr>
                    <w:r>
                      <w:rPr>
                        <w:rFonts w:eastAsia="Andale Sans UI" w:cs="Tahoma"/>
                        <w:szCs w:val="24"/>
                        <w:lang w:bidi="en-US"/>
                      </w:rPr>
                      <w:t>Raminta Radavičienė</w:t>
                    </w:r>
                  </w:p>
                </w:tc>
              </w:tr>
            </w:tbl>
            <w:p>
              <w:pPr>
                <w:widowControl w:val="0"/>
                <w:suppressAutoHyphens/>
                <w:rPr>
                  <w:rFonts w:eastAsia="Andale Sans UI" w:cs="Tahoma"/>
                  <w:sz w:val="23"/>
                  <w:szCs w:val="23"/>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 w:val="23"/>
                  <w:szCs w:val="23"/>
                  <w:lang w:bidi="en-US"/>
                </w:rPr>
              </w:pPr>
              <w:r>
                <w:rPr>
                  <w:rFonts w:eastAsia="Andale Sans UI" w:cs="Tahoma"/>
                  <w:szCs w:val="24"/>
                  <w:lang w:bidi="en-US"/>
                </w:rPr>
                <w:t xml:space="preserve">I. Kazulytė, </w:t>
              </w:r>
              <w:r>
                <w:rPr>
                  <w:szCs w:val="24"/>
                  <w:lang w:eastAsia="lt-LT"/>
                </w:rPr>
                <w:t>8 696 49 647</w:t>
              </w:r>
              <w:r>
                <w:rPr>
                  <w:rFonts w:eastAsia="Andale Sans UI" w:cs="Tahoma"/>
                  <w:szCs w:val="24"/>
                  <w:lang w:bidi="en-US"/>
                </w:rPr>
                <w:t xml:space="preserve">, el. p. </w:t>
              </w:r>
              <w:r>
                <w:rPr>
                  <w:szCs w:val="24"/>
                  <w:lang w:eastAsia="lt-LT"/>
                </w:rPr>
                <w:t>ieva.kazulyte@am.lt</w:t>
              </w:r>
            </w:p>
            <w:p>
              <w:pPr>
                <w:widowControl w:val="0"/>
                <w:suppressLineNumbers/>
                <w:suppressAutoHyphens/>
                <w:snapToGrid w:val="0"/>
                <w:jc w:val="center"/>
                <w:rPr>
                  <w:rFonts w:eastAsia="Andale Sans UI" w:cs="Tahoma"/>
                  <w:b/>
                  <w:sz w:val="23"/>
                  <w:szCs w:val="23"/>
                  <w:lang w:bidi="en-US"/>
                </w:rPr>
              </w:pPr>
            </w:p>
            <w:p>
              <w:pPr>
                <w:widowControl w:val="0"/>
                <w:suppressLineNumbers/>
                <w:suppressAutoHyphens/>
                <w:snapToGrid w:val="0"/>
                <w:jc w:val="center"/>
                <w:rPr>
                  <w:rFonts w:eastAsia="Andale Sans UI" w:cs="Tahoma"/>
                  <w:b/>
                  <w:sz w:val="23"/>
                  <w:szCs w:val="23"/>
                  <w:lang w:bidi="en-US"/>
                </w:rPr>
              </w:pPr>
              <w:r>
                <w:rPr>
                  <w:rFonts w:eastAsia="Andale Sans UI" w:cs="Tahoma"/>
                  <w:b/>
                  <w:sz w:val="23"/>
                  <w:szCs w:val="23"/>
                  <w:lang w:bidi="en-US"/>
                </w:rPr>
                <w:t>Adresatų sąrašas:</w:t>
              </w:r>
            </w:p>
            <w:p>
              <w:pPr>
                <w:widowControl w:val="0"/>
                <w:suppressAutoHyphens/>
                <w:rPr>
                  <w:rFonts w:eastAsia="Andale Sans UI" w:cs="Tahoma"/>
                  <w:sz w:val="23"/>
                  <w:szCs w:val="23"/>
                  <w:lang w:bidi="en-US"/>
                </w:rPr>
              </w:pPr>
            </w:p>
          </w:sdtContent>
        </w:sdt>
        <w:sdt>
          <w:sdtPr>
            <w:alias w:val="1 p."/>
            <w:tag w:val="part_abdfa0a945f64d3ea7ff39702606a5d5"/>
            <w:lock w:val="sdtLocked"/>
            <w:richText/>
          </w:sdtPr>
          <w:sdtContent>
            <w:p>
              <w:pPr>
                <w:widowControl w:val="0"/>
                <w:suppressAutoHyphens/>
                <w:ind w:left="720" w:hanging="360"/>
                <w:rPr>
                  <w:rFonts w:eastAsia="Andale Sans UI" w:cs="Tahoma"/>
                  <w:color w:val="000000"/>
                  <w:szCs w:val="24"/>
                  <w:lang w:val="en-US" w:bidi="en-US"/>
                </w:rPr>
              </w:pPr>
              <w:sdt>
                <w:sdtPr>
                  <w:alias w:val="Numeris"/>
                  <w:tag w:val="nr_abdfa0a945f64d3ea7ff39702606a5d5"/>
                  <w:lock w:val="sdtLocked"/>
                  <w:richText/>
                </w:sdtPr>
                <w:sdtContent>
                  <w:r>
                    <w:rPr>
                      <w:rFonts w:eastAsia="Andale Sans UI" w:cs="Tahoma"/>
                      <w:color w:val="000000"/>
                      <w:szCs w:val="24"/>
                      <w:lang w:val="en-US" w:bidi="en-US"/>
                    </w:rPr>
                    <w:t>1</w:t>
                  </w:r>
                </w:sdtContent>
              </w:sdt>
              <w:r>
                <w:rPr>
                  <w:rFonts w:eastAsia="Andale Sans UI" w:cs="Tahoma"/>
                  <w:color w:val="000000"/>
                  <w:szCs w:val="24"/>
                  <w:lang w:val="en-US" w:bidi="en-US"/>
                </w:rPr>
                <w:t>.</w:t>
                <w:tab/>
                <w:t xml:space="preserve">Aplinkos apsaugos agentūra, el. p. </w:t>
              </w:r>
              <w:r>
                <w:rPr>
                  <w:rFonts w:eastAsia="Andale Sans UI" w:cs="Tahoma"/>
                  <w:color w:val="000080"/>
                  <w:szCs w:val="24"/>
                  <w:lang w:val="en-US" w:bidi="en-US"/>
                </w:rPr>
                <w:t>aaa@aaa.am.lt</w:t>
              </w:r>
              <w:r>
                <w:rPr>
                  <w:rFonts w:eastAsia="Andale Sans UI" w:cs="Tahoma"/>
                  <w:color w:val="000000"/>
                  <w:szCs w:val="24"/>
                  <w:lang w:val="en-US" w:bidi="en-US"/>
                </w:rPr>
                <w:t xml:space="preserve"> </w:t>
              </w:r>
            </w:p>
          </w:sdtContent>
        </w:sdt>
        <w:sdt>
          <w:sdtPr>
            <w:alias w:val="2 p."/>
            <w:tag w:val="part_889da88bb8df4aa69a918e751d44ba54"/>
            <w:lock w:val="sdtLocked"/>
            <w:richText/>
          </w:sdtPr>
          <w:sdtContent>
            <w:p>
              <w:pPr>
                <w:widowControl w:val="0"/>
                <w:suppressAutoHyphens/>
                <w:ind w:left="720" w:hanging="360"/>
                <w:rPr>
                  <w:rFonts w:eastAsia="Andale Sans UI" w:cs="Tahoma"/>
                  <w:color w:val="000000"/>
                  <w:szCs w:val="24"/>
                  <w:lang w:val="en-US" w:bidi="en-US"/>
                </w:rPr>
              </w:pPr>
              <w:sdt>
                <w:sdtPr>
                  <w:alias w:val="Numeris"/>
                  <w:tag w:val="nr_889da88bb8df4aa69a918e751d44ba54"/>
                  <w:lock w:val="sdtLocked"/>
                  <w:richText/>
                </w:sdtPr>
                <w:sdtContent>
                  <w:r>
                    <w:rPr>
                      <w:rFonts w:eastAsia="Andale Sans UI" w:cs="Tahoma"/>
                      <w:color w:val="000000"/>
                      <w:szCs w:val="24"/>
                      <w:lang w:val="en-US" w:bidi="en-US"/>
                    </w:rPr>
                    <w:t>2</w:t>
                  </w:r>
                </w:sdtContent>
              </w:sdt>
              <w:r>
                <w:rPr>
                  <w:rFonts w:eastAsia="Andale Sans UI" w:cs="Tahoma"/>
                  <w:color w:val="000000"/>
                  <w:szCs w:val="24"/>
                  <w:lang w:val="en-US" w:bidi="en-US"/>
                </w:rPr>
                <w:t>.</w:t>
                <w:tab/>
              </w:r>
              <w:r>
                <w:rPr>
                  <w:rFonts w:eastAsia="Andale Sans UI" w:cs="Tahoma"/>
                  <w:color w:val="000000"/>
                  <w:szCs w:val="24"/>
                  <w:lang w:val="de-DE" w:bidi="en-US"/>
                </w:rPr>
                <w:t xml:space="preserve">Aplinkos apsaugos departamentas prie Aplinkos ministerijos, el. p. </w:t>
              </w:r>
              <w:r>
                <w:rPr>
                  <w:rFonts w:eastAsia="Andale Sans UI" w:cs="Tahoma"/>
                  <w:color w:val="000080"/>
                  <w:szCs w:val="24"/>
                  <w:lang w:val="en-US" w:bidi="en-US"/>
                </w:rPr>
                <w:t>info@aad.am.lt</w:t>
              </w:r>
            </w:p>
          </w:sdtContent>
        </w:sdt>
        <w:sdt>
          <w:sdtPr>
            <w:alias w:val="3 p."/>
            <w:tag w:val="part_7922bf505ee84aa58c2baa8eb775f453"/>
            <w:lock w:val="sdtLocked"/>
            <w:richText/>
          </w:sdtPr>
          <w:sdtContent>
            <w:p>
              <w:pPr>
                <w:widowControl w:val="0"/>
                <w:suppressAutoHyphens/>
                <w:ind w:left="720" w:hanging="360"/>
                <w:rPr>
                  <w:rFonts w:eastAsia="Andale Sans UI" w:cs="Tahoma"/>
                  <w:color w:val="000000"/>
                  <w:szCs w:val="24"/>
                  <w:lang w:val="de-DE" w:bidi="en-US"/>
                </w:rPr>
              </w:pPr>
              <w:sdt>
                <w:sdtPr>
                  <w:alias w:val="Numeris"/>
                  <w:tag w:val="nr_7922bf505ee84aa58c2baa8eb775f453"/>
                  <w:lock w:val="sdtLocked"/>
                  <w:richText/>
                </w:sdtPr>
                <w:sdtContent>
                  <w:r>
                    <w:rPr>
                      <w:rFonts w:eastAsia="Andale Sans UI" w:cs="Tahoma"/>
                      <w:color w:val="000000"/>
                      <w:szCs w:val="24"/>
                      <w:lang w:val="de-DE" w:bidi="en-US"/>
                    </w:rPr>
                    <w:t>3</w:t>
                  </w:r>
                </w:sdtContent>
              </w:sdt>
              <w:r>
                <w:rPr>
                  <w:rFonts w:eastAsia="Andale Sans UI" w:cs="Tahoma"/>
                  <w:color w:val="000000"/>
                  <w:szCs w:val="24"/>
                  <w:lang w:val="de-DE" w:bidi="en-US"/>
                </w:rPr>
                <w:t>.</w:t>
                <w:tab/>
                <w:t xml:space="preserve">Ekonomikos ir inovacijų ministerija, el. p. </w:t>
              </w:r>
              <w:r>
                <w:rPr>
                  <w:rFonts w:eastAsia="Andale Sans UI" w:cs="Tahoma"/>
                  <w:color w:val="000080"/>
                  <w:szCs w:val="24"/>
                  <w:lang w:val="de-DE" w:bidi="en-US"/>
                </w:rPr>
                <w:t>kanc@eimin.lt</w:t>
              </w:r>
            </w:p>
          </w:sdtContent>
        </w:sdt>
        <w:sdt>
          <w:sdtPr>
            <w:alias w:val="4 p."/>
            <w:tag w:val="part_d5097bacbc4b42d5825c56400cc36c71"/>
            <w:lock w:val="sdtLocked"/>
            <w:richText/>
          </w:sdtPr>
          <w:sdtContent>
            <w:p>
              <w:pPr>
                <w:widowControl w:val="0"/>
                <w:suppressAutoHyphens/>
                <w:ind w:left="720" w:hanging="360"/>
                <w:rPr>
                  <w:rFonts w:eastAsia="Andale Sans UI" w:cs="Tahoma"/>
                  <w:color w:val="000000"/>
                  <w:szCs w:val="24"/>
                  <w:lang w:val="de-DE" w:bidi="en-US"/>
                </w:rPr>
              </w:pPr>
              <w:sdt>
                <w:sdtPr>
                  <w:alias w:val="Numeris"/>
                  <w:tag w:val="nr_d5097bacbc4b42d5825c56400cc36c71"/>
                  <w:lock w:val="sdtLocked"/>
                  <w:richText/>
                </w:sdtPr>
                <w:sdtContent>
                  <w:r>
                    <w:rPr>
                      <w:rFonts w:eastAsia="Andale Sans UI" w:cs="Tahoma"/>
                      <w:color w:val="000000"/>
                      <w:szCs w:val="24"/>
                      <w:lang w:val="de-DE" w:bidi="en-US"/>
                    </w:rPr>
                    <w:t>4</w:t>
                  </w:r>
                </w:sdtContent>
              </w:sdt>
              <w:r>
                <w:rPr>
                  <w:rFonts w:eastAsia="Andale Sans UI" w:cs="Tahoma"/>
                  <w:color w:val="000000"/>
                  <w:szCs w:val="24"/>
                  <w:lang w:val="de-DE" w:bidi="en-US"/>
                </w:rPr>
                <w:t>.</w:t>
                <w:tab/>
                <w:t xml:space="preserve">Teisingumo ministerija el. p. </w:t>
              </w:r>
              <w:r>
                <w:rPr>
                  <w:rFonts w:eastAsia="Andale Sans UI" w:cs="Tahoma"/>
                  <w:color w:val="000080"/>
                  <w:szCs w:val="24"/>
                  <w:lang w:val="de-DE" w:bidi="en-US"/>
                </w:rPr>
                <w:t>rastine@tm.lt</w:t>
              </w:r>
            </w:p>
          </w:sdtContent>
        </w:sdt>
        <w:sdt>
          <w:sdtPr>
            <w:alias w:val="5 p."/>
            <w:tag w:val="part_9c070ac3005543c2b43a6212800f6840"/>
            <w:lock w:val="sdtLocked"/>
            <w:richText/>
          </w:sdtPr>
          <w:sdtContent>
            <w:p>
              <w:pPr>
                <w:widowControl w:val="0"/>
                <w:suppressAutoHyphens/>
                <w:ind w:left="720" w:hanging="360"/>
                <w:rPr>
                  <w:rFonts w:eastAsia="Andale Sans UI" w:cs="Tahoma"/>
                  <w:color w:val="000000"/>
                  <w:szCs w:val="24"/>
                  <w:lang w:val="de-DE" w:bidi="en-US"/>
                </w:rPr>
              </w:pPr>
              <w:sdt>
                <w:sdtPr>
                  <w:alias w:val="Numeris"/>
                  <w:tag w:val="nr_9c070ac3005543c2b43a6212800f6840"/>
                  <w:lock w:val="sdtLocked"/>
                  <w:richText/>
                </w:sdtPr>
                <w:sdtContent>
                  <w:r>
                    <w:rPr>
                      <w:rFonts w:eastAsia="Andale Sans UI" w:cs="Tahoma"/>
                      <w:color w:val="000000"/>
                      <w:szCs w:val="24"/>
                      <w:lang w:val="de-DE" w:bidi="en-US"/>
                    </w:rPr>
                    <w:t>5</w:t>
                  </w:r>
                </w:sdtContent>
              </w:sdt>
              <w:r>
                <w:rPr>
                  <w:rFonts w:eastAsia="Andale Sans UI" w:cs="Tahoma"/>
                  <w:color w:val="000000"/>
                  <w:szCs w:val="24"/>
                  <w:lang w:val="de-DE" w:bidi="en-US"/>
                </w:rPr>
                <w:t>.</w:t>
                <w:tab/>
                <w:t xml:space="preserve">Žemės ūkio ministerija, el. p. </w:t>
              </w:r>
              <w:r>
                <w:rPr>
                  <w:rFonts w:eastAsia="Andale Sans UI" w:cs="Tahoma"/>
                  <w:color w:val="000080"/>
                  <w:szCs w:val="24"/>
                  <w:lang w:val="de-DE" w:bidi="en-US"/>
                </w:rPr>
                <w:t>zum@zum.lt</w:t>
              </w:r>
            </w:p>
          </w:sdtContent>
        </w:sdt>
        <w:sdt>
          <w:sdtPr>
            <w:alias w:val="6 p."/>
            <w:tag w:val="part_a62753ce103745dbbb380dfb6dc0f747"/>
            <w:lock w:val="sdtLocked"/>
            <w:richText/>
          </w:sdtPr>
          <w:sdtContent>
            <w:p>
              <w:pPr>
                <w:widowControl w:val="0"/>
                <w:suppressAutoHyphens/>
                <w:ind w:left="720" w:hanging="360"/>
                <w:rPr>
                  <w:rFonts w:eastAsia="Andale Sans UI" w:cs="Tahoma"/>
                  <w:color w:val="000000"/>
                  <w:szCs w:val="24"/>
                  <w:lang w:val="de-DE" w:bidi="en-US"/>
                </w:rPr>
              </w:pPr>
              <w:sdt>
                <w:sdtPr>
                  <w:alias w:val="Numeris"/>
                  <w:tag w:val="nr_a62753ce103745dbbb380dfb6dc0f747"/>
                  <w:lock w:val="sdtLocked"/>
                  <w:richText/>
                </w:sdtPr>
                <w:sdtContent>
                  <w:r>
                    <w:rPr>
                      <w:rFonts w:eastAsia="Andale Sans UI" w:cs="Tahoma"/>
                      <w:color w:val="000000"/>
                      <w:szCs w:val="24"/>
                      <w:lang w:val="de-DE" w:bidi="en-US"/>
                    </w:rPr>
                    <w:t>6</w:t>
                  </w:r>
                </w:sdtContent>
              </w:sdt>
              <w:r>
                <w:rPr>
                  <w:rFonts w:eastAsia="Andale Sans UI" w:cs="Tahoma"/>
                  <w:color w:val="000000"/>
                  <w:szCs w:val="24"/>
                  <w:lang w:val="de-DE" w:bidi="en-US"/>
                </w:rPr>
                <w:t>.</w:t>
                <w:tab/>
                <w:t xml:space="preserve">Energetikos ministerija, el. p. </w:t>
              </w:r>
              <w:r>
                <w:rPr>
                  <w:rFonts w:eastAsia="Andale Sans UI" w:cs="Tahoma"/>
                  <w:color w:val="000080"/>
                  <w:szCs w:val="24"/>
                  <w:lang w:val="de-DE" w:bidi="en-US"/>
                </w:rPr>
                <w:t>info@enmin.lt</w:t>
              </w:r>
            </w:p>
          </w:sdtContent>
        </w:sdt>
        <w:sdt>
          <w:sdtPr>
            <w:alias w:val="7 p."/>
            <w:tag w:val="part_84adbc5eaad145f5ab4a4fa1fd27a690"/>
            <w:lock w:val="sdtLocked"/>
            <w:richText/>
          </w:sdtPr>
          <w:sdtContent>
            <w:p>
              <w:pPr>
                <w:widowControl w:val="0"/>
                <w:suppressAutoHyphens/>
                <w:ind w:left="720" w:hanging="360"/>
                <w:rPr>
                  <w:rFonts w:eastAsia="Andale Sans UI" w:cs="Tahoma"/>
                  <w:color w:val="000000"/>
                  <w:szCs w:val="24"/>
                  <w:lang w:val="de-DE" w:bidi="en-US"/>
                </w:rPr>
              </w:pPr>
              <w:sdt>
                <w:sdtPr>
                  <w:alias w:val="Numeris"/>
                  <w:tag w:val="nr_84adbc5eaad145f5ab4a4fa1fd27a690"/>
                  <w:lock w:val="sdtLocked"/>
                  <w:richText/>
                </w:sdtPr>
                <w:sdtContent>
                  <w:r>
                    <w:rPr>
                      <w:rFonts w:eastAsia="Andale Sans UI" w:cs="Tahoma"/>
                      <w:color w:val="000000"/>
                      <w:szCs w:val="24"/>
                      <w:lang w:val="de-DE" w:bidi="en-US"/>
                    </w:rPr>
                    <w:t>7</w:t>
                  </w:r>
                </w:sdtContent>
              </w:sdt>
              <w:r>
                <w:rPr>
                  <w:rFonts w:eastAsia="Andale Sans UI" w:cs="Tahoma"/>
                  <w:color w:val="000000"/>
                  <w:szCs w:val="24"/>
                  <w:lang w:val="de-DE" w:bidi="en-US"/>
                </w:rPr>
                <w:t>.</w:t>
                <w:tab/>
              </w:r>
              <w:r>
                <w:rPr>
                  <w:rFonts w:eastAsia="Andale Sans UI" w:cs="Tahoma"/>
                  <w:szCs w:val="24"/>
                  <w:lang w:val="de-DE" w:bidi="en-US"/>
                </w:rPr>
                <w:t>Vidaus reikalų ministerija</w:t>
              </w:r>
              <w:r>
                <w:rPr>
                  <w:rFonts w:eastAsia="Andale Sans UI" w:cs="Tahoma"/>
                  <w:color w:val="000080"/>
                  <w:szCs w:val="24"/>
                  <w:lang w:val="de-DE" w:bidi="en-US"/>
                </w:rPr>
                <w:t xml:space="preserve">, </w:t>
              </w:r>
              <w:r>
                <w:rPr>
                  <w:rFonts w:eastAsia="Andale Sans UI" w:cs="Tahoma"/>
                  <w:szCs w:val="24"/>
                  <w:lang w:val="de-DE" w:bidi="en-US"/>
                </w:rPr>
                <w:t xml:space="preserve">el. p. </w:t>
              </w:r>
              <w:r>
                <w:rPr>
                  <w:rFonts w:eastAsia="Andale Sans UI" w:cs="Tahoma"/>
                  <w:color w:val="000080"/>
                  <w:szCs w:val="24"/>
                  <w:lang w:val="de-DE" w:bidi="en-US"/>
                </w:rPr>
                <w:t>bendrasis@vrm.lt</w:t>
              </w:r>
            </w:p>
          </w:sdtContent>
        </w:sdt>
        <w:sdt>
          <w:sdtPr>
            <w:alias w:val="8 p."/>
            <w:tag w:val="part_589af90d3aac4a6d80556e8d72eb5080"/>
            <w:lock w:val="sdtLocked"/>
            <w:richText/>
          </w:sdtPr>
          <w:sdtContent>
            <w:p>
              <w:pPr>
                <w:widowControl w:val="0"/>
                <w:suppressAutoHyphens/>
                <w:ind w:left="720" w:hanging="360"/>
                <w:rPr>
                  <w:rFonts w:eastAsia="Andale Sans UI" w:cs="Tahoma"/>
                  <w:color w:val="000000"/>
                  <w:szCs w:val="24"/>
                  <w:lang w:val="de-DE" w:bidi="en-US"/>
                </w:rPr>
              </w:pPr>
              <w:sdt>
                <w:sdtPr>
                  <w:alias w:val="Numeris"/>
                  <w:tag w:val="nr_589af90d3aac4a6d80556e8d72eb5080"/>
                  <w:lock w:val="sdtLocked"/>
                  <w:richText/>
                </w:sdtPr>
                <w:sdtContent>
                  <w:r>
                    <w:rPr>
                      <w:rFonts w:eastAsia="Andale Sans UI" w:cs="Tahoma"/>
                      <w:color w:val="000000"/>
                      <w:szCs w:val="24"/>
                      <w:lang w:val="de-DE" w:bidi="en-US"/>
                    </w:rPr>
                    <w:t>8</w:t>
                  </w:r>
                </w:sdtContent>
              </w:sdt>
              <w:r>
                <w:rPr>
                  <w:rFonts w:eastAsia="Andale Sans UI" w:cs="Tahoma"/>
                  <w:color w:val="000000"/>
                  <w:szCs w:val="24"/>
                  <w:lang w:val="de-DE" w:bidi="en-US"/>
                </w:rPr>
                <w:t>.</w:t>
                <w:tab/>
                <w:t xml:space="preserve"> Sveikatos apsaugos ministerija, </w:t>
              </w:r>
              <w:r>
                <w:rPr>
                  <w:rFonts w:eastAsia="Andale Sans UI" w:cs="Tahoma"/>
                  <w:szCs w:val="24"/>
                  <w:lang w:val="de-DE" w:bidi="en-US"/>
                </w:rPr>
                <w:t xml:space="preserve">el. p. </w:t>
              </w:r>
              <w:r>
                <w:rPr>
                  <w:rFonts w:eastAsia="Andale Sans UI" w:cs="Tahoma"/>
                  <w:color w:val="000080"/>
                  <w:szCs w:val="24"/>
                  <w:lang w:val="de-DE" w:bidi="en-US"/>
                </w:rPr>
                <w:t>ministerija@sam.lt</w:t>
              </w:r>
            </w:p>
          </w:sdtContent>
        </w:sdt>
        <w:sdt>
          <w:sdtPr>
            <w:alias w:val="9 p."/>
            <w:tag w:val="part_72c809db64c140d9a78384f684448c01"/>
            <w:lock w:val="sdtLocked"/>
            <w:richText/>
          </w:sdtPr>
          <w:sdtContent>
            <w:p>
              <w:pPr>
                <w:widowControl w:val="0"/>
                <w:suppressAutoHyphens/>
                <w:ind w:left="720" w:hanging="360"/>
                <w:rPr>
                  <w:rFonts w:eastAsia="Andale Sans UI" w:cs="Tahoma"/>
                  <w:color w:val="000000"/>
                  <w:szCs w:val="24"/>
                  <w:lang w:bidi="en-US"/>
                </w:rPr>
              </w:pPr>
              <w:sdt>
                <w:sdtPr>
                  <w:alias w:val="Numeris"/>
                  <w:tag w:val="nr_72c809db64c140d9a78384f684448c01"/>
                  <w:lock w:val="sdtLocked"/>
                  <w:richText/>
                </w:sdtPr>
                <w:sdtContent>
                  <w:r>
                    <w:rPr>
                      <w:rFonts w:eastAsia="Andale Sans UI" w:cs="Tahoma"/>
                      <w:color w:val="000000"/>
                      <w:szCs w:val="24"/>
                      <w:lang w:bidi="en-US"/>
                    </w:rPr>
                    <w:t>9</w:t>
                  </w:r>
                </w:sdtContent>
              </w:sdt>
              <w:r>
                <w:rPr>
                  <w:rFonts w:eastAsia="Andale Sans UI" w:cs="Tahoma"/>
                  <w:color w:val="000000"/>
                  <w:szCs w:val="24"/>
                  <w:lang w:bidi="en-US"/>
                </w:rPr>
                <w:t>.</w:t>
                <w:tab/>
              </w:r>
              <w:r>
                <w:rPr>
                  <w:rFonts w:eastAsia="Andale Sans UI" w:cs="Tahoma"/>
                  <w:color w:val="000000"/>
                  <w:szCs w:val="24"/>
                  <w:lang w:val="de-DE" w:bidi="en-US"/>
                </w:rPr>
                <w:t xml:space="preserve"> Lietuvos regionini</w:t>
              </w:r>
              <w:r>
                <w:rPr>
                  <w:rFonts w:eastAsia="Andale Sans UI" w:cs="Tahoma"/>
                  <w:color w:val="000000"/>
                  <w:szCs w:val="24"/>
                  <w:lang w:bidi="en-US"/>
                </w:rPr>
                <w:t xml:space="preserve">ų atliekų tvarkymo centrų asociacija, el. p. </w:t>
              </w:r>
              <w:r>
                <w:rPr>
                  <w:rFonts w:eastAsia="Andale Sans UI" w:cs="Tahoma"/>
                  <w:color w:val="000080"/>
                  <w:szCs w:val="24"/>
                  <w:lang w:bidi="en-US"/>
                </w:rPr>
                <w:t>lratca10@gmail.com</w:t>
              </w:r>
            </w:p>
          </w:sdtContent>
        </w:sdt>
        <w:sdt>
          <w:sdtPr>
            <w:alias w:val="10 p."/>
            <w:tag w:val="part_3f7b6ae6ef7a4872b494c34d36d275d2"/>
            <w:lock w:val="sdtLocked"/>
            <w:richText/>
          </w:sdtPr>
          <w:sdtContent>
            <w:p>
              <w:pPr>
                <w:widowControl w:val="0"/>
                <w:suppressAutoHyphens/>
                <w:ind w:left="720" w:hanging="360"/>
                <w:rPr>
                  <w:rFonts w:eastAsia="Andale Sans UI" w:cs="Tahoma"/>
                  <w:color w:val="000000"/>
                  <w:szCs w:val="24"/>
                  <w:lang w:val="en-US" w:bidi="en-US"/>
                </w:rPr>
              </w:pPr>
              <w:sdt>
                <w:sdtPr>
                  <w:alias w:val="Numeris"/>
                  <w:tag w:val="nr_3f7b6ae6ef7a4872b494c34d36d275d2"/>
                  <w:lock w:val="sdtLocked"/>
                  <w:richText/>
                </w:sdtPr>
                <w:sdtContent>
                  <w:r>
                    <w:rPr>
                      <w:rFonts w:eastAsia="Andale Sans UI" w:cs="Tahoma"/>
                      <w:color w:val="000000"/>
                      <w:szCs w:val="24"/>
                      <w:lang w:val="en-US" w:bidi="en-US"/>
                    </w:rPr>
                    <w:t>10</w:t>
                  </w:r>
                </w:sdtContent>
              </w:sdt>
              <w:r>
                <w:rPr>
                  <w:rFonts w:eastAsia="Andale Sans UI" w:cs="Tahoma"/>
                  <w:color w:val="000000"/>
                  <w:szCs w:val="24"/>
                  <w:lang w:val="en-US" w:bidi="en-US"/>
                </w:rPr>
                <w:t>.</w:t>
                <w:tab/>
              </w:r>
              <w:r>
                <w:rPr>
                  <w:rFonts w:eastAsia="Andale Sans UI" w:cs="Tahoma"/>
                  <w:color w:val="000000"/>
                  <w:szCs w:val="24"/>
                  <w:lang w:bidi="en-US"/>
                </w:rPr>
                <w:t xml:space="preserve">Lietuvos komunalininkų ir atliekų tvarkytojų asociacija, el. p. </w:t>
              </w:r>
              <w:r>
                <w:rPr>
                  <w:rFonts w:eastAsia="Andale Sans UI" w:cs="Tahoma"/>
                  <w:color w:val="000080"/>
                  <w:szCs w:val="24"/>
                  <w:lang w:val="en-US" w:bidi="en-US"/>
                </w:rPr>
                <w:t>info@lkata.lt</w:t>
              </w:r>
            </w:p>
          </w:sdtContent>
        </w:sdt>
        <w:sdt>
          <w:sdtPr>
            <w:alias w:val="11 p."/>
            <w:tag w:val="part_b9b87dc2084c4eacb1785618a2867876"/>
            <w:lock w:val="sdtLocked"/>
            <w:richText/>
          </w:sdtPr>
          <w:sdtContent>
            <w:p>
              <w:pPr>
                <w:widowControl w:val="0"/>
                <w:suppressAutoHyphens/>
                <w:ind w:left="720" w:hanging="360"/>
                <w:rPr>
                  <w:rFonts w:eastAsia="Andale Sans UI" w:cs="Tahoma"/>
                  <w:color w:val="000000"/>
                  <w:szCs w:val="24"/>
                  <w:lang w:val="en-US" w:bidi="en-US"/>
                </w:rPr>
              </w:pPr>
              <w:sdt>
                <w:sdtPr>
                  <w:alias w:val="Numeris"/>
                  <w:tag w:val="nr_b9b87dc2084c4eacb1785618a2867876"/>
                  <w:lock w:val="sdtLocked"/>
                  <w:richText/>
                </w:sdtPr>
                <w:sdtContent>
                  <w:r>
                    <w:rPr>
                      <w:rFonts w:eastAsia="Andale Sans UI" w:cs="Tahoma"/>
                      <w:color w:val="000000"/>
                      <w:szCs w:val="24"/>
                      <w:lang w:val="en-US" w:bidi="en-US"/>
                    </w:rPr>
                    <w:t>11</w:t>
                  </w:r>
                </w:sdtContent>
              </w:sdt>
              <w:r>
                <w:rPr>
                  <w:rFonts w:eastAsia="Andale Sans UI" w:cs="Tahoma"/>
                  <w:color w:val="000000"/>
                  <w:szCs w:val="24"/>
                  <w:lang w:val="en-US" w:bidi="en-US"/>
                </w:rPr>
                <w:t>.</w:t>
                <w:tab/>
                <w:t xml:space="preserve">Lietuvos savivaldybių asociacija, el. p. </w:t>
              </w:r>
              <w:r>
                <w:rPr>
                  <w:rFonts w:eastAsia="Andale Sans UI" w:cs="Tahoma"/>
                  <w:color w:val="000080"/>
                  <w:szCs w:val="24"/>
                  <w:lang w:val="en-US" w:bidi="en-US"/>
                </w:rPr>
                <w:t>bendras@lsa.lt</w:t>
              </w:r>
              <w:r>
                <w:rPr>
                  <w:rFonts w:eastAsia="Andale Sans UI" w:cs="Tahoma"/>
                  <w:color w:val="000000"/>
                  <w:szCs w:val="24"/>
                  <w:lang w:val="en-US" w:bidi="en-US"/>
                </w:rPr>
                <w:t xml:space="preserve"> </w:t>
              </w:r>
            </w:p>
          </w:sdtContent>
        </w:sdt>
        <w:sdt>
          <w:sdtPr>
            <w:alias w:val="12 p."/>
            <w:tag w:val="part_91ffe99a187a4324b2ee29a02abc7b6d"/>
            <w:lock w:val="sdtLocked"/>
            <w:richText/>
          </w:sdtPr>
          <w:sdtContent>
            <w:p>
              <w:pPr>
                <w:widowControl w:val="0"/>
                <w:suppressAutoHyphens/>
                <w:ind w:left="720" w:hanging="360"/>
                <w:rPr>
                  <w:rFonts w:eastAsia="Andale Sans UI" w:cs="Tahoma"/>
                  <w:color w:val="000000"/>
                  <w:szCs w:val="24"/>
                  <w:lang w:val="en-US" w:bidi="en-US"/>
                </w:rPr>
              </w:pPr>
              <w:sdt>
                <w:sdtPr>
                  <w:alias w:val="Numeris"/>
                  <w:tag w:val="nr_91ffe99a187a4324b2ee29a02abc7b6d"/>
                  <w:lock w:val="sdtLocked"/>
                  <w:richText/>
                </w:sdtPr>
                <w:sdtContent>
                  <w:r>
                    <w:rPr>
                      <w:rFonts w:eastAsia="Andale Sans UI" w:cs="Tahoma"/>
                      <w:color w:val="000000"/>
                      <w:szCs w:val="24"/>
                      <w:lang w:val="en-US" w:bidi="en-US"/>
                    </w:rPr>
                    <w:t>12</w:t>
                  </w:r>
                </w:sdtContent>
              </w:sdt>
              <w:r>
                <w:rPr>
                  <w:rFonts w:eastAsia="Andale Sans UI" w:cs="Tahoma"/>
                  <w:color w:val="000000"/>
                  <w:szCs w:val="24"/>
                  <w:lang w:val="en-US" w:bidi="en-US"/>
                </w:rPr>
                <w:t>.</w:t>
                <w:tab/>
                <w:t xml:space="preserve">Savivaldybių komunalinių įmonių asociacija, el. p. </w:t>
              </w:r>
              <w:r>
                <w:rPr>
                  <w:rFonts w:eastAsia="Andale Sans UI" w:cs="Tahoma"/>
                  <w:color w:val="000080"/>
                  <w:szCs w:val="24"/>
                  <w:lang w:val="en-US" w:bidi="en-US"/>
                </w:rPr>
                <w:t>info@skia.lt</w:t>
              </w:r>
              <w:r>
                <w:rPr>
                  <w:rFonts w:eastAsia="Andale Sans UI" w:cs="Tahoma"/>
                  <w:color w:val="000000"/>
                  <w:szCs w:val="24"/>
                  <w:lang w:val="en-US" w:bidi="en-US"/>
                </w:rPr>
                <w:t xml:space="preserve"> </w:t>
              </w:r>
            </w:p>
          </w:sdtContent>
        </w:sdt>
        <w:sdt>
          <w:sdtPr>
            <w:alias w:val="13 p."/>
            <w:tag w:val="part_ee0d950e41f94116b87e6b523ef75a11"/>
            <w:lock w:val="sdtLocked"/>
            <w:richText/>
          </w:sdtPr>
          <w:sdtContent>
            <w:p>
              <w:pPr>
                <w:widowControl w:val="0"/>
                <w:suppressAutoHyphens/>
                <w:ind w:left="720" w:hanging="360"/>
                <w:rPr>
                  <w:rFonts w:eastAsia="Andale Sans UI" w:cs="Tahoma"/>
                  <w:color w:val="000000"/>
                  <w:szCs w:val="24"/>
                  <w:lang w:val="en-US" w:bidi="en-US"/>
                </w:rPr>
              </w:pPr>
              <w:sdt>
                <w:sdtPr>
                  <w:alias w:val="Numeris"/>
                  <w:tag w:val="nr_ee0d950e41f94116b87e6b523ef75a11"/>
                  <w:lock w:val="sdtLocked"/>
                  <w:richText/>
                </w:sdtPr>
                <w:sdtContent>
                  <w:r>
                    <w:rPr>
                      <w:rFonts w:eastAsia="Andale Sans UI" w:cs="Tahoma"/>
                      <w:color w:val="000000"/>
                      <w:szCs w:val="24"/>
                      <w:lang w:val="en-US" w:bidi="en-US"/>
                    </w:rPr>
                    <w:t>13</w:t>
                  </w:r>
                </w:sdtContent>
              </w:sdt>
              <w:r>
                <w:rPr>
                  <w:rFonts w:eastAsia="Andale Sans UI" w:cs="Tahoma"/>
                  <w:color w:val="000000"/>
                  <w:szCs w:val="24"/>
                  <w:lang w:val="en-US" w:bidi="en-US"/>
                </w:rPr>
                <w:t>.</w:t>
                <w:tab/>
              </w:r>
              <w:r>
                <w:rPr>
                  <w:szCs w:val="24"/>
                  <w:lang w:bidi="en-US"/>
                </w:rPr>
                <w:t xml:space="preserve">Atliekų tvarkytojų ir turėtojų asociacija, el. p. </w:t>
              </w:r>
              <w:r>
                <w:rPr>
                  <w:rFonts w:eastAsia="Andale Sans UI"/>
                  <w:color w:val="000000"/>
                  <w:szCs w:val="22"/>
                  <w:shd w:val="clear" w:color="auto" w:fill="FFFFFF"/>
                  <w:lang w:bidi="en-US"/>
                </w:rPr>
                <w:t>attasociacija@gmail.com</w:t>
              </w:r>
            </w:p>
          </w:sdtContent>
        </w:sdt>
        <w:sdt>
          <w:sdtPr>
            <w:alias w:val="14 p."/>
            <w:tag w:val="part_ae663895cb2a4f938de17a87efcf4b3c"/>
            <w:lock w:val="sdtLocked"/>
            <w:richText/>
          </w:sdtPr>
          <w:sdtContent>
            <w:p>
              <w:pPr>
                <w:widowControl w:val="0"/>
                <w:suppressAutoHyphens/>
                <w:ind w:left="720" w:hanging="360"/>
                <w:rPr>
                  <w:rFonts w:eastAsia="Andale Sans UI" w:cs="Tahoma"/>
                  <w:color w:val="000000"/>
                  <w:szCs w:val="24"/>
                  <w:lang w:val="en-US" w:bidi="en-US"/>
                </w:rPr>
              </w:pPr>
              <w:sdt>
                <w:sdtPr>
                  <w:alias w:val="Numeris"/>
                  <w:tag w:val="nr_ae663895cb2a4f938de17a87efcf4b3c"/>
                  <w:lock w:val="sdtLocked"/>
                  <w:richText/>
                </w:sdtPr>
                <w:sdtContent>
                  <w:r>
                    <w:rPr>
                      <w:rFonts w:eastAsia="Andale Sans UI" w:cs="Tahoma"/>
                      <w:color w:val="000000"/>
                      <w:szCs w:val="24"/>
                      <w:lang w:val="en-US" w:bidi="en-US"/>
                    </w:rPr>
                    <w:t>14</w:t>
                  </w:r>
                </w:sdtContent>
              </w:sdt>
              <w:r>
                <w:rPr>
                  <w:rFonts w:eastAsia="Andale Sans UI" w:cs="Tahoma"/>
                  <w:color w:val="000000"/>
                  <w:szCs w:val="24"/>
                  <w:lang w:val="en-US" w:bidi="en-US"/>
                </w:rPr>
                <w:t>.</w:t>
                <w:tab/>
                <w:t xml:space="preserve">Lietuvos prekybos, pramonės ir amatų rūmų asociacija, el. p. </w:t>
              </w:r>
              <w:r>
                <w:rPr>
                  <w:rFonts w:eastAsia="Andale Sans UI" w:cs="Tahoma"/>
                  <w:color w:val="000080"/>
                  <w:szCs w:val="24"/>
                  <w:lang w:val="en-US" w:bidi="en-US"/>
                </w:rPr>
                <w:t>info@chambers.lt</w:t>
              </w:r>
            </w:p>
          </w:sdtContent>
        </w:sdt>
        <w:sdt>
          <w:sdtPr>
            <w:alias w:val="15 p."/>
            <w:tag w:val="part_e11377557e604a1cbf33ab38632e32fc"/>
            <w:lock w:val="sdtLocked"/>
            <w:richText/>
          </w:sdtPr>
          <w:sdtContent>
            <w:p>
              <w:pPr>
                <w:widowControl w:val="0"/>
                <w:suppressAutoHyphens/>
                <w:ind w:left="720" w:hanging="360"/>
                <w:rPr>
                  <w:rFonts w:eastAsia="Andale Sans UI" w:cs="Tahoma"/>
                  <w:color w:val="000000"/>
                  <w:szCs w:val="24"/>
                  <w:lang w:val="de-DE" w:bidi="en-US"/>
                </w:rPr>
              </w:pPr>
              <w:sdt>
                <w:sdtPr>
                  <w:alias w:val="Numeris"/>
                  <w:tag w:val="nr_e11377557e604a1cbf33ab38632e32fc"/>
                  <w:lock w:val="sdtLocked"/>
                  <w:richText/>
                </w:sdtPr>
                <w:sdtContent>
                  <w:r>
                    <w:rPr>
                      <w:rFonts w:eastAsia="Andale Sans UI" w:cs="Tahoma"/>
                      <w:color w:val="000000"/>
                      <w:szCs w:val="24"/>
                      <w:lang w:val="de-DE" w:bidi="en-US"/>
                    </w:rPr>
                    <w:t>15</w:t>
                  </w:r>
                </w:sdtContent>
              </w:sdt>
              <w:r>
                <w:rPr>
                  <w:rFonts w:eastAsia="Andale Sans UI" w:cs="Tahoma"/>
                  <w:color w:val="000000"/>
                  <w:szCs w:val="24"/>
                  <w:lang w:val="de-DE" w:bidi="en-US"/>
                </w:rPr>
                <w:t>.</w:t>
                <w:tab/>
                <w:t xml:space="preserve">Lietuvos </w:t>
              </w:r>
              <w:r>
                <w:rPr>
                  <w:rFonts w:eastAsia="Andale Sans UI" w:cs="Tahoma"/>
                  <w:szCs w:val="24"/>
                  <w:lang w:val="de-DE" w:bidi="en-US"/>
                </w:rPr>
                <w:t>verslo</w:t>
              </w:r>
              <w:r>
                <w:rPr>
                  <w:rFonts w:eastAsia="Andale Sans UI" w:cs="Tahoma"/>
                  <w:color w:val="000000"/>
                  <w:szCs w:val="24"/>
                  <w:lang w:val="de-DE" w:bidi="en-US"/>
                </w:rPr>
                <w:t xml:space="preserve"> konfederacija, el. p. </w:t>
              </w:r>
              <w:r>
                <w:rPr>
                  <w:rFonts w:eastAsia="Andale Sans UI" w:cs="Tahoma"/>
                  <w:color w:val="000080"/>
                  <w:szCs w:val="24"/>
                  <w:u w:val="single"/>
                  <w:lang w:val="de-DE" w:bidi="en-US"/>
                </w:rPr>
                <w:t>info@lvk.lt</w:t>
              </w:r>
              <w:r>
                <w:rPr>
                  <w:rFonts w:eastAsia="Andale Sans UI" w:cs="Tahoma"/>
                  <w:color w:val="000000"/>
                  <w:szCs w:val="24"/>
                  <w:lang w:val="de-DE" w:bidi="en-US"/>
                </w:rPr>
                <w:t xml:space="preserve">   </w:t>
              </w:r>
            </w:p>
          </w:sdtContent>
        </w:sdt>
        <w:sdt>
          <w:sdtPr>
            <w:alias w:val="16 p."/>
            <w:tag w:val="part_788182ad8415490f9bf81f87f9160be6"/>
            <w:lock w:val="sdtLocked"/>
            <w:richText/>
          </w:sdtPr>
          <w:sdtContent>
            <w:p>
              <w:pPr>
                <w:widowControl w:val="0"/>
                <w:suppressAutoHyphens/>
                <w:ind w:left="720" w:hanging="360"/>
                <w:rPr>
                  <w:rFonts w:eastAsia="Andale Sans UI" w:cs="Tahoma"/>
                  <w:color w:val="000000"/>
                  <w:szCs w:val="24"/>
                  <w:lang w:val="en-US" w:bidi="en-US"/>
                </w:rPr>
              </w:pPr>
              <w:sdt>
                <w:sdtPr>
                  <w:alias w:val="Numeris"/>
                  <w:tag w:val="nr_788182ad8415490f9bf81f87f9160be6"/>
                  <w:lock w:val="sdtLocked"/>
                  <w:richText/>
                </w:sdtPr>
                <w:sdtContent>
                  <w:r>
                    <w:rPr>
                      <w:rFonts w:eastAsia="Andale Sans UI" w:cs="Tahoma"/>
                      <w:color w:val="000000"/>
                      <w:szCs w:val="24"/>
                      <w:lang w:val="en-US" w:bidi="en-US"/>
                    </w:rPr>
                    <w:t>16</w:t>
                  </w:r>
                </w:sdtContent>
              </w:sdt>
              <w:r>
                <w:rPr>
                  <w:rFonts w:eastAsia="Andale Sans UI" w:cs="Tahoma"/>
                  <w:color w:val="000000"/>
                  <w:szCs w:val="24"/>
                  <w:lang w:val="en-US" w:bidi="en-US"/>
                </w:rPr>
                <w:t>.</w:t>
                <w:tab/>
                <w:t xml:space="preserve">Lietuvos pramonininkų konfederacija, el. p. </w:t>
              </w:r>
              <w:r>
                <w:rPr>
                  <w:rFonts w:eastAsia="Andale Sans UI" w:cs="Tahoma"/>
                  <w:color w:val="000080"/>
                  <w:szCs w:val="24"/>
                  <w:lang w:val="en-US" w:bidi="en-US"/>
                </w:rPr>
                <w:t>sekretoriatas@lpk.lt</w:t>
              </w:r>
              <w:r>
                <w:rPr>
                  <w:rFonts w:eastAsia="Andale Sans UI" w:cs="Tahoma"/>
                  <w:color w:val="000000"/>
                  <w:szCs w:val="24"/>
                  <w:lang w:val="en-US" w:bidi="en-US"/>
                </w:rPr>
                <w:t xml:space="preserve"> </w:t>
              </w:r>
            </w:p>
          </w:sdtContent>
        </w:sdt>
        <w:sdt>
          <w:sdtPr>
            <w:alias w:val="17 p."/>
            <w:tag w:val="part_6775a980a99a4e358375cb4037037dfb"/>
            <w:lock w:val="sdtLocked"/>
            <w:richText/>
          </w:sdtPr>
          <w:sdtContent>
            <w:p>
              <w:pPr>
                <w:widowControl w:val="0"/>
                <w:suppressAutoHyphens/>
                <w:ind w:left="720" w:hanging="360"/>
                <w:rPr>
                  <w:rFonts w:eastAsia="Andale Sans UI" w:cs="Tahoma"/>
                  <w:color w:val="000000"/>
                  <w:szCs w:val="24"/>
                  <w:lang w:val="en-US" w:bidi="en-US"/>
                </w:rPr>
              </w:pPr>
              <w:sdt>
                <w:sdtPr>
                  <w:alias w:val="Numeris"/>
                  <w:tag w:val="nr_6775a980a99a4e358375cb4037037dfb"/>
                  <w:lock w:val="sdtLocked"/>
                  <w:richText/>
                </w:sdtPr>
                <w:sdtContent>
                  <w:r>
                    <w:rPr>
                      <w:rFonts w:eastAsia="Andale Sans UI" w:cs="Tahoma"/>
                      <w:color w:val="000000"/>
                      <w:szCs w:val="24"/>
                      <w:lang w:val="en-US" w:bidi="en-US"/>
                    </w:rPr>
                    <w:t>17</w:t>
                  </w:r>
                </w:sdtContent>
              </w:sdt>
              <w:r>
                <w:rPr>
                  <w:rFonts w:eastAsia="Andale Sans UI" w:cs="Tahoma"/>
                  <w:color w:val="000000"/>
                  <w:szCs w:val="24"/>
                  <w:lang w:val="en-US" w:bidi="en-US"/>
                </w:rPr>
                <w:t>.</w:t>
                <w:tab/>
                <w:t xml:space="preserve">Lietuvos pavojingųjų atliekų tvarkytojų asociacija, el. p. </w:t>
              </w:r>
              <w:r>
                <w:rPr>
                  <w:rFonts w:eastAsia="Andale Sans UI" w:cs="Tahoma"/>
                  <w:color w:val="000080"/>
                  <w:szCs w:val="24"/>
                  <w:u w:val="single"/>
                  <w:lang w:bidi="en-US"/>
                </w:rPr>
                <w:t>info@patva.lt</w:t>
              </w:r>
            </w:p>
          </w:sdtContent>
        </w:sdt>
        <w:sdt>
          <w:sdtPr>
            <w:alias w:val="18 p."/>
            <w:tag w:val="part_f8665c1c853d43a9804763fcd79fbb4a"/>
            <w:lock w:val="sdtLocked"/>
            <w:richText/>
          </w:sdtPr>
          <w:sdtContent>
            <w:p>
              <w:pPr>
                <w:widowControl w:val="0"/>
                <w:suppressAutoHyphens/>
                <w:ind w:left="720" w:hanging="360"/>
                <w:rPr>
                  <w:rFonts w:eastAsia="Andale Sans UI" w:cs="Tahoma"/>
                  <w:color w:val="000000"/>
                  <w:szCs w:val="24"/>
                  <w:lang w:val="de-DE" w:bidi="en-US"/>
                </w:rPr>
              </w:pPr>
              <w:sdt>
                <w:sdtPr>
                  <w:alias w:val="Numeris"/>
                  <w:tag w:val="nr_f8665c1c853d43a9804763fcd79fbb4a"/>
                  <w:lock w:val="sdtLocked"/>
                  <w:richText/>
                </w:sdtPr>
                <w:sdtContent>
                  <w:r>
                    <w:rPr>
                      <w:rFonts w:eastAsia="Andale Sans UI" w:cs="Tahoma"/>
                      <w:color w:val="000000"/>
                      <w:szCs w:val="24"/>
                      <w:lang w:val="de-DE" w:bidi="en-US"/>
                    </w:rPr>
                    <w:t>18</w:t>
                  </w:r>
                </w:sdtContent>
              </w:sdt>
              <w:r>
                <w:rPr>
                  <w:rFonts w:eastAsia="Andale Sans UI" w:cs="Tahoma"/>
                  <w:color w:val="000000"/>
                  <w:szCs w:val="24"/>
                  <w:lang w:val="de-DE" w:bidi="en-US"/>
                </w:rPr>
                <w:t>.</w:t>
                <w:tab/>
                <w:t xml:space="preserve"> </w:t>
              </w:r>
              <w:r>
                <w:rPr>
                  <w:rFonts w:eastAsia="Andale Sans UI" w:cs="Tahoma"/>
                  <w:szCs w:val="24"/>
                  <w:lang w:bidi="en-US"/>
                </w:rPr>
                <w:t>VšĮ „Gamtos ateitis“</w:t>
              </w:r>
              <w:r>
                <w:rPr>
                  <w:rFonts w:eastAsia="Andale Sans UI" w:cs="Tahoma"/>
                  <w:color w:val="000000"/>
                  <w:szCs w:val="24"/>
                  <w:lang w:val="de-DE" w:bidi="en-US"/>
                </w:rPr>
                <w:t xml:space="preserve">, el. p. </w:t>
              </w:r>
              <w:r>
                <w:rPr>
                  <w:rFonts w:eastAsia="Andale Sans UI" w:cs="Tahoma"/>
                  <w:color w:val="000080"/>
                  <w:szCs w:val="24"/>
                  <w:u w:val="single"/>
                  <w:lang w:val="de-DE" w:bidi="en-US"/>
                </w:rPr>
                <w:t>info@gamtosateitis.lt</w:t>
              </w:r>
              <w:r>
                <w:rPr>
                  <w:rFonts w:eastAsia="Andale Sans UI" w:cs="Tahoma"/>
                  <w:color w:val="000000"/>
                  <w:szCs w:val="24"/>
                  <w:lang w:val="de-DE" w:bidi="en-US"/>
                </w:rPr>
                <w:t xml:space="preserve"> </w:t>
              </w:r>
            </w:p>
          </w:sdtContent>
        </w:sdt>
        <w:sdt>
          <w:sdtPr>
            <w:alias w:val="19 p."/>
            <w:tag w:val="part_c649f0c2486548ea9656c06c427bae1d"/>
            <w:lock w:val="sdtLocked"/>
            <w:richText/>
          </w:sdtPr>
          <w:sdtContent>
            <w:p>
              <w:pPr>
                <w:widowControl w:val="0"/>
                <w:suppressAutoHyphens/>
                <w:ind w:left="720" w:hanging="360"/>
                <w:rPr>
                  <w:rFonts w:eastAsia="Andale Sans UI" w:cs="Tahoma"/>
                  <w:color w:val="000000"/>
                  <w:szCs w:val="24"/>
                  <w:lang w:val="de-DE" w:bidi="en-US"/>
                </w:rPr>
              </w:pPr>
              <w:sdt>
                <w:sdtPr>
                  <w:alias w:val="Numeris"/>
                  <w:tag w:val="nr_c649f0c2486548ea9656c06c427bae1d"/>
                  <w:lock w:val="sdtLocked"/>
                  <w:richText/>
                </w:sdtPr>
                <w:sdtContent>
                  <w:r>
                    <w:rPr>
                      <w:rFonts w:eastAsia="Andale Sans UI" w:cs="Tahoma"/>
                      <w:color w:val="000000"/>
                      <w:szCs w:val="24"/>
                      <w:lang w:val="de-DE" w:bidi="en-US"/>
                    </w:rPr>
                    <w:t>19</w:t>
                  </w:r>
                </w:sdtContent>
              </w:sdt>
              <w:r>
                <w:rPr>
                  <w:rFonts w:eastAsia="Andale Sans UI" w:cs="Tahoma"/>
                  <w:color w:val="000000"/>
                  <w:szCs w:val="24"/>
                  <w:lang w:val="de-DE" w:bidi="en-US"/>
                </w:rPr>
                <w:t>.</w:t>
                <w:tab/>
              </w:r>
              <w:r>
                <w:rPr>
                  <w:rFonts w:eastAsia="Andale Sans UI" w:cs="Tahoma"/>
                  <w:szCs w:val="24"/>
                  <w:lang w:bidi="en-US"/>
                </w:rPr>
                <w:t>VšĮ „Pakuočių tvarkymo organizacija“,</w:t>
              </w:r>
              <w:r>
                <w:rPr>
                  <w:rFonts w:eastAsia="Andale Sans UI" w:cs="Tahoma"/>
                  <w:color w:val="000000"/>
                  <w:szCs w:val="24"/>
                  <w:lang w:val="de-DE" w:bidi="en-US"/>
                </w:rPr>
                <w:t xml:space="preserve"> el. p. </w:t>
              </w:r>
              <w:r>
                <w:rPr>
                  <w:rFonts w:eastAsia="Andale Sans UI" w:cs="Tahoma"/>
                  <w:color w:val="000080"/>
                  <w:szCs w:val="24"/>
                  <w:u w:val="single"/>
                  <w:lang w:val="de-DE" w:bidi="en-US"/>
                </w:rPr>
                <w:t>info@pto.lt</w:t>
              </w:r>
              <w:r>
                <w:rPr>
                  <w:rFonts w:eastAsia="Andale Sans UI" w:cs="Tahoma"/>
                  <w:color w:val="000000"/>
                  <w:szCs w:val="24"/>
                  <w:lang w:val="de-DE" w:bidi="en-US"/>
                </w:rPr>
                <w:t xml:space="preserve"> </w:t>
              </w:r>
            </w:p>
          </w:sdtContent>
        </w:sdt>
        <w:sdt>
          <w:sdtPr>
            <w:alias w:val="20 p."/>
            <w:tag w:val="part_b47307e5665a4c1eb9d9733357fc125a"/>
            <w:lock w:val="sdtLocked"/>
            <w:richText/>
          </w:sdtPr>
          <w:sdtContent>
            <w:p>
              <w:pPr>
                <w:widowControl w:val="0"/>
                <w:suppressAutoHyphens/>
                <w:ind w:left="720" w:hanging="360"/>
                <w:rPr>
                  <w:rFonts w:eastAsia="Andale Sans UI" w:cs="Tahoma"/>
                  <w:color w:val="000000"/>
                  <w:szCs w:val="24"/>
                  <w:lang w:val="en-GB" w:bidi="en-US"/>
                </w:rPr>
              </w:pPr>
              <w:sdt>
                <w:sdtPr>
                  <w:alias w:val="Numeris"/>
                  <w:tag w:val="nr_b47307e5665a4c1eb9d9733357fc125a"/>
                  <w:lock w:val="sdtLocked"/>
                  <w:richText/>
                </w:sdtPr>
                <w:sdtContent>
                  <w:r>
                    <w:rPr>
                      <w:rFonts w:eastAsia="Andale Sans UI" w:cs="Tahoma"/>
                      <w:color w:val="000000"/>
                      <w:szCs w:val="24"/>
                      <w:lang w:val="en-GB" w:bidi="en-US"/>
                    </w:rPr>
                    <w:t>20</w:t>
                  </w:r>
                </w:sdtContent>
              </w:sdt>
              <w:r>
                <w:rPr>
                  <w:rFonts w:eastAsia="Andale Sans UI" w:cs="Tahoma"/>
                  <w:color w:val="000000"/>
                  <w:szCs w:val="24"/>
                  <w:lang w:val="en-GB" w:bidi="en-US"/>
                </w:rPr>
                <w:t>.</w:t>
                <w:tab/>
              </w:r>
              <w:r>
                <w:rPr>
                  <w:rFonts w:eastAsia="Andale Sans UI" w:cs="Tahoma"/>
                  <w:szCs w:val="24"/>
                  <w:lang w:bidi="en-US"/>
                </w:rPr>
                <w:t>VšĮ „Žaliasis taškas“,</w:t>
              </w:r>
              <w:r>
                <w:rPr>
                  <w:rFonts w:eastAsia="Andale Sans UI" w:cs="Tahoma"/>
                  <w:color w:val="000000"/>
                  <w:szCs w:val="24"/>
                  <w:lang w:val="en-GB" w:bidi="en-US"/>
                </w:rPr>
                <w:t xml:space="preserve"> el. p. </w:t>
              </w:r>
              <w:r>
                <w:rPr>
                  <w:rFonts w:eastAsia="Andale Sans UI" w:cs="Tahoma"/>
                  <w:color w:val="000080"/>
                  <w:szCs w:val="24"/>
                  <w:u w:val="single"/>
                  <w:lang w:val="en-GB" w:bidi="en-US"/>
                </w:rPr>
                <w:t>biuras@ztl.lt</w:t>
              </w:r>
              <w:r>
                <w:rPr>
                  <w:rFonts w:eastAsia="Andale Sans UI" w:cs="Tahoma"/>
                  <w:color w:val="000000"/>
                  <w:szCs w:val="24"/>
                  <w:lang w:val="en-GB" w:bidi="en-US"/>
                </w:rPr>
                <w:t xml:space="preserve"> </w:t>
              </w:r>
            </w:p>
          </w:sdtContent>
        </w:sdt>
        <w:sdt>
          <w:sdtPr>
            <w:alias w:val="21 p."/>
            <w:tag w:val="part_c991e6283b2e4c8c9a035bdf4918e5b4"/>
            <w:lock w:val="sdtLocked"/>
            <w:richText/>
          </w:sdtPr>
          <w:sdtContent>
            <w:p>
              <w:pPr>
                <w:widowControl w:val="0"/>
                <w:suppressAutoHyphens/>
                <w:ind w:left="720" w:hanging="360"/>
                <w:rPr>
                  <w:rFonts w:eastAsia="Andale Sans UI" w:cs="Tahoma"/>
                  <w:color w:val="000000"/>
                  <w:szCs w:val="24"/>
                  <w:lang w:val="en-GB" w:bidi="en-US"/>
                </w:rPr>
              </w:pPr>
              <w:sdt>
                <w:sdtPr>
                  <w:alias w:val="Numeris"/>
                  <w:tag w:val="nr_c991e6283b2e4c8c9a035bdf4918e5b4"/>
                  <w:lock w:val="sdtLocked"/>
                  <w:richText/>
                </w:sdtPr>
                <w:sdtContent>
                  <w:r>
                    <w:rPr>
                      <w:rFonts w:eastAsia="Andale Sans UI" w:cs="Tahoma"/>
                      <w:color w:val="000000"/>
                      <w:szCs w:val="24"/>
                      <w:lang w:val="en-GB" w:bidi="en-US"/>
                    </w:rPr>
                    <w:t>21</w:t>
                  </w:r>
                </w:sdtContent>
              </w:sdt>
              <w:r>
                <w:rPr>
                  <w:rFonts w:eastAsia="Andale Sans UI" w:cs="Tahoma"/>
                  <w:color w:val="000000"/>
                  <w:szCs w:val="24"/>
                  <w:lang w:val="en-GB" w:bidi="en-US"/>
                </w:rPr>
                <w:t>.</w:t>
                <w:tab/>
              </w:r>
              <w:r>
                <w:rPr>
                  <w:rFonts w:eastAsia="Andale Sans UI" w:cs="Tahoma"/>
                  <w:szCs w:val="24"/>
                  <w:lang w:bidi="en-US"/>
                </w:rPr>
                <w:t xml:space="preserve">Antrinių žaliavų ir atliekų surinkėjų, perdirbėjų asociacija, </w:t>
              </w:r>
              <w:r>
                <w:rPr>
                  <w:rFonts w:eastAsia="Andale Sans UI" w:cs="Tahoma"/>
                  <w:color w:val="000000"/>
                  <w:szCs w:val="24"/>
                  <w:lang w:val="en-GB" w:bidi="en-US"/>
                </w:rPr>
                <w:t xml:space="preserve">el. p. </w:t>
              </w:r>
              <w:r>
                <w:rPr>
                  <w:rFonts w:eastAsia="Andale Sans UI" w:cs="Tahoma"/>
                  <w:color w:val="000080"/>
                  <w:szCs w:val="24"/>
                  <w:u w:val="single"/>
                  <w:lang w:val="en-GB" w:bidi="en-US"/>
                </w:rPr>
                <w:t>info@maspa.lt</w:t>
              </w:r>
              <w:r>
                <w:rPr>
                  <w:rFonts w:eastAsia="Andale Sans UI" w:cs="Tahoma"/>
                  <w:color w:val="000000"/>
                  <w:szCs w:val="24"/>
                  <w:lang w:val="en-GB" w:bidi="en-US"/>
                </w:rPr>
                <w:t xml:space="preserve"> </w:t>
              </w:r>
            </w:p>
          </w:sdtContent>
        </w:sdt>
        <w:sdt>
          <w:sdtPr>
            <w:alias w:val="22 p."/>
            <w:tag w:val="part_9a0e302ca04f458b93f5f6014d68550e"/>
            <w:lock w:val="sdtLocked"/>
            <w:richText/>
          </w:sdtPr>
          <w:sdtContent>
            <w:p>
              <w:pPr>
                <w:widowControl w:val="0"/>
                <w:suppressAutoHyphens/>
                <w:ind w:left="720" w:hanging="360"/>
                <w:rPr>
                  <w:rFonts w:eastAsia="Andale Sans UI" w:cs="Tahoma"/>
                  <w:color w:val="000000"/>
                  <w:szCs w:val="24"/>
                  <w:lang w:val="de-DE" w:bidi="en-US"/>
                </w:rPr>
              </w:pPr>
              <w:sdt>
                <w:sdtPr>
                  <w:alias w:val="Numeris"/>
                  <w:tag w:val="nr_9a0e302ca04f458b93f5f6014d68550e"/>
                  <w:lock w:val="sdtLocked"/>
                  <w:richText/>
                </w:sdtPr>
                <w:sdtContent>
                  <w:r>
                    <w:rPr>
                      <w:rFonts w:eastAsia="Andale Sans UI" w:cs="Tahoma"/>
                      <w:color w:val="000000"/>
                      <w:szCs w:val="24"/>
                      <w:lang w:val="de-DE" w:bidi="en-US"/>
                    </w:rPr>
                    <w:t>22</w:t>
                  </w:r>
                </w:sdtContent>
              </w:sdt>
              <w:r>
                <w:rPr>
                  <w:rFonts w:eastAsia="Andale Sans UI" w:cs="Tahoma"/>
                  <w:color w:val="000000"/>
                  <w:szCs w:val="24"/>
                  <w:lang w:val="de-DE" w:bidi="en-US"/>
                </w:rPr>
                <w:t>.</w:t>
                <w:tab/>
                <w:t xml:space="preserve">Aplinkosaugos koalicija, el. p. </w:t>
              </w:r>
              <w:r>
                <w:rPr>
                  <w:rFonts w:eastAsia="Andale Sans UI" w:cs="Tahoma"/>
                  <w:color w:val="000080"/>
                  <w:szCs w:val="24"/>
                  <w:lang w:val="de-DE" w:bidi="en-US"/>
                </w:rPr>
                <w:t>info@akoalicija.lt</w:t>
              </w:r>
            </w:p>
          </w:sdtContent>
        </w:sdt>
        <w:sdt>
          <w:sdtPr>
            <w:alias w:val="23 p."/>
            <w:tag w:val="part_6e4b9b232fc14c10af4f74c80f251d56"/>
            <w:lock w:val="sdtLocked"/>
            <w:richText/>
          </w:sdtPr>
          <w:sdtContent>
            <w:p>
              <w:pPr>
                <w:widowControl w:val="0"/>
                <w:suppressAutoHyphens/>
                <w:ind w:left="720" w:hanging="360"/>
                <w:rPr>
                  <w:rFonts w:eastAsia="Andale Sans UI" w:cs="Tahoma"/>
                  <w:color w:val="000000"/>
                  <w:szCs w:val="24"/>
                  <w:lang w:val="de-DE" w:bidi="en-US"/>
                </w:rPr>
              </w:pPr>
              <w:sdt>
                <w:sdtPr>
                  <w:alias w:val="Numeris"/>
                  <w:tag w:val="nr_6e4b9b232fc14c10af4f74c80f251d56"/>
                  <w:lock w:val="sdtLocked"/>
                  <w:richText/>
                </w:sdtPr>
                <w:sdtContent>
                  <w:r>
                    <w:rPr>
                      <w:rFonts w:eastAsia="Andale Sans UI" w:cs="Tahoma"/>
                      <w:color w:val="000000"/>
                      <w:szCs w:val="24"/>
                      <w:lang w:val="de-DE" w:bidi="en-US"/>
                    </w:rPr>
                    <w:t>23</w:t>
                  </w:r>
                </w:sdtContent>
              </w:sdt>
              <w:r>
                <w:rPr>
                  <w:rFonts w:eastAsia="Andale Sans UI" w:cs="Tahoma"/>
                  <w:color w:val="000000"/>
                  <w:szCs w:val="24"/>
                  <w:lang w:val="de-DE" w:bidi="en-US"/>
                </w:rPr>
                <w:t>.</w:t>
                <w:tab/>
                <w:t>VšĮ „Žiedinė ekonomika“, el. p.</w:t>
              </w:r>
              <w:r>
                <w:rPr>
                  <w:rFonts w:eastAsia="Andale Sans UI" w:cs="Tahoma"/>
                  <w:szCs w:val="24"/>
                  <w:lang w:bidi="en-US"/>
                </w:rPr>
                <w:t xml:space="preserve"> </w:t>
              </w:r>
              <w:r>
                <w:rPr>
                  <w:rFonts w:eastAsia="Andale Sans UI" w:cs="Tahoma"/>
                  <w:color w:val="000080"/>
                  <w:szCs w:val="24"/>
                  <w:u w:val="single"/>
                  <w:lang w:val="de-DE" w:bidi="en-US"/>
                </w:rPr>
                <w:t>info@circulareconomy.lt</w:t>
              </w:r>
              <w:r>
                <w:rPr>
                  <w:rFonts w:eastAsia="Andale Sans UI" w:cs="Tahoma"/>
                  <w:color w:val="000000"/>
                  <w:szCs w:val="24"/>
                  <w:lang w:val="de-DE" w:bidi="en-US"/>
                </w:rPr>
                <w:t xml:space="preserve"> </w:t>
              </w:r>
            </w:p>
          </w:sdtContent>
        </w:sdt>
        <w:sdt>
          <w:sdtPr>
            <w:alias w:val="24 p."/>
            <w:tag w:val="part_f3dd5cf93b9f46ddab1ff3f33b477ce9"/>
            <w:lock w:val="sdtLocked"/>
            <w:richText/>
          </w:sdtPr>
          <w:sdtContent>
            <w:p>
              <w:pPr>
                <w:widowControl w:val="0"/>
                <w:suppressAutoHyphens/>
                <w:ind w:left="720" w:hanging="360"/>
                <w:rPr>
                  <w:rFonts w:eastAsia="Andale Sans UI" w:cs="Tahoma"/>
                  <w:color w:val="000000"/>
                  <w:szCs w:val="24"/>
                  <w:lang w:val="en-GB" w:bidi="en-US"/>
                </w:rPr>
              </w:pPr>
              <w:sdt>
                <w:sdtPr>
                  <w:alias w:val="Numeris"/>
                  <w:tag w:val="nr_f3dd5cf93b9f46ddab1ff3f33b477ce9"/>
                  <w:lock w:val="sdtLocked"/>
                  <w:richText/>
                </w:sdtPr>
                <w:sdtContent>
                  <w:r>
                    <w:rPr>
                      <w:rFonts w:eastAsia="Andale Sans UI" w:cs="Tahoma"/>
                      <w:color w:val="000000"/>
                      <w:szCs w:val="24"/>
                      <w:lang w:val="en-GB" w:bidi="en-US"/>
                    </w:rPr>
                    <w:t>24</w:t>
                  </w:r>
                </w:sdtContent>
              </w:sdt>
              <w:r>
                <w:rPr>
                  <w:rFonts w:eastAsia="Andale Sans UI" w:cs="Tahoma"/>
                  <w:color w:val="000000"/>
                  <w:szCs w:val="24"/>
                  <w:lang w:val="en-GB" w:bidi="en-US"/>
                </w:rPr>
                <w:t>.</w:t>
                <w:tab/>
              </w:r>
              <w:r>
                <w:rPr>
                  <w:rFonts w:eastAsia="Andale Sans UI" w:cs="Tahoma"/>
                  <w:szCs w:val="24"/>
                  <w:lang w:bidi="en-US"/>
                </w:rPr>
                <w:t xml:space="preserve">Asociacija „EEPA“, </w:t>
              </w:r>
              <w:r>
                <w:rPr>
                  <w:rFonts w:eastAsia="Andale Sans UI" w:cs="Tahoma"/>
                  <w:color w:val="000000"/>
                  <w:szCs w:val="24"/>
                  <w:lang w:val="en-GB" w:bidi="en-US"/>
                </w:rPr>
                <w:t xml:space="preserve">el. p. </w:t>
              </w:r>
              <w:r>
                <w:rPr>
                  <w:rFonts w:eastAsia="Andale Sans UI" w:cs="Tahoma"/>
                  <w:color w:val="000080"/>
                  <w:szCs w:val="24"/>
                  <w:u w:val="single"/>
                  <w:lang w:val="en-GB" w:bidi="en-US"/>
                </w:rPr>
                <w:t>bendras@epa.lt</w:t>
              </w:r>
              <w:r>
                <w:rPr>
                  <w:rFonts w:eastAsia="Andale Sans UI" w:cs="Tahoma"/>
                  <w:color w:val="000000"/>
                  <w:szCs w:val="24"/>
                  <w:lang w:val="en-GB" w:bidi="en-US"/>
                </w:rPr>
                <w:t xml:space="preserve"> </w:t>
              </w:r>
            </w:p>
          </w:sdtContent>
        </w:sdt>
        <w:sdt>
          <w:sdtPr>
            <w:alias w:val="25 p."/>
            <w:tag w:val="part_bf0cc6cfab2242b89f3a65bd571f8916"/>
            <w:lock w:val="sdtLocked"/>
            <w:richText/>
          </w:sdtPr>
          <w:sdtContent>
            <w:p>
              <w:pPr>
                <w:widowControl w:val="0"/>
                <w:suppressAutoHyphens/>
                <w:ind w:left="720" w:hanging="360"/>
                <w:rPr>
                  <w:rFonts w:eastAsia="Andale Sans UI" w:cs="Tahoma"/>
                  <w:color w:val="000000"/>
                  <w:szCs w:val="24"/>
                  <w:lang w:val="en-GB" w:bidi="en-US"/>
                </w:rPr>
              </w:pPr>
              <w:sdt>
                <w:sdtPr>
                  <w:alias w:val="Numeris"/>
                  <w:tag w:val="nr_bf0cc6cfab2242b89f3a65bd571f8916"/>
                  <w:lock w:val="sdtLocked"/>
                  <w:richText/>
                </w:sdtPr>
                <w:sdtContent>
                  <w:r>
                    <w:rPr>
                      <w:rFonts w:eastAsia="Andale Sans UI" w:cs="Tahoma"/>
                      <w:color w:val="000000"/>
                      <w:szCs w:val="24"/>
                      <w:lang w:val="en-GB" w:bidi="en-US"/>
                    </w:rPr>
                    <w:t>25</w:t>
                  </w:r>
                </w:sdtContent>
              </w:sdt>
              <w:r>
                <w:rPr>
                  <w:rFonts w:eastAsia="Andale Sans UI" w:cs="Tahoma"/>
                  <w:color w:val="000000"/>
                  <w:szCs w:val="24"/>
                  <w:lang w:val="en-GB" w:bidi="en-US"/>
                </w:rPr>
                <w:t>.</w:t>
                <w:tab/>
              </w:r>
              <w:r>
                <w:rPr>
                  <w:rFonts w:eastAsia="Andale Sans UI" w:cs="Tahoma"/>
                  <w:szCs w:val="24"/>
                  <w:lang w:bidi="en-US"/>
                </w:rPr>
                <w:t xml:space="preserve">Autogamintojų ir importuotojų asociacija, </w:t>
              </w:r>
              <w:r>
                <w:rPr>
                  <w:rFonts w:eastAsia="Andale Sans UI" w:cs="Tahoma"/>
                  <w:color w:val="000000"/>
                  <w:szCs w:val="24"/>
                  <w:lang w:val="en-GB" w:bidi="en-US"/>
                </w:rPr>
                <w:t xml:space="preserve">el. p. </w:t>
              </w:r>
              <w:r>
                <w:rPr>
                  <w:rFonts w:eastAsia="Andale Sans UI" w:cs="Tahoma"/>
                  <w:color w:val="000080"/>
                  <w:szCs w:val="24"/>
                  <w:u w:val="single"/>
                  <w:lang w:val="en-GB" w:bidi="en-US"/>
                </w:rPr>
                <w:t>info@agia.lt</w:t>
              </w:r>
              <w:r>
                <w:rPr>
                  <w:rFonts w:eastAsia="Andale Sans UI" w:cs="Tahoma"/>
                  <w:color w:val="000000"/>
                  <w:szCs w:val="24"/>
                  <w:lang w:val="en-GB" w:bidi="en-US"/>
                </w:rPr>
                <w:t xml:space="preserve"> </w:t>
              </w:r>
            </w:p>
          </w:sdtContent>
        </w:sdt>
        <w:sdt>
          <w:sdtPr>
            <w:alias w:val="26 p."/>
            <w:tag w:val="part_b380fde275a048789fe00e032ab53a9d"/>
            <w:lock w:val="sdtLocked"/>
            <w:richText/>
          </w:sdtPr>
          <w:sdtContent>
            <w:p>
              <w:pPr>
                <w:widowControl w:val="0"/>
                <w:suppressAutoHyphens/>
                <w:ind w:left="720" w:hanging="360"/>
                <w:rPr>
                  <w:rFonts w:eastAsia="Andale Sans UI" w:cs="Tahoma"/>
                  <w:color w:val="000000"/>
                  <w:szCs w:val="24"/>
                  <w:lang w:val="en-GB" w:bidi="en-US"/>
                </w:rPr>
              </w:pPr>
              <w:sdt>
                <w:sdtPr>
                  <w:alias w:val="Numeris"/>
                  <w:tag w:val="nr_b380fde275a048789fe00e032ab53a9d"/>
                  <w:lock w:val="sdtLocked"/>
                  <w:richText/>
                </w:sdtPr>
                <w:sdtContent>
                  <w:r>
                    <w:rPr>
                      <w:rFonts w:eastAsia="Andale Sans UI" w:cs="Tahoma"/>
                      <w:color w:val="000000"/>
                      <w:szCs w:val="24"/>
                      <w:lang w:val="en-GB" w:bidi="en-US"/>
                    </w:rPr>
                    <w:t>26</w:t>
                  </w:r>
                </w:sdtContent>
              </w:sdt>
              <w:r>
                <w:rPr>
                  <w:rFonts w:eastAsia="Andale Sans UI" w:cs="Tahoma"/>
                  <w:color w:val="000000"/>
                  <w:szCs w:val="24"/>
                  <w:lang w:val="en-GB" w:bidi="en-US"/>
                </w:rPr>
                <w:t>.</w:t>
                <w:tab/>
              </w:r>
              <w:r>
                <w:rPr>
                  <w:rFonts w:eastAsia="Andale Sans UI" w:cs="Tahoma"/>
                  <w:szCs w:val="24"/>
                  <w:lang w:bidi="en-US"/>
                </w:rPr>
                <w:t xml:space="preserve">Gamintojų ir importuotojų asociacija, </w:t>
              </w:r>
              <w:r>
                <w:rPr>
                  <w:rFonts w:eastAsia="Andale Sans UI" w:cs="Tahoma"/>
                  <w:color w:val="000000"/>
                  <w:szCs w:val="24"/>
                  <w:lang w:val="en-GB" w:bidi="en-US"/>
                </w:rPr>
                <w:t xml:space="preserve">el. p. </w:t>
              </w:r>
              <w:r>
                <w:rPr>
                  <w:rFonts w:eastAsia="Andale Sans UI" w:cs="Tahoma"/>
                  <w:color w:val="000080"/>
                  <w:szCs w:val="24"/>
                  <w:u w:val="single"/>
                  <w:lang w:val="en-GB" w:bidi="en-US"/>
                </w:rPr>
                <w:t>info@gia.lt</w:t>
              </w:r>
              <w:r>
                <w:rPr>
                  <w:rFonts w:eastAsia="Andale Sans UI" w:cs="Tahoma"/>
                  <w:color w:val="000000"/>
                  <w:szCs w:val="24"/>
                  <w:lang w:val="en-GB" w:bidi="en-US"/>
                </w:rPr>
                <w:t xml:space="preserve"> </w:t>
              </w:r>
            </w:p>
          </w:sdtContent>
        </w:sdt>
        <w:sdt>
          <w:sdtPr>
            <w:alias w:val="27 p."/>
            <w:tag w:val="part_254e150f426c475dbaf36416bed83b21"/>
            <w:lock w:val="sdtLocked"/>
            <w:richText/>
          </w:sdtPr>
          <w:sdtContent>
            <w:p>
              <w:pPr>
                <w:widowControl w:val="0"/>
                <w:suppressAutoHyphens/>
                <w:ind w:left="720" w:hanging="360"/>
                <w:rPr>
                  <w:rFonts w:eastAsia="Andale Sans UI" w:cs="Tahoma"/>
                  <w:color w:val="000000"/>
                  <w:szCs w:val="24"/>
                  <w:lang w:val="en-GB" w:bidi="en-US"/>
                </w:rPr>
              </w:pPr>
              <w:sdt>
                <w:sdtPr>
                  <w:alias w:val="Numeris"/>
                  <w:tag w:val="nr_254e150f426c475dbaf36416bed83b21"/>
                  <w:lock w:val="sdtLocked"/>
                  <w:richText/>
                </w:sdtPr>
                <w:sdtContent>
                  <w:r>
                    <w:rPr>
                      <w:rFonts w:eastAsia="Andale Sans UI" w:cs="Tahoma"/>
                      <w:color w:val="000000"/>
                      <w:szCs w:val="24"/>
                      <w:lang w:val="en-GB" w:bidi="en-US"/>
                    </w:rPr>
                    <w:t>27</w:t>
                  </w:r>
                </w:sdtContent>
              </w:sdt>
              <w:r>
                <w:rPr>
                  <w:rFonts w:eastAsia="Andale Sans UI" w:cs="Tahoma"/>
                  <w:color w:val="000000"/>
                  <w:szCs w:val="24"/>
                  <w:lang w:val="en-GB" w:bidi="en-US"/>
                </w:rPr>
                <w:t>.</w:t>
                <w:tab/>
              </w:r>
              <w:r>
                <w:rPr>
                  <w:rFonts w:eastAsia="Andale Sans UI" w:cs="Tahoma"/>
                  <w:szCs w:val="24"/>
                  <w:lang w:bidi="en-US"/>
                </w:rPr>
                <w:t xml:space="preserve">Pakuotės atliekų perdirbėjų asociacija, </w:t>
              </w:r>
              <w:r>
                <w:rPr>
                  <w:rFonts w:eastAsia="Andale Sans UI" w:cs="Tahoma"/>
                  <w:color w:val="000000"/>
                  <w:szCs w:val="24"/>
                  <w:lang w:val="en-GB" w:bidi="en-US"/>
                </w:rPr>
                <w:t xml:space="preserve">el. p. </w:t>
              </w:r>
              <w:r>
                <w:rPr>
                  <w:rFonts w:eastAsia="Andale Sans UI" w:cs="Tahoma"/>
                  <w:color w:val="000080"/>
                  <w:szCs w:val="24"/>
                  <w:u w:val="single"/>
                  <w:lang w:bidi="en-US"/>
                </w:rPr>
                <w:t>e.sauliunas@gmail.com</w:t>
              </w:r>
              <w:r>
                <w:rPr>
                  <w:rFonts w:eastAsia="Andale Sans UI" w:cs="Tahoma"/>
                  <w:szCs w:val="24"/>
                  <w:lang w:bidi="en-US"/>
                </w:rPr>
                <w:t xml:space="preserve"> </w:t>
              </w:r>
            </w:p>
          </w:sdtContent>
        </w:sdt>
        <w:sdt>
          <w:sdtPr>
            <w:alias w:val="28 p."/>
            <w:tag w:val="part_2ef9346493844cd3b0cd01a1c7c7ecc0"/>
            <w:lock w:val="sdtLocked"/>
            <w:richText/>
          </w:sdtPr>
          <w:sdtContent>
            <w:p>
              <w:pPr>
                <w:shd w:val="clear" w:color="auto" w:fill="FFFFFF"/>
                <w:ind w:left="720" w:hanging="360"/>
                <w:rPr>
                  <w:szCs w:val="24"/>
                  <w:lang w:eastAsia="lt-LT"/>
                </w:rPr>
              </w:pPr>
              <w:sdt>
                <w:sdtPr>
                  <w:alias w:val="Numeris"/>
                  <w:tag w:val="nr_2ef9346493844cd3b0cd01a1c7c7ecc0"/>
                  <w:lock w:val="sdtLocked"/>
                  <w:richText/>
                </w:sdtPr>
                <w:sdtContent>
                  <w:r>
                    <w:rPr>
                      <w:szCs w:val="24"/>
                      <w:lang w:eastAsia="lt-LT"/>
                    </w:rPr>
                    <w:t>28</w:t>
                  </w:r>
                </w:sdtContent>
              </w:sdt>
              <w:r>
                <w:rPr>
                  <w:szCs w:val="24"/>
                  <w:lang w:eastAsia="lt-LT"/>
                </w:rPr>
                <w:t>.</w:t>
                <w:tab/>
                <w:t xml:space="preserve">VšĮ „Užstatas“, el. p. </w:t>
              </w:r>
              <w:r>
                <w:rPr>
                  <w:rFonts w:eastAsia="Andale Sans UI"/>
                  <w:color w:val="000080"/>
                  <w:szCs w:val="24"/>
                  <w:u w:val="single"/>
                  <w:lang w:bidi="en-US"/>
                </w:rPr>
                <w:t>uzstato.sistema@gmail.com</w:t>
              </w:r>
              <w:r>
                <w:rPr>
                  <w:rFonts w:eastAsia="Andale Sans UI"/>
                  <w:szCs w:val="24"/>
                  <w:lang w:bidi="en-US"/>
                </w:rPr>
                <w:t xml:space="preserve"> </w:t>
              </w:r>
            </w:p>
          </w:sdtContent>
        </w:sdt>
        <w:sdt>
          <w:sdtPr>
            <w:alias w:val="29 p."/>
            <w:tag w:val="part_d8709c48e2074c5f89ace3183c20d745"/>
            <w:lock w:val="sdtLocked"/>
            <w:richText/>
          </w:sdtPr>
          <w:sdtContent>
            <w:p>
              <w:pPr>
                <w:shd w:val="clear" w:color="auto" w:fill="FFFFFF"/>
                <w:ind w:left="720" w:hanging="360"/>
                <w:rPr>
                  <w:szCs w:val="24"/>
                  <w:lang w:eastAsia="lt-LT"/>
                </w:rPr>
              </w:pPr>
              <w:sdt>
                <w:sdtPr>
                  <w:alias w:val="Numeris"/>
                  <w:tag w:val="nr_d8709c48e2074c5f89ace3183c20d745"/>
                  <w:lock w:val="sdtLocked"/>
                  <w:richText/>
                </w:sdtPr>
                <w:sdtContent>
                  <w:r>
                    <w:rPr>
                      <w:szCs w:val="24"/>
                      <w:lang w:eastAsia="lt-LT"/>
                    </w:rPr>
                    <w:t>29</w:t>
                  </w:r>
                </w:sdtContent>
              </w:sdt>
              <w:r>
                <w:rPr>
                  <w:szCs w:val="24"/>
                  <w:lang w:eastAsia="lt-LT"/>
                </w:rPr>
                <w:t>.</w:t>
                <w:tab/>
              </w:r>
              <w:r>
                <w:rPr>
                  <w:szCs w:val="24"/>
                  <w:bdr w:val="none" w:sz="0" w:space="0" w:color="auto" w:frame="1"/>
                  <w:lang w:eastAsia="lt-LT"/>
                </w:rPr>
                <w:t xml:space="preserve">VšĮ „Užstato sistemos administratorius“, el. p. </w:t>
              </w:r>
              <w:r>
                <w:rPr>
                  <w:rFonts w:eastAsia="Andale Sans UI"/>
                  <w:bCs/>
                  <w:color w:val="000080"/>
                  <w:szCs w:val="24"/>
                  <w:u w:val="single"/>
                  <w:lang w:bidi="en-US"/>
                </w:rPr>
                <w:t>info@usad.lt</w:t>
              </w:r>
              <w:r>
                <w:rPr>
                  <w:rFonts w:eastAsia="Andale Sans UI"/>
                  <w:bCs/>
                  <w:szCs w:val="24"/>
                  <w:lang w:bidi="en-US"/>
                </w:rPr>
                <w:t xml:space="preserve"> </w:t>
              </w:r>
            </w:p>
          </w:sdtContent>
        </w:sdt>
        <w:sdt>
          <w:sdtPr>
            <w:alias w:val="30 p."/>
            <w:tag w:val="part_04496d1ef7324b89a4433697f1bc475b"/>
            <w:lock w:val="sdtLocked"/>
            <w:richText/>
          </w:sdtPr>
          <w:sdtContent>
            <w:p>
              <w:pPr>
                <w:ind w:left="720" w:hanging="360"/>
                <w:jc w:val="both"/>
                <w:rPr>
                  <w:bCs/>
                  <w:szCs w:val="24"/>
                </w:rPr>
              </w:pPr>
              <w:sdt>
                <w:sdtPr>
                  <w:alias w:val="Numeris"/>
                  <w:tag w:val="nr_04496d1ef7324b89a4433697f1bc475b"/>
                  <w:lock w:val="sdtLocked"/>
                  <w:richText/>
                </w:sdtPr>
                <w:sdtContent>
                  <w:r>
                    <w:rPr>
                      <w:bCs/>
                      <w:szCs w:val="24"/>
                    </w:rPr>
                    <w:t>30</w:t>
                  </w:r>
                </w:sdtContent>
              </w:sdt>
              <w:r>
                <w:rPr>
                  <w:bCs/>
                  <w:szCs w:val="24"/>
                </w:rPr>
                <w:t>.</w:t>
                <w:tab/>
                <w:t xml:space="preserve">Asociacija „Baltijos gėrimų pramonės aljansas“, el. p. </w:t>
              </w:r>
              <w:r>
                <w:rPr>
                  <w:bCs/>
                  <w:color w:val="000080"/>
                  <w:szCs w:val="24"/>
                  <w:u w:val="single"/>
                </w:rPr>
                <w:t>info@abbi.</w:t>
              </w:r>
              <w:r>
                <w:rPr>
                  <w:bCs/>
                  <w:szCs w:val="24"/>
                </w:rPr>
                <w:t>lt</w:t>
              </w:r>
            </w:p>
          </w:sdtContent>
        </w:sdt>
        <w:sdt>
          <w:sdtPr>
            <w:alias w:val="31 p."/>
            <w:tag w:val="part_e1b4795c37ec4b749984e4cd74f90d13"/>
            <w:lock w:val="sdtLocked"/>
            <w:richText/>
          </w:sdtPr>
          <w:sdtContent>
            <w:p>
              <w:pPr>
                <w:ind w:left="720" w:hanging="360"/>
                <w:jc w:val="both"/>
                <w:rPr>
                  <w:bCs/>
                  <w:szCs w:val="24"/>
                </w:rPr>
              </w:pPr>
              <w:sdt>
                <w:sdtPr>
                  <w:alias w:val="Numeris"/>
                  <w:tag w:val="nr_e1b4795c37ec4b749984e4cd74f90d13"/>
                  <w:lock w:val="sdtLocked"/>
                  <w:richText/>
                </w:sdtPr>
                <w:sdtContent>
                  <w:r>
                    <w:rPr>
                      <w:bCs/>
                      <w:szCs w:val="24"/>
                    </w:rPr>
                    <w:t>31</w:t>
                  </w:r>
                </w:sdtContent>
              </w:sdt>
              <w:r>
                <w:rPr>
                  <w:bCs/>
                  <w:szCs w:val="24"/>
                </w:rPr>
                <w:t>.</w:t>
                <w:tab/>
              </w:r>
              <w:r>
                <w:rPr>
                  <w:bCs/>
                  <w:spacing w:val="10"/>
                  <w:szCs w:val="24"/>
                </w:rPr>
                <w:t xml:space="preserve">Lietuvos prekybos įmonių asociacija, el. p. </w:t>
              </w:r>
              <w:r>
                <w:rPr>
                  <w:bCs/>
                  <w:color w:val="000080"/>
                  <w:spacing w:val="10"/>
                  <w:szCs w:val="24"/>
                  <w:u w:val="single"/>
                </w:rPr>
                <w:t>info</w:t>
              </w:r>
              <w:r>
                <w:rPr>
                  <w:bCs/>
                  <w:color w:val="000080"/>
                  <w:szCs w:val="24"/>
                  <w:u w:val="single"/>
                </w:rPr>
                <w:t>@lpia.lt</w:t>
              </w:r>
            </w:p>
          </w:sdtContent>
        </w:sdt>
        <w:sdt>
          <w:sdtPr>
            <w:alias w:val="32 p."/>
            <w:tag w:val="part_4d6b5dc715ce471fb043e88bb50331b0"/>
            <w:lock w:val="sdtLocked"/>
            <w:richText/>
          </w:sdtPr>
          <w:sdtContent>
            <w:p>
              <w:pPr>
                <w:ind w:left="720" w:hanging="360"/>
                <w:jc w:val="both"/>
                <w:rPr>
                  <w:bCs/>
                  <w:szCs w:val="24"/>
                </w:rPr>
              </w:pPr>
              <w:sdt>
                <w:sdtPr>
                  <w:alias w:val="Numeris"/>
                  <w:tag w:val="nr_4d6b5dc715ce471fb043e88bb50331b0"/>
                  <w:lock w:val="sdtLocked"/>
                  <w:richText/>
                </w:sdtPr>
                <w:sdtContent>
                  <w:r>
                    <w:rPr>
                      <w:bCs/>
                      <w:szCs w:val="24"/>
                    </w:rPr>
                    <w:t>32</w:t>
                  </w:r>
                </w:sdtContent>
              </w:sdt>
              <w:r>
                <w:rPr>
                  <w:bCs/>
                  <w:szCs w:val="24"/>
                </w:rPr>
                <w:t>.</w:t>
                <w:tab/>
              </w:r>
              <w:r>
                <w:rPr>
                  <w:bCs/>
                  <w:spacing w:val="10"/>
                  <w:szCs w:val="24"/>
                </w:rPr>
                <w:t xml:space="preserve">Natūralaus mineralinio vandens asociacija, el. p. </w:t>
              </w:r>
              <w:r>
                <w:rPr>
                  <w:bCs/>
                  <w:color w:val="000080"/>
                  <w:szCs w:val="24"/>
                  <w:u w:val="single"/>
                </w:rPr>
                <w:t>info@mineralinisvanduo.</w:t>
              </w:r>
              <w:r>
                <w:rPr>
                  <w:bCs/>
                  <w:szCs w:val="24"/>
                </w:rPr>
                <w:t>lt</w:t>
              </w:r>
            </w:p>
          </w:sdtContent>
        </w:sdt>
        <w:sdt>
          <w:sdtPr>
            <w:alias w:val="33 p."/>
            <w:tag w:val="part_7e03e80b7b5348a198682fed3d5bdc0c"/>
            <w:lock w:val="sdtLocked"/>
            <w:richText/>
          </w:sdtPr>
          <w:sdtContent>
            <w:p>
              <w:pPr>
                <w:ind w:left="720" w:hanging="360"/>
                <w:rPr>
                  <w:rFonts w:eastAsia="Andale Sans UI"/>
                  <w:color w:val="000080"/>
                  <w:szCs w:val="24"/>
                  <w:u w:val="single"/>
                  <w:lang w:eastAsia="lt-LT"/>
                </w:rPr>
              </w:pPr>
              <w:sdt>
                <w:sdtPr>
                  <w:alias w:val="Numeris"/>
                  <w:tag w:val="nr_7e03e80b7b5348a198682fed3d5bdc0c"/>
                  <w:lock w:val="sdtLocked"/>
                  <w:richText/>
                </w:sdtPr>
                <w:sdtContent>
                  <w:r>
                    <w:rPr>
                      <w:rFonts w:eastAsia="Andale Sans UI"/>
                      <w:color w:val="000080"/>
                      <w:szCs w:val="24"/>
                      <w:lang w:eastAsia="lt-LT"/>
                    </w:rPr>
                    <w:t>33</w:t>
                  </w:r>
                </w:sdtContent>
              </w:sdt>
              <w:r>
                <w:rPr>
                  <w:rFonts w:eastAsia="Andale Sans UI"/>
                  <w:color w:val="000080"/>
                  <w:szCs w:val="24"/>
                  <w:lang w:eastAsia="lt-LT"/>
                </w:rPr>
                <w:t>.</w:t>
                <w:tab/>
              </w:r>
              <w:r>
                <w:rPr>
                  <w:rFonts w:eastAsia="Andale Sans UI"/>
                  <w:color w:val="000000"/>
                  <w:szCs w:val="24"/>
                  <w:lang w:eastAsia="lt-LT"/>
                </w:rPr>
                <w:t xml:space="preserve">Asociacija „Lietuvos maisto pramonė“ el. p. </w:t>
              </w:r>
              <w:r>
                <w:rPr>
                  <w:rFonts w:eastAsia="Andale Sans UI"/>
                  <w:color w:val="000080"/>
                  <w:szCs w:val="24"/>
                  <w:u w:val="single"/>
                  <w:lang w:eastAsia="lt-LT"/>
                </w:rPr>
                <w:t>info@maistoasociacija.lt</w:t>
              </w:r>
            </w:p>
          </w:sdtContent>
        </w:sdt>
        <w:sdt>
          <w:sdtPr>
            <w:alias w:val="34 p."/>
            <w:tag w:val="part_225a54c49c474992ad6adfeaa2d01677"/>
            <w:lock w:val="sdtLocked"/>
            <w:richText/>
          </w:sdtPr>
          <w:sdtContent>
            <w:p>
              <w:pPr>
                <w:ind w:left="720" w:hanging="360"/>
                <w:jc w:val="both"/>
                <w:rPr>
                  <w:bCs/>
                  <w:szCs w:val="24"/>
                </w:rPr>
              </w:pPr>
              <w:sdt>
                <w:sdtPr>
                  <w:alias w:val="Numeris"/>
                  <w:tag w:val="nr_225a54c49c474992ad6adfeaa2d01677"/>
                  <w:lock w:val="sdtLocked"/>
                  <w:richText/>
                </w:sdtPr>
                <w:sdtContent>
                  <w:r>
                    <w:rPr>
                      <w:bCs/>
                      <w:szCs w:val="24"/>
                    </w:rPr>
                    <w:t>34</w:t>
                  </w:r>
                </w:sdtContent>
              </w:sdt>
              <w:r>
                <w:rPr>
                  <w:bCs/>
                  <w:szCs w:val="24"/>
                </w:rPr>
                <w:t>.</w:t>
                <w:tab/>
                <w:t xml:space="preserve">Maisto papildų gamintojų asociacija, el. p. </w:t>
              </w:r>
              <w:r>
                <w:rPr>
                  <w:bCs/>
                  <w:color w:val="000080"/>
                  <w:szCs w:val="24"/>
                  <w:u w:val="single"/>
                </w:rPr>
                <w:t>info@mpga.</w:t>
              </w:r>
              <w:r>
                <w:rPr>
                  <w:bCs/>
                  <w:szCs w:val="24"/>
                </w:rPr>
                <w:t>lt</w:t>
              </w:r>
            </w:p>
          </w:sdtContent>
        </w:sdt>
        <w:sdt>
          <w:sdtPr>
            <w:alias w:val="35 p."/>
            <w:tag w:val="part_0e2edc2209be472080c0049787c226b6"/>
            <w:lock w:val="sdtLocked"/>
            <w:richText/>
          </w:sdtPr>
          <w:sdtContent>
            <w:p>
              <w:pPr>
                <w:ind w:left="720" w:hanging="360"/>
                <w:jc w:val="both"/>
                <w:rPr>
                  <w:bCs/>
                  <w:szCs w:val="24"/>
                </w:rPr>
              </w:pPr>
              <w:sdt>
                <w:sdtPr>
                  <w:alias w:val="Numeris"/>
                  <w:tag w:val="nr_0e2edc2209be472080c0049787c226b6"/>
                  <w:lock w:val="sdtLocked"/>
                  <w:richText/>
                </w:sdtPr>
                <w:sdtContent>
                  <w:r>
                    <w:rPr>
                      <w:bCs/>
                      <w:szCs w:val="24"/>
                    </w:rPr>
                    <w:t>35</w:t>
                  </w:r>
                </w:sdtContent>
              </w:sdt>
              <w:r>
                <w:rPr>
                  <w:bCs/>
                  <w:szCs w:val="24"/>
                </w:rPr>
                <w:t>.</w:t>
                <w:tab/>
                <w:t xml:space="preserve">Lietuvos kosmetikos ir buitinės chemijos gamintojų asociacija, el. p. </w:t>
              </w:r>
              <w:r>
                <w:rPr>
                  <w:bCs/>
                  <w:color w:val="000080"/>
                  <w:szCs w:val="24"/>
                  <w:u w:val="single"/>
                  <w:shd w:val="clear" w:color="auto" w:fill="FFFFFF"/>
                </w:rPr>
                <w:t>inara@likochema.lt</w:t>
              </w:r>
            </w:p>
          </w:sdtContent>
        </w:sdt>
        <w:sdt>
          <w:sdtPr>
            <w:alias w:val="36 p."/>
            <w:tag w:val="part_c0f8f12a36214bd49c0ca218f2d71d18"/>
            <w:lock w:val="sdtLocked"/>
            <w:richText/>
          </w:sdtPr>
          <w:sdtContent>
            <w:p>
              <w:pPr>
                <w:ind w:left="720" w:hanging="360"/>
                <w:jc w:val="both"/>
                <w:rPr>
                  <w:bCs/>
                  <w:szCs w:val="24"/>
                </w:rPr>
              </w:pPr>
              <w:sdt>
                <w:sdtPr>
                  <w:alias w:val="Numeris"/>
                  <w:tag w:val="nr_c0f8f12a36214bd49c0ca218f2d71d18"/>
                  <w:lock w:val="sdtLocked"/>
                  <w:richText/>
                </w:sdtPr>
                <w:sdtContent>
                  <w:r>
                    <w:rPr>
                      <w:bCs/>
                      <w:szCs w:val="24"/>
                    </w:rPr>
                    <w:t>36</w:t>
                  </w:r>
                </w:sdtContent>
              </w:sdt>
              <w:r>
                <w:rPr>
                  <w:bCs/>
                  <w:szCs w:val="24"/>
                </w:rPr>
                <w:t>.</w:t>
                <w:tab/>
                <w:t xml:space="preserve">Asociacija Lietuvos gėrimai, el. p. </w:t>
              </w:r>
              <w:r>
                <w:rPr>
                  <w:bCs/>
                  <w:color w:val="000080"/>
                  <w:szCs w:val="24"/>
                  <w:u w:val="single"/>
                  <w:lang w:val="en-US"/>
                </w:rPr>
                <w:t>info@</w:t>
              </w:r>
              <w:r>
                <w:rPr>
                  <w:bCs/>
                  <w:color w:val="000080"/>
                  <w:szCs w:val="24"/>
                  <w:u w:val="single"/>
                </w:rPr>
                <w:t>lgerimai.lt</w:t>
              </w:r>
              <w:r>
                <w:rPr>
                  <w:bCs/>
                  <w:szCs w:val="24"/>
                </w:rPr>
                <w:t xml:space="preserve"> </w:t>
              </w:r>
            </w:p>
          </w:sdtContent>
        </w:sdt>
        <w:sdt>
          <w:sdtPr>
            <w:alias w:val="37 p."/>
            <w:tag w:val="part_ca955f3705e24018a7a72b623eb2af63"/>
            <w:lock w:val="sdtLocked"/>
            <w:richText/>
          </w:sdtPr>
          <w:sdtContent>
            <w:p>
              <w:pPr>
                <w:widowControl w:val="0"/>
                <w:suppressAutoHyphens/>
                <w:ind w:left="720" w:hanging="360"/>
                <w:rPr>
                  <w:rFonts w:eastAsia="Andale Sans UI" w:cs="Tahoma"/>
                  <w:szCs w:val="24"/>
                  <w:lang w:bidi="en-US"/>
                </w:rPr>
              </w:pPr>
              <w:sdt>
                <w:sdtPr>
                  <w:alias w:val="Numeris"/>
                  <w:tag w:val="nr_ca955f3705e24018a7a72b623eb2af63"/>
                  <w:lock w:val="sdtLocked"/>
                  <w:richText/>
                </w:sdtPr>
                <w:sdtContent>
                  <w:r>
                    <w:rPr>
                      <w:rFonts w:eastAsia="Andale Sans UI" w:cs="Tahoma"/>
                      <w:szCs w:val="24"/>
                      <w:lang w:bidi="en-US"/>
                    </w:rPr>
                    <w:t>37</w:t>
                  </w:r>
                </w:sdtContent>
              </w:sdt>
              <w:r>
                <w:rPr>
                  <w:rFonts w:eastAsia="Andale Sans UI" w:cs="Tahoma"/>
                  <w:szCs w:val="24"/>
                  <w:lang w:bidi="en-US"/>
                </w:rPr>
                <w:t>.</w:t>
                <w:tab/>
                <w:t xml:space="preserve">Specialiųjų tyrimų tarnyba, el. p. </w:t>
              </w:r>
              <w:r>
                <w:rPr>
                  <w:rFonts w:eastAsia="Andale Sans UI" w:cs="Tahoma"/>
                  <w:color w:val="000080"/>
                  <w:szCs w:val="24"/>
                  <w:u w:val="single"/>
                  <w:lang w:bidi="en-US"/>
                </w:rPr>
                <w:t>dokumentai@stt.lt</w:t>
              </w:r>
            </w:p>
          </w:sdtContent>
        </w:sdt>
        <w:sdt>
          <w:sdtPr>
            <w:alias w:val="38 p."/>
            <w:tag w:val="part_dbb0a253282b4a9aaae37e61453ed024"/>
            <w:lock w:val="sdtLocked"/>
            <w:richText/>
          </w:sdtPr>
          <w:sdtContent>
            <w:p>
              <w:pPr>
                <w:widowControl w:val="0"/>
                <w:suppressAutoHyphens/>
                <w:ind w:left="720" w:hanging="360"/>
                <w:rPr>
                  <w:rFonts w:eastAsia="Andale Sans UI" w:cs="Tahoma"/>
                  <w:szCs w:val="24"/>
                  <w:lang w:bidi="en-US"/>
                </w:rPr>
              </w:pPr>
              <w:sdt>
                <w:sdtPr>
                  <w:alias w:val="Numeris"/>
                  <w:tag w:val="nr_dbb0a253282b4a9aaae37e61453ed024"/>
                  <w:lock w:val="sdtLocked"/>
                  <w:richText/>
                </w:sdtPr>
                <w:sdtContent>
                  <w:r>
                    <w:rPr>
                      <w:rFonts w:eastAsia="Andale Sans UI" w:cs="Tahoma"/>
                      <w:szCs w:val="24"/>
                      <w:lang w:bidi="en-US"/>
                    </w:rPr>
                    <w:t>38</w:t>
                  </w:r>
                </w:sdtContent>
              </w:sdt>
              <w:r>
                <w:rPr>
                  <w:rFonts w:eastAsia="Andale Sans UI" w:cs="Tahoma"/>
                  <w:szCs w:val="24"/>
                  <w:lang w:bidi="en-US"/>
                </w:rPr>
                <w:t>.</w:t>
                <w:tab/>
                <w:t xml:space="preserve">Finansinių nusikaltimų tyrimų tarnyba prie Lietuvos Respublikos vidaus reikalų ministerijos, el. p. </w:t>
              </w:r>
              <w:r>
                <w:rPr>
                  <w:rFonts w:eastAsia="Andale Sans UI" w:cs="Tahoma"/>
                  <w:color w:val="000080"/>
                  <w:szCs w:val="24"/>
                  <w:lang w:bidi="en-US"/>
                </w:rPr>
                <w:t>dokumentas@fntt.lt</w:t>
              </w:r>
            </w:p>
          </w:sdtContent>
        </w:sdt>
        <w:sdt>
          <w:sdtPr>
            <w:alias w:val="39 p."/>
            <w:tag w:val="part_2a560478525f46ea873a179c9986a79f"/>
            <w:lock w:val="sdtLocked"/>
            <w:richText/>
          </w:sdtPr>
          <w:sdtContent>
            <w:p>
              <w:pPr>
                <w:widowControl w:val="0"/>
                <w:suppressAutoHyphens/>
                <w:ind w:left="720" w:hanging="360"/>
                <w:rPr>
                  <w:rFonts w:eastAsia="Andale Sans UI" w:cs="Tahoma"/>
                  <w:szCs w:val="24"/>
                  <w:lang w:bidi="en-US"/>
                </w:rPr>
              </w:pPr>
              <w:sdt>
                <w:sdtPr>
                  <w:alias w:val="Numeris"/>
                  <w:tag w:val="nr_2a560478525f46ea873a179c9986a79f"/>
                  <w:lock w:val="sdtLocked"/>
                  <w:richText/>
                </w:sdtPr>
                <w:sdtContent>
                  <w:r>
                    <w:rPr>
                      <w:rFonts w:eastAsia="Andale Sans UI" w:cs="Tahoma"/>
                      <w:szCs w:val="24"/>
                      <w:lang w:bidi="en-US"/>
                    </w:rPr>
                    <w:t>39</w:t>
                  </w:r>
                </w:sdtContent>
              </w:sdt>
              <w:r>
                <w:rPr>
                  <w:rFonts w:eastAsia="Andale Sans UI" w:cs="Tahoma"/>
                  <w:szCs w:val="24"/>
                  <w:lang w:bidi="en-US"/>
                </w:rPr>
                <w:t>.</w:t>
                <w:tab/>
                <w:t xml:space="preserve">Lietuvos Respublikos konkurencijos taryba, el. p. </w:t>
              </w:r>
              <w:r>
                <w:rPr>
                  <w:rFonts w:eastAsia="Andale Sans UI" w:cs="Tahoma"/>
                  <w:color w:val="000080"/>
                  <w:szCs w:val="24"/>
                  <w:lang w:bidi="en-US"/>
                </w:rPr>
                <w:t>taryba</w:t>
              </w:r>
              <w:r>
                <w:rPr>
                  <w:rFonts w:eastAsia="Andale Sans UI" w:cs="Tahoma"/>
                  <w:color w:val="000080"/>
                  <w:szCs w:val="24"/>
                  <w:lang w:val="en-US" w:bidi="en-US"/>
                </w:rPr>
                <w:t>@kt.gov.lt</w:t>
              </w:r>
            </w:p>
          </w:sdtContent>
        </w:sdt>
        <w:sdt>
          <w:sdtPr>
            <w:alias w:val="40 p."/>
            <w:tag w:val="part_34148255a09940b99aa134c00d2684c4"/>
            <w:lock w:val="sdtLocked"/>
            <w:richText/>
          </w:sdtPr>
          <w:sdtContent>
            <w:p>
              <w:pPr>
                <w:widowControl w:val="0"/>
                <w:suppressAutoHyphens/>
                <w:ind w:left="720" w:hanging="360"/>
                <w:rPr>
                  <w:rFonts w:eastAsia="Andale Sans UI" w:cs="Tahoma"/>
                  <w:szCs w:val="24"/>
                  <w:lang w:bidi="en-US"/>
                </w:rPr>
              </w:pPr>
              <w:sdt>
                <w:sdtPr>
                  <w:alias w:val="Numeris"/>
                  <w:tag w:val="nr_34148255a09940b99aa134c00d2684c4"/>
                  <w:lock w:val="sdtLocked"/>
                  <w:richText/>
                </w:sdtPr>
                <w:sdtContent>
                  <w:r>
                    <w:rPr>
                      <w:rFonts w:eastAsia="Andale Sans UI" w:cs="Tahoma"/>
                      <w:szCs w:val="24"/>
                      <w:lang w:bidi="en-US"/>
                    </w:rPr>
                    <w:t>40</w:t>
                  </w:r>
                </w:sdtContent>
              </w:sdt>
              <w:r>
                <w:rPr>
                  <w:rFonts w:eastAsia="Andale Sans UI" w:cs="Tahoma"/>
                  <w:szCs w:val="24"/>
                  <w:lang w:bidi="en-US"/>
                </w:rPr>
                <w:t>.</w:t>
                <w:tab/>
                <w:t>Lietuvos Standartizacijos departamentas</w:t>
              </w:r>
            </w:p>
          </w:sdtContent>
        </w:sdt>
        <w:sdt>
          <w:sdtPr>
            <w:alias w:val="41 p."/>
            <w:tag w:val="part_1b9f09b3375747c7abcef62758985487"/>
            <w:lock w:val="sdtLocked"/>
            <w:richText/>
          </w:sdtPr>
          <w:sdtContent>
            <w:p>
              <w:pPr>
                <w:widowControl w:val="0"/>
                <w:suppressAutoHyphens/>
                <w:ind w:left="720" w:hanging="360"/>
                <w:rPr>
                  <w:rFonts w:eastAsia="Andale Sans UI"/>
                  <w:szCs w:val="24"/>
                  <w:lang w:bidi="en-US"/>
                </w:rPr>
              </w:pPr>
              <w:sdt>
                <w:sdtPr>
                  <w:alias w:val="Numeris"/>
                  <w:tag w:val="nr_1b9f09b3375747c7abcef62758985487"/>
                  <w:lock w:val="sdtLocked"/>
                  <w:richText/>
                </w:sdtPr>
                <w:sdtContent>
                  <w:r>
                    <w:rPr>
                      <w:rFonts w:eastAsia="Andale Sans UI"/>
                      <w:szCs w:val="24"/>
                      <w:lang w:bidi="en-US"/>
                    </w:rPr>
                    <w:t>41</w:t>
                  </w:r>
                </w:sdtContent>
              </w:sdt>
              <w:r>
                <w:rPr>
                  <w:rFonts w:eastAsia="Andale Sans UI"/>
                  <w:szCs w:val="24"/>
                  <w:lang w:bidi="en-US"/>
                </w:rPr>
                <w:t>.</w:t>
                <w:tab/>
              </w:r>
              <w:r>
                <w:rPr>
                  <w:rFonts w:eastAsia="Andale Sans UI" w:cs="Tahoma"/>
                  <w:szCs w:val="24"/>
                  <w:lang w:bidi="en-US"/>
                </w:rPr>
                <w:t>Lietuvos inžinerinės pramon</w:t>
              </w:r>
              <w:r>
                <w:rPr>
                  <w:rFonts w:eastAsia="Andale Sans UI"/>
                  <w:szCs w:val="24"/>
                  <w:lang w:bidi="en-US"/>
                </w:rPr>
                <w:t xml:space="preserve">ės asociacija Linpra, el. p. </w:t>
              </w:r>
              <w:r>
                <w:rPr>
                  <w:rFonts w:eastAsia="Andale Sans UI"/>
                  <w:color w:val="000080"/>
                  <w:szCs w:val="24"/>
                  <w:u w:val="single"/>
                  <w:lang w:bidi="en-US"/>
                </w:rPr>
                <w:t>info@linpra.lt</w:t>
              </w:r>
            </w:p>
          </w:sdtContent>
        </w:sdt>
        <w:sdt>
          <w:sdtPr>
            <w:alias w:val="42 p."/>
            <w:tag w:val="part_0bae1d4cc3f8431cbcd29c78c50440af"/>
            <w:lock w:val="sdtLocked"/>
            <w:richText/>
          </w:sdtPr>
          <w:sdtContent>
            <w:p>
              <w:pPr>
                <w:ind w:left="720" w:hanging="360"/>
                <w:jc w:val="both"/>
                <w:rPr>
                  <w:bCs/>
                  <w:szCs w:val="24"/>
                </w:rPr>
              </w:pPr>
              <w:sdt>
                <w:sdtPr>
                  <w:alias w:val="Numeris"/>
                  <w:tag w:val="nr_0bae1d4cc3f8431cbcd29c78c50440af"/>
                  <w:lock w:val="sdtLocked"/>
                  <w:richText/>
                </w:sdtPr>
                <w:sdtContent>
                  <w:r>
                    <w:rPr>
                      <w:bCs/>
                      <w:szCs w:val="24"/>
                    </w:rPr>
                    <w:t>42</w:t>
                  </w:r>
                </w:sdtContent>
              </w:sdt>
              <w:r>
                <w:rPr>
                  <w:bCs/>
                  <w:szCs w:val="24"/>
                </w:rPr>
                <w:t>.</w:t>
                <w:tab/>
                <w:t xml:space="preserve">Lietuvos autoverslininkų asociacija, el. p. </w:t>
              </w:r>
              <w:r>
                <w:rPr>
                  <w:bCs/>
                  <w:color w:val="000080"/>
                  <w:szCs w:val="24"/>
                  <w:u w:val="single"/>
                  <w:shd w:val="clear" w:color="auto" w:fill="FFFFFF"/>
                </w:rPr>
                <w:t>valdyba@laa.lt</w:t>
              </w:r>
            </w:p>
          </w:sdtContent>
        </w:sdt>
        <w:sdt>
          <w:sdtPr>
            <w:alias w:val="43 p."/>
            <w:tag w:val="part_2e738f27e9e04783b15361c58cb3a0ff"/>
            <w:lock w:val="sdtLocked"/>
            <w:richText/>
          </w:sdtPr>
          <w:sdtContent>
            <w:p>
              <w:pPr>
                <w:ind w:left="720" w:hanging="360"/>
                <w:jc w:val="both"/>
                <w:rPr>
                  <w:bCs/>
                  <w:szCs w:val="24"/>
                </w:rPr>
              </w:pPr>
              <w:sdt>
                <w:sdtPr>
                  <w:alias w:val="Numeris"/>
                  <w:tag w:val="nr_2e738f27e9e04783b15361c58cb3a0ff"/>
                  <w:lock w:val="sdtLocked"/>
                  <w:richText/>
                </w:sdtPr>
                <w:sdtContent>
                  <w:r>
                    <w:rPr>
                      <w:bCs/>
                      <w:szCs w:val="24"/>
                    </w:rPr>
                    <w:t>43</w:t>
                  </w:r>
                </w:sdtContent>
              </w:sdt>
              <w:r>
                <w:rPr>
                  <w:bCs/>
                  <w:szCs w:val="24"/>
                </w:rPr>
                <w:t>.</w:t>
                <w:tab/>
                <w:t xml:space="preserve">Valstybinė mokesčių inspekcija prie Lietuvos Respublikos finansų ministerijos, el. p. </w:t>
              </w:r>
              <w:r>
                <w:rPr>
                  <w:bCs/>
                  <w:color w:val="000080"/>
                  <w:szCs w:val="24"/>
                  <w:u w:val="single"/>
                </w:rPr>
                <w:t>vmi</w:t>
              </w:r>
              <w:r>
                <w:rPr>
                  <w:bCs/>
                  <w:color w:val="000080"/>
                  <w:szCs w:val="24"/>
                  <w:u w:val="single"/>
                  <w:lang w:val="en-US"/>
                </w:rPr>
                <w:t>@vmi.lt</w:t>
              </w:r>
            </w:p>
            <w:p>
              <w:pPr>
                <w:ind w:left="720"/>
                <w:jc w:val="both"/>
                <w:rPr>
                  <w:bCs/>
                  <w:szCs w:val="24"/>
                </w:rPr>
              </w:pPr>
            </w:p>
            <w:p>
              <w:pPr>
                <w:widowControl w:val="0"/>
                <w:suppressAutoHyphens/>
                <w:ind w:left="720"/>
                <w:rPr>
                  <w:rFonts w:eastAsia="Andale Sans UI" w:cs="Tahoma"/>
                  <w:color w:val="000000"/>
                  <w:szCs w:val="24"/>
                  <w:lang w:val="en-GB" w:bidi="en-US"/>
                </w:rPr>
              </w:pPr>
            </w:p>
            <w:p>
              <w:pPr>
                <w:ind w:firstLine="62"/>
                <w:rPr>
                  <w:rFonts w:eastAsia="Andale Sans UI" w:cs="Tahoma"/>
                  <w:szCs w:val="24"/>
                  <w:lang w:bidi="en-US"/>
                </w:rPr>
              </w:pPr>
            </w:p>
            <w:p/>
            <w:p>
              <w:pPr>
                <w:widowControl w:val="0"/>
                <w:suppressLineNumbers/>
                <w:suppressAutoHyphens/>
                <w:snapToGrid w:val="0"/>
                <w:spacing w:line="360" w:lineRule="auto"/>
                <w:rPr>
                  <w:rFonts w:eastAsia="Andale Sans UI" w:cs="Tahoma"/>
                  <w:szCs w:val="24"/>
                  <w:lang w:bidi="en-US"/>
                </w:rPr>
              </w:pPr>
            </w:p>
          </w:sdtContent>
        </w:sdt>
      </w:sdtContent>
    </w:sdt>
    <w:sectPr>
      <w:headerReference w:type="even" r:id="rId48"/>
      <w:headerReference w:type="default" r:id="rId49"/>
      <w:footerReference w:type="even" r:id="rId50"/>
      <w:footerReference w:type="default" r:id="rId51"/>
      <w:headerReference w:type="first" r:id="rId52"/>
      <w:footerReference w:type="first" r:id="rId53"/>
      <w:footnotePr>
        <w:pos w:val="beneathText"/>
      </w:footnotePr>
      <w:endnotePr>
        <w:numFmt w:val="decimal"/>
      </w:endnotePr>
      <w:pgSz w:w="11905" w:h="16837"/>
      <w:pgMar w:top="1134" w:right="706" w:bottom="1089" w:left="1560" w:header="567" w:footer="0"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widowControl w:val="0"/>
        <w:suppressAutoHyphens/>
        <w:rPr>
          <w:rFonts w:eastAsia="Andale Sans UI" w:cs="Tahoma"/>
          <w:szCs w:val="24"/>
          <w:lang w:bidi="en-US"/>
        </w:rPr>
      </w:pPr>
      <w:r>
        <w:rPr>
          <w:rFonts w:eastAsia="Andale Sans UI" w:cs="Tahoma"/>
          <w:szCs w:val="24"/>
          <w:lang w:bidi="en-US"/>
        </w:rPr>
        <w:separator/>
      </w:r>
    </w:p>
  </w:endnote>
  <w:end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ndale Sans UI">
    <w:altName w:val="Arial"/>
    <w:charset w:val="BA"/>
    <w:family w:val="swiss"/>
    <w:pitch w:val="variable"/>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Microsoft Himalaya">
    <w:panose1 w:val="01010100010101010101"/>
    <w:charset w:val="00"/>
    <w:family w:val="auto"/>
    <w:pitch w:val="variable"/>
    <w:sig w:usb0="80000003" w:usb1="00010000" w:usb2="00000040" w:usb3="00000000" w:csb0="00000001"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right"/>
      <w:rPr>
        <w:rFonts w:eastAsia="Andale Sans UI" w:cs="Tahoma"/>
        <w:szCs w:val="24"/>
        <w:lang w:bidi="en-US"/>
      </w:rPr>
    </w:pPr>
    <w:r>
      <w:rPr>
        <w:rFonts w:eastAsia="Andale Sans UI" w:cs="Tahoma"/>
        <w:szCs w:val="24"/>
        <w:lang w:val="en-US"/>
      </w:rPr>
      <w:drawing>
        <wp:inline distT="0" distB="0" distL="0" distR="0" wp14:anchorId="24D65772" wp14:editId="4DE58203">
          <wp:extent cx="467995" cy="775335"/>
          <wp:effectExtent l="19050" t="0" r="8255" b="0"/>
          <wp:docPr id="1" name="Picture 1" descr="emas_zenklas_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as_zenklas_grey"/>
                  <pic:cNvPicPr>
                    <a:picLocks noChangeAspect="1" noChangeArrowheads="1"/>
                  </pic:cNvPicPr>
                </pic:nvPicPr>
                <pic:blipFill>
                  <a:blip r:embed="rId1"/>
                  <a:srcRect/>
                  <a:stretch>
                    <a:fillRect/>
                  </a:stretch>
                </pic:blipFill>
                <pic:spPr bwMode="auto">
                  <a:xfrm>
                    <a:off x="0" y="0"/>
                    <a:ext cx="467995" cy="775335"/>
                  </a:xfrm>
                  <a:prstGeom prst="rect">
                    <a:avLst/>
                  </a:prstGeom>
                  <a:noFill/>
                  <a:ln w="9525">
                    <a:noFill/>
                    <a:miter lim="800000"/>
                    <a:headEnd/>
                    <a:tailEnd/>
                  </a:ln>
                </pic:spPr>
              </pic:pic>
            </a:graphicData>
          </a:graphic>
        </wp:inline>
      </w:drawing>
    </w: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widowControl w:val="0"/>
        <w:suppressAutoHyphens/>
        <w:rPr>
          <w:rFonts w:eastAsia="Andale Sans UI" w:cs="Tahoma"/>
          <w:szCs w:val="24"/>
          <w:lang w:bidi="en-US"/>
        </w:rPr>
      </w:pPr>
      <w:r>
        <w:rPr>
          <w:rFonts w:eastAsia="Andale Sans UI" w:cs="Tahoma"/>
          <w:szCs w:val="24"/>
          <w:lang w:bidi="en-US"/>
        </w:rPr>
        <w:separator/>
      </w:r>
    </w:p>
  </w:footnote>
  <w:foot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footnote>
  <w:footnote w:id="1">
    <w:p>
      <w:pPr>
        <w:widowControl w:val="0"/>
        <w:suppressAutoHyphens/>
        <w:jc w:val="both"/>
        <w:rPr>
          <w:rFonts w:eastAsia="Andale Sans UI" w:cs="Tahoma"/>
          <w:i/>
          <w:sz w:val="20"/>
          <w:lang w:bidi="en-US"/>
        </w:rPr>
      </w:pPr>
      <w:r>
        <w:rPr>
          <w:rFonts w:eastAsia="Andale Sans UI" w:cs="Tahoma"/>
          <w:sz w:val="20"/>
          <w:vertAlign w:val="superscript"/>
          <w:lang w:bidi="en-US"/>
        </w:rPr>
        <w:footnoteRef/>
      </w:r>
      <w:r>
        <w:rPr>
          <w:rFonts w:eastAsia="Andale Sans UI" w:cs="Tahoma"/>
          <w:sz w:val="20"/>
          <w:lang w:bidi="en-US"/>
        </w:rPr>
        <w:t xml:space="preserve"> 1994 m. Europos Parlamento ir Tarybos direktyvos 94/62/EB dėl pakuočių ir pakuočių atliekų (toliau – Direktyva 94/62/EB) 6 straipsnio 1 dalies b, d, e punktai.</w:t>
      </w:r>
    </w:p>
  </w:footnote>
  <w:footnote w:id="2">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Valstybinio atliekų tvarkymo 2014–2020 metų plano, patvirtinto Lietuvos Respublikos Vyriausybės 2002 m. balandžio 12 d. nutarimu Nr. 519 „Dėl Valstybinio atliekų tvarkymo 2014–2020 metų plano patvirtinimo“, 272 punktas.</w:t>
      </w:r>
    </w:p>
  </w:footnote>
  <w:footnote w:id="3">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Direktyvos 94/62/EB 6 straipsnio 1 dalies f, g, h, i punktai.</w:t>
      </w:r>
    </w:p>
  </w:footnote>
  <w:footnote w:id="4">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w:t>
      </w:r>
      <w:r>
        <w:rPr>
          <w:rFonts w:eastAsia="Andale Sans UI"/>
          <w:sz w:val="20"/>
          <w:lang w:bidi="en-US"/>
        </w:rPr>
        <w:t>Aplinkos apsaugos agentūros duomenimis, 2019 metais perdirbta 57,4 proc. stiklinių pakuočių atliekų.</w:t>
      </w:r>
    </w:p>
  </w:footnote>
  <w:footnote w:id="5">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Direktyvos 6 straipsnio 1 dalies g punkto v papunktis, i punkto v papunktis.</w:t>
      </w:r>
    </w:p>
  </w:footnote>
  <w:footnote w:id="6">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w:t>
      </w:r>
      <w:r>
        <w:rPr>
          <w:rFonts w:eastAsia="Andale Sans UI"/>
          <w:sz w:val="20"/>
          <w:lang w:bidi="en-US"/>
        </w:rPr>
        <w:t>Aplinkos apsaugos agentūros duomenimis, 2019 metais perdirbta – 73,8 proc., o panaudota – 82 proc. plastikinių pakuočių atliekų.</w:t>
      </w:r>
    </w:p>
  </w:footnote>
  <w:footnote w:id="7">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Direktyvos 6 straipsnio 1 dalies g punkto i papunktis, i punkto i papunktis.</w:t>
      </w:r>
    </w:p>
  </w:footnote>
  <w:footnote w:id="8">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w:t>
      </w:r>
      <w:r>
        <w:rPr>
          <w:rFonts w:eastAsia="Andale Sans UI"/>
          <w:sz w:val="20"/>
          <w:lang w:bidi="en-US"/>
        </w:rPr>
        <w:t>Aplinkos apsaugos agentūros duomenimis, 2019 metais perdirbta 29,4 proc., o panaudota 34,9 proc. kombinuotų pakuočių atliekų.</w:t>
      </w:r>
    </w:p>
  </w:footnote>
  <w:footnote w:id="9">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w:t>
      </w:r>
      <w:r>
        <w:rPr>
          <w:rFonts w:eastAsia="Andale Sans UI"/>
          <w:sz w:val="20"/>
          <w:lang w:bidi="en-US"/>
        </w:rPr>
        <w:t>Aplinkos apsaugos agentūros duomenimis, 2019 metais perdirbta 84,4 proc., o panaudota 82,6 proc. metalinių pakuočių atliekų.</w:t>
      </w:r>
    </w:p>
  </w:footnote>
  <w:footnote w:id="10">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Direktyvos 6 straipsnio 1 dalies g punkto i papunktis, i punkto i papunktis.</w:t>
      </w:r>
    </w:p>
  </w:footnote>
  <w:footnote w:id="1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w:t>
      </w:r>
      <w:r>
        <w:rPr>
          <w:rFonts w:eastAsia="Andale Sans UI"/>
          <w:sz w:val="20"/>
          <w:lang w:bidi="en-US"/>
        </w:rPr>
        <w:t>Aplinkos apsaugos agentūros duomenimis, 2019 metais perdirbta 82,2 proc., panaudota 82,2 proc. popierinių ir kartoninių pakuočių atliekų.</w:t>
      </w:r>
    </w:p>
  </w:footnote>
  <w:footnote w:id="1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Direktyvos 6 straipsnio 1 dalies i punkto vi papunktis.</w:t>
      </w:r>
    </w:p>
  </w:footnote>
  <w:footnote w:id="13">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w:t>
      </w:r>
      <w:r>
        <w:rPr>
          <w:rFonts w:eastAsia="Andale Sans UI"/>
          <w:sz w:val="20"/>
          <w:lang w:bidi="en-US"/>
        </w:rPr>
        <w:t>Aplinkos apsaugos agentūros duomenimis, 2019 metais perdirbta 28,8 proc., o panaudota 59,7 proc. medinių pakuočių atliekų.</w:t>
      </w:r>
    </w:p>
  </w:footnote>
  <w:footnote w:id="14">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Direktyvos 6 straipsnio 1 dalies h punktas.</w:t>
      </w:r>
    </w:p>
  </w:footnote>
  <w:footnote w:id="15">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w:t>
      </w:r>
      <w:r>
        <w:rPr>
          <w:rFonts w:eastAsia="Andale Sans UI"/>
          <w:sz w:val="20"/>
          <w:lang w:bidi="en-US"/>
        </w:rPr>
        <w:t xml:space="preserve">Aplinkos ministerijos užsakymu viešojo pirkimo būdu atrinktų nepriklausomų ekspertų atlikta studija </w:t>
      </w:r>
      <w:r>
        <w:rPr>
          <w:rFonts w:eastAsia="Andale Sans UI" w:cs="Tahoma"/>
          <w:color w:val="444444"/>
          <w:spacing w:val="2"/>
          <w:sz w:val="20"/>
          <w:shd w:val="clear" w:color="auto" w:fill="FFFFFF"/>
          <w:lang w:bidi="en-US"/>
        </w:rPr>
        <w:t xml:space="preserve">,Padangų </w:t>
      </w:r>
      <w:r>
        <w:rPr>
          <w:rFonts w:eastAsia="Andale Sans UI" w:cs="Tahoma"/>
          <w:spacing w:val="2"/>
          <w:sz w:val="20"/>
          <w:shd w:val="clear" w:color="auto" w:fill="FFFFFF"/>
          <w:lang w:bidi="en-US"/>
        </w:rPr>
        <w:t xml:space="preserve">atliekų panaudojimas statybos ir kitų produktų gamyboje, statyboje ar kitose veiklose“, prieiga per internetą: </w:t>
      </w:r>
      <w:r>
        <w:rPr>
          <w:rFonts w:eastAsia="Andale Sans UI" w:cs="Tahoma"/>
          <w:color w:val="000080"/>
          <w:spacing w:val="2"/>
          <w:sz w:val="20"/>
          <w:u w:val="single"/>
          <w:shd w:val="clear" w:color="auto" w:fill="FFFFFF"/>
          <w:lang w:bidi="en-US"/>
        </w:rPr>
        <w:t>https://am.lrv.lt/lt/naujienos/ekspertai-padangu-atliekas-siulo-naudoti-keliams-ir-takams-tiesti</w:t>
      </w:r>
      <w:r>
        <w:rPr>
          <w:rFonts w:eastAsia="Andale Sans UI" w:cs="Tahoma"/>
          <w:color w:val="444444"/>
          <w:spacing w:val="2"/>
          <w:sz w:val="20"/>
          <w:shd w:val="clear" w:color="auto" w:fill="FFFFFF"/>
          <w:lang w:bidi="en-US"/>
        </w:rPr>
        <w:t xml:space="preserve"> </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4</w: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126977"/>
  </w:hdrShapeDefaults>
  <w:footnotePr>
    <w:pos w:val="beneathText"/>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12C6"/>
  </w:rsids>
  <m:mathPr>
    <m:mathFont m:val="Cambria Math"/>
    <m:brkBin m:val="before"/>
    <m:brkBinSub m:val="--"/>
    <m:smallFrac m:val="0"/>
    <m:dispDef/>
    <m:lMargin m:val="0"/>
    <m:rMargin m:val="0"/>
    <m:defJc m:val="centerGroup"/>
    <m:wrapIndent m:val="1440"/>
    <m:intLim m:val="subSup"/>
    <m:naryLim m:val="undOvr"/>
  </m:mathPr>
  <w:themeFontLang w:val="lt-LT" w:bidi="bo-CN"/>
  <w:clrSchemeMapping w:bg1="light1" w:t1="dark1" w:bg2="light2" w:t2="dark2" w:accent1="accent1" w:accent2="accent2" w:accent3="accent3" w:accent4="accent4" w:accent5="accent5" w:accent6="accent6" w:hyperlink="hyperlink" w:followedHyperlink="followedHyperlink"/>
  <w:shapeDefaults>
    <o:shapedefaults v:ext="edit" spidmax="12697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84833679">
      <w:bodyDiv w:val="1"/>
      <w:marLeft w:val="0"/>
      <w:marRight w:val="0"/>
      <w:marTop w:val="0"/>
      <w:marBottom w:val="0"/>
      <w:divBdr>
        <w:top w:val="none" w:sz="0" w:space="0" w:color="auto"/>
        <w:left w:val="none" w:sz="0" w:space="0" w:color="auto"/>
        <w:bottom w:val="none" w:sz="0" w:space="0" w:color="auto"/>
        <w:right w:val="none" w:sz="0" w:space="0" w:color="auto"/>
      </w:divBdr>
    </w:div>
    <w:div w:id="426733804">
      <w:bodyDiv w:val="1"/>
      <w:marLeft w:val="0"/>
      <w:marRight w:val="0"/>
      <w:marTop w:val="0"/>
      <w:marBottom w:val="0"/>
      <w:divBdr>
        <w:top w:val="none" w:sz="0" w:space="0" w:color="auto"/>
        <w:left w:val="none" w:sz="0" w:space="0" w:color="auto"/>
        <w:bottom w:val="none" w:sz="0" w:space="0" w:color="auto"/>
        <w:right w:val="none" w:sz="0" w:space="0" w:color="auto"/>
      </w:divBdr>
    </w:div>
    <w:div w:id="495850583">
      <w:bodyDiv w:val="1"/>
      <w:marLeft w:val="0"/>
      <w:marRight w:val="0"/>
      <w:marTop w:val="0"/>
      <w:marBottom w:val="0"/>
      <w:divBdr>
        <w:top w:val="none" w:sz="0" w:space="0" w:color="auto"/>
        <w:left w:val="none" w:sz="0" w:space="0" w:color="auto"/>
        <w:bottom w:val="none" w:sz="0" w:space="0" w:color="auto"/>
        <w:right w:val="none" w:sz="0" w:space="0" w:color="auto"/>
      </w:divBdr>
    </w:div>
    <w:div w:id="591429555">
      <w:bodyDiv w:val="1"/>
      <w:marLeft w:val="0"/>
      <w:marRight w:val="0"/>
      <w:marTop w:val="0"/>
      <w:marBottom w:val="0"/>
      <w:divBdr>
        <w:top w:val="none" w:sz="0" w:space="0" w:color="auto"/>
        <w:left w:val="none" w:sz="0" w:space="0" w:color="auto"/>
        <w:bottom w:val="none" w:sz="0" w:space="0" w:color="auto"/>
        <w:right w:val="none" w:sz="0" w:space="0" w:color="auto"/>
      </w:divBdr>
    </w:div>
    <w:div w:id="595988168">
      <w:bodyDiv w:val="1"/>
      <w:marLeft w:val="0"/>
      <w:marRight w:val="0"/>
      <w:marTop w:val="0"/>
      <w:marBottom w:val="0"/>
      <w:divBdr>
        <w:top w:val="none" w:sz="0" w:space="0" w:color="auto"/>
        <w:left w:val="none" w:sz="0" w:space="0" w:color="auto"/>
        <w:bottom w:val="none" w:sz="0" w:space="0" w:color="auto"/>
        <w:right w:val="none" w:sz="0" w:space="0" w:color="auto"/>
      </w:divBdr>
    </w:div>
    <w:div w:id="665598009">
      <w:bodyDiv w:val="1"/>
      <w:marLeft w:val="0"/>
      <w:marRight w:val="0"/>
      <w:marTop w:val="0"/>
      <w:marBottom w:val="0"/>
      <w:divBdr>
        <w:top w:val="none" w:sz="0" w:space="0" w:color="auto"/>
        <w:left w:val="none" w:sz="0" w:space="0" w:color="auto"/>
        <w:bottom w:val="none" w:sz="0" w:space="0" w:color="auto"/>
        <w:right w:val="none" w:sz="0" w:space="0" w:color="auto"/>
      </w:divBdr>
    </w:div>
    <w:div w:id="725492259">
      <w:bodyDiv w:val="1"/>
      <w:marLeft w:val="0"/>
      <w:marRight w:val="0"/>
      <w:marTop w:val="0"/>
      <w:marBottom w:val="0"/>
      <w:divBdr>
        <w:top w:val="none" w:sz="0" w:space="0" w:color="auto"/>
        <w:left w:val="none" w:sz="0" w:space="0" w:color="auto"/>
        <w:bottom w:val="none" w:sz="0" w:space="0" w:color="auto"/>
        <w:right w:val="none" w:sz="0" w:space="0" w:color="auto"/>
      </w:divBdr>
      <w:divsChild>
        <w:div w:id="922757744">
          <w:marLeft w:val="0"/>
          <w:marRight w:val="0"/>
          <w:marTop w:val="0"/>
          <w:marBottom w:val="0"/>
          <w:divBdr>
            <w:top w:val="none" w:sz="0" w:space="0" w:color="auto"/>
            <w:left w:val="none" w:sz="0" w:space="0" w:color="auto"/>
            <w:bottom w:val="none" w:sz="0" w:space="0" w:color="auto"/>
            <w:right w:val="none" w:sz="0" w:space="0" w:color="auto"/>
          </w:divBdr>
        </w:div>
      </w:divsChild>
    </w:div>
    <w:div w:id="752704095">
      <w:bodyDiv w:val="1"/>
      <w:marLeft w:val="0"/>
      <w:marRight w:val="0"/>
      <w:marTop w:val="0"/>
      <w:marBottom w:val="0"/>
      <w:divBdr>
        <w:top w:val="none" w:sz="0" w:space="0" w:color="auto"/>
        <w:left w:val="none" w:sz="0" w:space="0" w:color="auto"/>
        <w:bottom w:val="none" w:sz="0" w:space="0" w:color="auto"/>
        <w:right w:val="none" w:sz="0" w:space="0" w:color="auto"/>
      </w:divBdr>
    </w:div>
    <w:div w:id="765148647">
      <w:bodyDiv w:val="1"/>
      <w:marLeft w:val="0"/>
      <w:marRight w:val="0"/>
      <w:marTop w:val="0"/>
      <w:marBottom w:val="0"/>
      <w:divBdr>
        <w:top w:val="none" w:sz="0" w:space="0" w:color="auto"/>
        <w:left w:val="none" w:sz="0" w:space="0" w:color="auto"/>
        <w:bottom w:val="none" w:sz="0" w:space="0" w:color="auto"/>
        <w:right w:val="none" w:sz="0" w:space="0" w:color="auto"/>
      </w:divBdr>
    </w:div>
    <w:div w:id="811825903">
      <w:bodyDiv w:val="1"/>
      <w:marLeft w:val="0"/>
      <w:marRight w:val="0"/>
      <w:marTop w:val="0"/>
      <w:marBottom w:val="0"/>
      <w:divBdr>
        <w:top w:val="none" w:sz="0" w:space="0" w:color="auto"/>
        <w:left w:val="none" w:sz="0" w:space="0" w:color="auto"/>
        <w:bottom w:val="none" w:sz="0" w:space="0" w:color="auto"/>
        <w:right w:val="none" w:sz="0" w:space="0" w:color="auto"/>
      </w:divBdr>
    </w:div>
    <w:div w:id="917859717">
      <w:bodyDiv w:val="1"/>
      <w:marLeft w:val="0"/>
      <w:marRight w:val="0"/>
      <w:marTop w:val="0"/>
      <w:marBottom w:val="0"/>
      <w:divBdr>
        <w:top w:val="none" w:sz="0" w:space="0" w:color="auto"/>
        <w:left w:val="none" w:sz="0" w:space="0" w:color="auto"/>
        <w:bottom w:val="none" w:sz="0" w:space="0" w:color="auto"/>
        <w:right w:val="none" w:sz="0" w:space="0" w:color="auto"/>
      </w:divBdr>
    </w:div>
    <w:div w:id="981270672">
      <w:bodyDiv w:val="1"/>
      <w:marLeft w:val="0"/>
      <w:marRight w:val="0"/>
      <w:marTop w:val="0"/>
      <w:marBottom w:val="0"/>
      <w:divBdr>
        <w:top w:val="none" w:sz="0" w:space="0" w:color="auto"/>
        <w:left w:val="none" w:sz="0" w:space="0" w:color="auto"/>
        <w:bottom w:val="none" w:sz="0" w:space="0" w:color="auto"/>
        <w:right w:val="none" w:sz="0" w:space="0" w:color="auto"/>
      </w:divBdr>
    </w:div>
    <w:div w:id="1336955184">
      <w:bodyDiv w:val="1"/>
      <w:marLeft w:val="0"/>
      <w:marRight w:val="0"/>
      <w:marTop w:val="0"/>
      <w:marBottom w:val="0"/>
      <w:divBdr>
        <w:top w:val="none" w:sz="0" w:space="0" w:color="auto"/>
        <w:left w:val="none" w:sz="0" w:space="0" w:color="auto"/>
        <w:bottom w:val="none" w:sz="0" w:space="0" w:color="auto"/>
        <w:right w:val="none" w:sz="0" w:space="0" w:color="auto"/>
      </w:divBdr>
    </w:div>
    <w:div w:id="1378118322">
      <w:bodyDiv w:val="1"/>
      <w:marLeft w:val="0"/>
      <w:marRight w:val="0"/>
      <w:marTop w:val="0"/>
      <w:marBottom w:val="0"/>
      <w:divBdr>
        <w:top w:val="none" w:sz="0" w:space="0" w:color="auto"/>
        <w:left w:val="none" w:sz="0" w:space="0" w:color="auto"/>
        <w:bottom w:val="none" w:sz="0" w:space="0" w:color="auto"/>
        <w:right w:val="none" w:sz="0" w:space="0" w:color="auto"/>
      </w:divBdr>
    </w:div>
    <w:div w:id="1425297305">
      <w:bodyDiv w:val="1"/>
      <w:marLeft w:val="0"/>
      <w:marRight w:val="0"/>
      <w:marTop w:val="0"/>
      <w:marBottom w:val="0"/>
      <w:divBdr>
        <w:top w:val="none" w:sz="0" w:space="0" w:color="auto"/>
        <w:left w:val="none" w:sz="0" w:space="0" w:color="auto"/>
        <w:bottom w:val="none" w:sz="0" w:space="0" w:color="auto"/>
        <w:right w:val="none" w:sz="0" w:space="0" w:color="auto"/>
      </w:divBdr>
      <w:divsChild>
        <w:div w:id="1007364031">
          <w:marLeft w:val="0"/>
          <w:marRight w:val="0"/>
          <w:marTop w:val="0"/>
          <w:marBottom w:val="0"/>
          <w:divBdr>
            <w:top w:val="none" w:sz="0" w:space="0" w:color="auto"/>
            <w:left w:val="none" w:sz="0" w:space="0" w:color="auto"/>
            <w:bottom w:val="none" w:sz="0" w:space="0" w:color="auto"/>
            <w:right w:val="none" w:sz="0" w:space="0" w:color="auto"/>
          </w:divBdr>
        </w:div>
        <w:div w:id="1264192219">
          <w:marLeft w:val="0"/>
          <w:marRight w:val="0"/>
          <w:marTop w:val="0"/>
          <w:marBottom w:val="0"/>
          <w:divBdr>
            <w:top w:val="none" w:sz="0" w:space="0" w:color="auto"/>
            <w:left w:val="none" w:sz="0" w:space="0" w:color="auto"/>
            <w:bottom w:val="none" w:sz="0" w:space="0" w:color="auto"/>
            <w:right w:val="none" w:sz="0" w:space="0" w:color="auto"/>
          </w:divBdr>
        </w:div>
        <w:div w:id="142238417">
          <w:marLeft w:val="0"/>
          <w:marRight w:val="0"/>
          <w:marTop w:val="0"/>
          <w:marBottom w:val="0"/>
          <w:divBdr>
            <w:top w:val="none" w:sz="0" w:space="0" w:color="auto"/>
            <w:left w:val="none" w:sz="0" w:space="0" w:color="auto"/>
            <w:bottom w:val="none" w:sz="0" w:space="0" w:color="auto"/>
            <w:right w:val="none" w:sz="0" w:space="0" w:color="auto"/>
          </w:divBdr>
        </w:div>
        <w:div w:id="436023385">
          <w:marLeft w:val="0"/>
          <w:marRight w:val="0"/>
          <w:marTop w:val="0"/>
          <w:marBottom w:val="0"/>
          <w:divBdr>
            <w:top w:val="none" w:sz="0" w:space="0" w:color="auto"/>
            <w:left w:val="none" w:sz="0" w:space="0" w:color="auto"/>
            <w:bottom w:val="none" w:sz="0" w:space="0" w:color="auto"/>
            <w:right w:val="none" w:sz="0" w:space="0" w:color="auto"/>
          </w:divBdr>
        </w:div>
        <w:div w:id="1673331830">
          <w:marLeft w:val="0"/>
          <w:marRight w:val="0"/>
          <w:marTop w:val="0"/>
          <w:marBottom w:val="0"/>
          <w:divBdr>
            <w:top w:val="none" w:sz="0" w:space="0" w:color="auto"/>
            <w:left w:val="none" w:sz="0" w:space="0" w:color="auto"/>
            <w:bottom w:val="none" w:sz="0" w:space="0" w:color="auto"/>
            <w:right w:val="none" w:sz="0" w:space="0" w:color="auto"/>
          </w:divBdr>
        </w:div>
        <w:div w:id="1060791644">
          <w:marLeft w:val="0"/>
          <w:marRight w:val="0"/>
          <w:marTop w:val="0"/>
          <w:marBottom w:val="0"/>
          <w:divBdr>
            <w:top w:val="none" w:sz="0" w:space="0" w:color="auto"/>
            <w:left w:val="none" w:sz="0" w:space="0" w:color="auto"/>
            <w:bottom w:val="none" w:sz="0" w:space="0" w:color="auto"/>
            <w:right w:val="none" w:sz="0" w:space="0" w:color="auto"/>
          </w:divBdr>
        </w:div>
        <w:div w:id="578489668">
          <w:marLeft w:val="0"/>
          <w:marRight w:val="0"/>
          <w:marTop w:val="0"/>
          <w:marBottom w:val="0"/>
          <w:divBdr>
            <w:top w:val="none" w:sz="0" w:space="0" w:color="auto"/>
            <w:left w:val="none" w:sz="0" w:space="0" w:color="auto"/>
            <w:bottom w:val="none" w:sz="0" w:space="0" w:color="auto"/>
            <w:right w:val="none" w:sz="0" w:space="0" w:color="auto"/>
          </w:divBdr>
        </w:div>
        <w:div w:id="1779908740">
          <w:marLeft w:val="0"/>
          <w:marRight w:val="0"/>
          <w:marTop w:val="0"/>
          <w:marBottom w:val="0"/>
          <w:divBdr>
            <w:top w:val="none" w:sz="0" w:space="0" w:color="auto"/>
            <w:left w:val="none" w:sz="0" w:space="0" w:color="auto"/>
            <w:bottom w:val="none" w:sz="0" w:space="0" w:color="auto"/>
            <w:right w:val="none" w:sz="0" w:space="0" w:color="auto"/>
          </w:divBdr>
        </w:div>
        <w:div w:id="537353232">
          <w:marLeft w:val="0"/>
          <w:marRight w:val="0"/>
          <w:marTop w:val="0"/>
          <w:marBottom w:val="0"/>
          <w:divBdr>
            <w:top w:val="none" w:sz="0" w:space="0" w:color="auto"/>
            <w:left w:val="none" w:sz="0" w:space="0" w:color="auto"/>
            <w:bottom w:val="none" w:sz="0" w:space="0" w:color="auto"/>
            <w:right w:val="none" w:sz="0" w:space="0" w:color="auto"/>
          </w:divBdr>
        </w:div>
        <w:div w:id="17046205">
          <w:marLeft w:val="0"/>
          <w:marRight w:val="0"/>
          <w:marTop w:val="0"/>
          <w:marBottom w:val="0"/>
          <w:divBdr>
            <w:top w:val="none" w:sz="0" w:space="0" w:color="auto"/>
            <w:left w:val="none" w:sz="0" w:space="0" w:color="auto"/>
            <w:bottom w:val="none" w:sz="0" w:space="0" w:color="auto"/>
            <w:right w:val="none" w:sz="0" w:space="0" w:color="auto"/>
          </w:divBdr>
        </w:div>
        <w:div w:id="1710302769">
          <w:marLeft w:val="0"/>
          <w:marRight w:val="0"/>
          <w:marTop w:val="0"/>
          <w:marBottom w:val="0"/>
          <w:divBdr>
            <w:top w:val="none" w:sz="0" w:space="0" w:color="auto"/>
            <w:left w:val="none" w:sz="0" w:space="0" w:color="auto"/>
            <w:bottom w:val="none" w:sz="0" w:space="0" w:color="auto"/>
            <w:right w:val="none" w:sz="0" w:space="0" w:color="auto"/>
          </w:divBdr>
        </w:div>
        <w:div w:id="1148669557">
          <w:marLeft w:val="0"/>
          <w:marRight w:val="0"/>
          <w:marTop w:val="0"/>
          <w:marBottom w:val="0"/>
          <w:divBdr>
            <w:top w:val="none" w:sz="0" w:space="0" w:color="auto"/>
            <w:left w:val="none" w:sz="0" w:space="0" w:color="auto"/>
            <w:bottom w:val="none" w:sz="0" w:space="0" w:color="auto"/>
            <w:right w:val="none" w:sz="0" w:space="0" w:color="auto"/>
          </w:divBdr>
        </w:div>
        <w:div w:id="242376074">
          <w:marLeft w:val="0"/>
          <w:marRight w:val="0"/>
          <w:marTop w:val="0"/>
          <w:marBottom w:val="0"/>
          <w:divBdr>
            <w:top w:val="none" w:sz="0" w:space="0" w:color="auto"/>
            <w:left w:val="none" w:sz="0" w:space="0" w:color="auto"/>
            <w:bottom w:val="none" w:sz="0" w:space="0" w:color="auto"/>
            <w:right w:val="none" w:sz="0" w:space="0" w:color="auto"/>
          </w:divBdr>
        </w:div>
        <w:div w:id="354498721">
          <w:marLeft w:val="0"/>
          <w:marRight w:val="0"/>
          <w:marTop w:val="0"/>
          <w:marBottom w:val="0"/>
          <w:divBdr>
            <w:top w:val="none" w:sz="0" w:space="0" w:color="auto"/>
            <w:left w:val="none" w:sz="0" w:space="0" w:color="auto"/>
            <w:bottom w:val="none" w:sz="0" w:space="0" w:color="auto"/>
            <w:right w:val="none" w:sz="0" w:space="0" w:color="auto"/>
          </w:divBdr>
        </w:div>
        <w:div w:id="77480116">
          <w:marLeft w:val="0"/>
          <w:marRight w:val="0"/>
          <w:marTop w:val="0"/>
          <w:marBottom w:val="0"/>
          <w:divBdr>
            <w:top w:val="none" w:sz="0" w:space="0" w:color="auto"/>
            <w:left w:val="none" w:sz="0" w:space="0" w:color="auto"/>
            <w:bottom w:val="none" w:sz="0" w:space="0" w:color="auto"/>
            <w:right w:val="none" w:sz="0" w:space="0" w:color="auto"/>
          </w:divBdr>
        </w:div>
        <w:div w:id="1640958326">
          <w:marLeft w:val="0"/>
          <w:marRight w:val="0"/>
          <w:marTop w:val="0"/>
          <w:marBottom w:val="0"/>
          <w:divBdr>
            <w:top w:val="none" w:sz="0" w:space="0" w:color="auto"/>
            <w:left w:val="none" w:sz="0" w:space="0" w:color="auto"/>
            <w:bottom w:val="none" w:sz="0" w:space="0" w:color="auto"/>
            <w:right w:val="none" w:sz="0" w:space="0" w:color="auto"/>
          </w:divBdr>
        </w:div>
        <w:div w:id="20404507">
          <w:marLeft w:val="0"/>
          <w:marRight w:val="0"/>
          <w:marTop w:val="0"/>
          <w:marBottom w:val="0"/>
          <w:divBdr>
            <w:top w:val="none" w:sz="0" w:space="0" w:color="auto"/>
            <w:left w:val="none" w:sz="0" w:space="0" w:color="auto"/>
            <w:bottom w:val="none" w:sz="0" w:space="0" w:color="auto"/>
            <w:right w:val="none" w:sz="0" w:space="0" w:color="auto"/>
          </w:divBdr>
        </w:div>
        <w:div w:id="2046709681">
          <w:marLeft w:val="0"/>
          <w:marRight w:val="0"/>
          <w:marTop w:val="0"/>
          <w:marBottom w:val="0"/>
          <w:divBdr>
            <w:top w:val="none" w:sz="0" w:space="0" w:color="auto"/>
            <w:left w:val="none" w:sz="0" w:space="0" w:color="auto"/>
            <w:bottom w:val="none" w:sz="0" w:space="0" w:color="auto"/>
            <w:right w:val="none" w:sz="0" w:space="0" w:color="auto"/>
          </w:divBdr>
        </w:div>
        <w:div w:id="1690137799">
          <w:marLeft w:val="0"/>
          <w:marRight w:val="0"/>
          <w:marTop w:val="0"/>
          <w:marBottom w:val="0"/>
          <w:divBdr>
            <w:top w:val="none" w:sz="0" w:space="0" w:color="auto"/>
            <w:left w:val="none" w:sz="0" w:space="0" w:color="auto"/>
            <w:bottom w:val="none" w:sz="0" w:space="0" w:color="auto"/>
            <w:right w:val="none" w:sz="0" w:space="0" w:color="auto"/>
          </w:divBdr>
        </w:div>
        <w:div w:id="783233090">
          <w:marLeft w:val="0"/>
          <w:marRight w:val="0"/>
          <w:marTop w:val="0"/>
          <w:marBottom w:val="0"/>
          <w:divBdr>
            <w:top w:val="none" w:sz="0" w:space="0" w:color="auto"/>
            <w:left w:val="none" w:sz="0" w:space="0" w:color="auto"/>
            <w:bottom w:val="none" w:sz="0" w:space="0" w:color="auto"/>
            <w:right w:val="none" w:sz="0" w:space="0" w:color="auto"/>
          </w:divBdr>
        </w:div>
        <w:div w:id="1682003761">
          <w:marLeft w:val="0"/>
          <w:marRight w:val="0"/>
          <w:marTop w:val="0"/>
          <w:marBottom w:val="0"/>
          <w:divBdr>
            <w:top w:val="none" w:sz="0" w:space="0" w:color="auto"/>
            <w:left w:val="none" w:sz="0" w:space="0" w:color="auto"/>
            <w:bottom w:val="none" w:sz="0" w:space="0" w:color="auto"/>
            <w:right w:val="none" w:sz="0" w:space="0" w:color="auto"/>
          </w:divBdr>
        </w:div>
        <w:div w:id="148450161">
          <w:marLeft w:val="0"/>
          <w:marRight w:val="0"/>
          <w:marTop w:val="0"/>
          <w:marBottom w:val="0"/>
          <w:divBdr>
            <w:top w:val="none" w:sz="0" w:space="0" w:color="auto"/>
            <w:left w:val="none" w:sz="0" w:space="0" w:color="auto"/>
            <w:bottom w:val="none" w:sz="0" w:space="0" w:color="auto"/>
            <w:right w:val="none" w:sz="0" w:space="0" w:color="auto"/>
          </w:divBdr>
        </w:div>
        <w:div w:id="456677393">
          <w:marLeft w:val="0"/>
          <w:marRight w:val="0"/>
          <w:marTop w:val="0"/>
          <w:marBottom w:val="0"/>
          <w:divBdr>
            <w:top w:val="none" w:sz="0" w:space="0" w:color="auto"/>
            <w:left w:val="none" w:sz="0" w:space="0" w:color="auto"/>
            <w:bottom w:val="none" w:sz="0" w:space="0" w:color="auto"/>
            <w:right w:val="none" w:sz="0" w:space="0" w:color="auto"/>
          </w:divBdr>
        </w:div>
        <w:div w:id="356589546">
          <w:marLeft w:val="0"/>
          <w:marRight w:val="0"/>
          <w:marTop w:val="0"/>
          <w:marBottom w:val="0"/>
          <w:divBdr>
            <w:top w:val="none" w:sz="0" w:space="0" w:color="auto"/>
            <w:left w:val="none" w:sz="0" w:space="0" w:color="auto"/>
            <w:bottom w:val="none" w:sz="0" w:space="0" w:color="auto"/>
            <w:right w:val="none" w:sz="0" w:space="0" w:color="auto"/>
          </w:divBdr>
        </w:div>
        <w:div w:id="1530559015">
          <w:marLeft w:val="0"/>
          <w:marRight w:val="0"/>
          <w:marTop w:val="0"/>
          <w:marBottom w:val="0"/>
          <w:divBdr>
            <w:top w:val="none" w:sz="0" w:space="0" w:color="auto"/>
            <w:left w:val="none" w:sz="0" w:space="0" w:color="auto"/>
            <w:bottom w:val="none" w:sz="0" w:space="0" w:color="auto"/>
            <w:right w:val="none" w:sz="0" w:space="0" w:color="auto"/>
          </w:divBdr>
        </w:div>
        <w:div w:id="1141926132">
          <w:marLeft w:val="0"/>
          <w:marRight w:val="0"/>
          <w:marTop w:val="0"/>
          <w:marBottom w:val="0"/>
          <w:divBdr>
            <w:top w:val="none" w:sz="0" w:space="0" w:color="auto"/>
            <w:left w:val="none" w:sz="0" w:space="0" w:color="auto"/>
            <w:bottom w:val="none" w:sz="0" w:space="0" w:color="auto"/>
            <w:right w:val="none" w:sz="0" w:space="0" w:color="auto"/>
          </w:divBdr>
        </w:div>
        <w:div w:id="301543331">
          <w:marLeft w:val="0"/>
          <w:marRight w:val="0"/>
          <w:marTop w:val="0"/>
          <w:marBottom w:val="0"/>
          <w:divBdr>
            <w:top w:val="none" w:sz="0" w:space="0" w:color="auto"/>
            <w:left w:val="none" w:sz="0" w:space="0" w:color="auto"/>
            <w:bottom w:val="none" w:sz="0" w:space="0" w:color="auto"/>
            <w:right w:val="none" w:sz="0" w:space="0" w:color="auto"/>
          </w:divBdr>
        </w:div>
        <w:div w:id="316883292">
          <w:marLeft w:val="0"/>
          <w:marRight w:val="0"/>
          <w:marTop w:val="0"/>
          <w:marBottom w:val="0"/>
          <w:divBdr>
            <w:top w:val="none" w:sz="0" w:space="0" w:color="auto"/>
            <w:left w:val="none" w:sz="0" w:space="0" w:color="auto"/>
            <w:bottom w:val="none" w:sz="0" w:space="0" w:color="auto"/>
            <w:right w:val="none" w:sz="0" w:space="0" w:color="auto"/>
          </w:divBdr>
        </w:div>
        <w:div w:id="1963000720">
          <w:marLeft w:val="0"/>
          <w:marRight w:val="0"/>
          <w:marTop w:val="0"/>
          <w:marBottom w:val="0"/>
          <w:divBdr>
            <w:top w:val="none" w:sz="0" w:space="0" w:color="auto"/>
            <w:left w:val="none" w:sz="0" w:space="0" w:color="auto"/>
            <w:bottom w:val="none" w:sz="0" w:space="0" w:color="auto"/>
            <w:right w:val="none" w:sz="0" w:space="0" w:color="auto"/>
          </w:divBdr>
        </w:div>
        <w:div w:id="977029110">
          <w:marLeft w:val="0"/>
          <w:marRight w:val="0"/>
          <w:marTop w:val="0"/>
          <w:marBottom w:val="0"/>
          <w:divBdr>
            <w:top w:val="none" w:sz="0" w:space="0" w:color="auto"/>
            <w:left w:val="none" w:sz="0" w:space="0" w:color="auto"/>
            <w:bottom w:val="none" w:sz="0" w:space="0" w:color="auto"/>
            <w:right w:val="none" w:sz="0" w:space="0" w:color="auto"/>
          </w:divBdr>
        </w:div>
        <w:div w:id="982080737">
          <w:marLeft w:val="0"/>
          <w:marRight w:val="0"/>
          <w:marTop w:val="0"/>
          <w:marBottom w:val="0"/>
          <w:divBdr>
            <w:top w:val="none" w:sz="0" w:space="0" w:color="auto"/>
            <w:left w:val="none" w:sz="0" w:space="0" w:color="auto"/>
            <w:bottom w:val="none" w:sz="0" w:space="0" w:color="auto"/>
            <w:right w:val="none" w:sz="0" w:space="0" w:color="auto"/>
          </w:divBdr>
        </w:div>
        <w:div w:id="1519269738">
          <w:marLeft w:val="0"/>
          <w:marRight w:val="0"/>
          <w:marTop w:val="0"/>
          <w:marBottom w:val="0"/>
          <w:divBdr>
            <w:top w:val="none" w:sz="0" w:space="0" w:color="auto"/>
            <w:left w:val="none" w:sz="0" w:space="0" w:color="auto"/>
            <w:bottom w:val="none" w:sz="0" w:space="0" w:color="auto"/>
            <w:right w:val="none" w:sz="0" w:space="0" w:color="auto"/>
          </w:divBdr>
        </w:div>
        <w:div w:id="147674924">
          <w:marLeft w:val="0"/>
          <w:marRight w:val="0"/>
          <w:marTop w:val="0"/>
          <w:marBottom w:val="0"/>
          <w:divBdr>
            <w:top w:val="none" w:sz="0" w:space="0" w:color="auto"/>
            <w:left w:val="none" w:sz="0" w:space="0" w:color="auto"/>
            <w:bottom w:val="none" w:sz="0" w:space="0" w:color="auto"/>
            <w:right w:val="none" w:sz="0" w:space="0" w:color="auto"/>
          </w:divBdr>
        </w:div>
      </w:divsChild>
    </w:div>
    <w:div w:id="1522164202">
      <w:bodyDiv w:val="1"/>
      <w:marLeft w:val="0"/>
      <w:marRight w:val="0"/>
      <w:marTop w:val="0"/>
      <w:marBottom w:val="0"/>
      <w:divBdr>
        <w:top w:val="none" w:sz="0" w:space="0" w:color="auto"/>
        <w:left w:val="none" w:sz="0" w:space="0" w:color="auto"/>
        <w:bottom w:val="none" w:sz="0" w:space="0" w:color="auto"/>
        <w:right w:val="none" w:sz="0" w:space="0" w:color="auto"/>
      </w:divBdr>
    </w:div>
    <w:div w:id="1672179220">
      <w:bodyDiv w:val="1"/>
      <w:marLeft w:val="0"/>
      <w:marRight w:val="0"/>
      <w:marTop w:val="0"/>
      <w:marBottom w:val="0"/>
      <w:divBdr>
        <w:top w:val="none" w:sz="0" w:space="0" w:color="auto"/>
        <w:left w:val="none" w:sz="0" w:space="0" w:color="auto"/>
        <w:bottom w:val="none" w:sz="0" w:space="0" w:color="auto"/>
        <w:right w:val="none" w:sz="0" w:space="0" w:color="auto"/>
      </w:divBdr>
    </w:div>
    <w:div w:id="1682270277">
      <w:bodyDiv w:val="1"/>
      <w:marLeft w:val="0"/>
      <w:marRight w:val="0"/>
      <w:marTop w:val="0"/>
      <w:marBottom w:val="0"/>
      <w:divBdr>
        <w:top w:val="none" w:sz="0" w:space="0" w:color="auto"/>
        <w:left w:val="none" w:sz="0" w:space="0" w:color="auto"/>
        <w:bottom w:val="none" w:sz="0" w:space="0" w:color="auto"/>
        <w:right w:val="none" w:sz="0" w:space="0" w:color="auto"/>
      </w:divBdr>
      <w:divsChild>
        <w:div w:id="1414426531">
          <w:marLeft w:val="0"/>
          <w:marRight w:val="0"/>
          <w:marTop w:val="0"/>
          <w:marBottom w:val="0"/>
          <w:divBdr>
            <w:top w:val="none" w:sz="0" w:space="0" w:color="auto"/>
            <w:left w:val="none" w:sz="0" w:space="0" w:color="auto"/>
            <w:bottom w:val="none" w:sz="0" w:space="0" w:color="auto"/>
            <w:right w:val="none" w:sz="0" w:space="0" w:color="auto"/>
          </w:divBdr>
        </w:div>
      </w:divsChild>
    </w:div>
    <w:div w:id="1784880921">
      <w:bodyDiv w:val="1"/>
      <w:marLeft w:val="0"/>
      <w:marRight w:val="0"/>
      <w:marTop w:val="0"/>
      <w:marBottom w:val="0"/>
      <w:divBdr>
        <w:top w:val="none" w:sz="0" w:space="0" w:color="auto"/>
        <w:left w:val="none" w:sz="0" w:space="0" w:color="auto"/>
        <w:bottom w:val="none" w:sz="0" w:space="0" w:color="auto"/>
        <w:right w:val="none" w:sz="0" w:space="0" w:color="auto"/>
      </w:divBdr>
      <w:divsChild>
        <w:div w:id="1209486431">
          <w:marLeft w:val="0"/>
          <w:marRight w:val="0"/>
          <w:marTop w:val="0"/>
          <w:marBottom w:val="0"/>
          <w:divBdr>
            <w:top w:val="none" w:sz="0" w:space="0" w:color="auto"/>
            <w:left w:val="none" w:sz="0" w:space="0" w:color="auto"/>
            <w:bottom w:val="none" w:sz="0" w:space="0" w:color="auto"/>
            <w:right w:val="none" w:sz="0" w:space="0" w:color="auto"/>
          </w:divBdr>
          <w:divsChild>
            <w:div w:id="1481918604">
              <w:marLeft w:val="0"/>
              <w:marRight w:val="0"/>
              <w:marTop w:val="0"/>
              <w:marBottom w:val="0"/>
              <w:divBdr>
                <w:top w:val="none" w:sz="0" w:space="0" w:color="auto"/>
                <w:left w:val="none" w:sz="0" w:space="0" w:color="auto"/>
                <w:bottom w:val="none" w:sz="0" w:space="0" w:color="auto"/>
                <w:right w:val="none" w:sz="0" w:space="0" w:color="auto"/>
              </w:divBdr>
              <w:divsChild>
                <w:div w:id="219678950">
                  <w:marLeft w:val="0"/>
                  <w:marRight w:val="0"/>
                  <w:marTop w:val="0"/>
                  <w:marBottom w:val="0"/>
                  <w:divBdr>
                    <w:top w:val="none" w:sz="0" w:space="0" w:color="auto"/>
                    <w:left w:val="none" w:sz="0" w:space="0" w:color="auto"/>
                    <w:bottom w:val="none" w:sz="0" w:space="0" w:color="auto"/>
                    <w:right w:val="none" w:sz="0" w:space="0" w:color="auto"/>
                  </w:divBdr>
                  <w:divsChild>
                    <w:div w:id="164102511">
                      <w:marLeft w:val="0"/>
                      <w:marRight w:val="0"/>
                      <w:marTop w:val="0"/>
                      <w:marBottom w:val="0"/>
                      <w:divBdr>
                        <w:top w:val="none" w:sz="0" w:space="0" w:color="auto"/>
                        <w:left w:val="none" w:sz="0" w:space="0" w:color="auto"/>
                        <w:bottom w:val="none" w:sz="0" w:space="0" w:color="auto"/>
                        <w:right w:val="none" w:sz="0" w:space="0" w:color="auto"/>
                      </w:divBdr>
                      <w:divsChild>
                        <w:div w:id="1519199662">
                          <w:marLeft w:val="0"/>
                          <w:marRight w:val="0"/>
                          <w:marTop w:val="0"/>
                          <w:marBottom w:val="0"/>
                          <w:divBdr>
                            <w:top w:val="none" w:sz="0" w:space="0" w:color="auto"/>
                            <w:left w:val="none" w:sz="0" w:space="0" w:color="auto"/>
                            <w:bottom w:val="none" w:sz="0" w:space="0" w:color="auto"/>
                            <w:right w:val="none" w:sz="0" w:space="0" w:color="auto"/>
                          </w:divBdr>
                          <w:divsChild>
                            <w:div w:id="2113695981">
                              <w:marLeft w:val="0"/>
                              <w:marRight w:val="0"/>
                              <w:marTop w:val="0"/>
                              <w:marBottom w:val="0"/>
                              <w:divBdr>
                                <w:top w:val="none" w:sz="0" w:space="0" w:color="auto"/>
                                <w:left w:val="none" w:sz="0" w:space="0" w:color="auto"/>
                                <w:bottom w:val="none" w:sz="0" w:space="0" w:color="auto"/>
                                <w:right w:val="none" w:sz="0" w:space="0" w:color="auto"/>
                              </w:divBdr>
                              <w:divsChild>
                                <w:div w:id="409233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96636443">
      <w:bodyDiv w:val="1"/>
      <w:marLeft w:val="0"/>
      <w:marRight w:val="0"/>
      <w:marTop w:val="0"/>
      <w:marBottom w:val="0"/>
      <w:divBdr>
        <w:top w:val="none" w:sz="0" w:space="0" w:color="auto"/>
        <w:left w:val="none" w:sz="0" w:space="0" w:color="auto"/>
        <w:bottom w:val="none" w:sz="0" w:space="0" w:color="auto"/>
        <w:right w:val="none" w:sz="0" w:space="0" w:color="auto"/>
      </w:divBdr>
      <w:divsChild>
        <w:div w:id="791945354">
          <w:marLeft w:val="0"/>
          <w:marRight w:val="0"/>
          <w:marTop w:val="0"/>
          <w:marBottom w:val="0"/>
          <w:divBdr>
            <w:top w:val="none" w:sz="0" w:space="0" w:color="auto"/>
            <w:left w:val="none" w:sz="0" w:space="0" w:color="auto"/>
            <w:bottom w:val="none" w:sz="0" w:space="0" w:color="auto"/>
            <w:right w:val="none" w:sz="0" w:space="0" w:color="auto"/>
          </w:divBdr>
        </w:div>
      </w:divsChild>
    </w:div>
    <w:div w:id="2014606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48" Type="http://schemas.openxmlformats.org/officeDocument/2006/relationships/header" Target="header1.xml"/>
  <Relationship Id="rId49" Type="http://schemas.openxmlformats.org/officeDocument/2006/relationships/header" Target="header2.xml"/>
  <Relationship Id="rId5" Type="http://schemas.openxmlformats.org/officeDocument/2006/relationships/webSettings" Target="webSettings.xml"/>
  <Relationship Id="rId50" Type="http://schemas.openxmlformats.org/officeDocument/2006/relationships/footer" Target="footer1.xml"/>
  <Relationship Id="rId51" Type="http://schemas.openxmlformats.org/officeDocument/2006/relationships/footer" Target="footer2.xml"/>
  <Relationship Id="rId52" Type="http://schemas.openxmlformats.org/officeDocument/2006/relationships/header" Target="header3.xml"/>
  <Relationship Id="rId53" Type="http://schemas.openxmlformats.org/officeDocument/2006/relationships/footer" Target="footer3.xml"/>
  <Relationship Id="rId54" Type="http://schemas.openxmlformats.org/officeDocument/2006/relationships/fontTable" Target="fontTable.xml"/>
  <Relationship Id="rId55" Type="http://schemas.openxmlformats.org/officeDocument/2006/relationships/theme" Target="theme/theme1.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s>

</file>

<file path=word/_rels/footer3.xml.rels><?xml version="1.0" encoding="UTF-8"?>

<Relationships xmlns="http://schemas.openxmlformats.org/package/2006/relationships">
  <Relationship Id="rId1"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lentele" DocPartId="8b9c5213dd2b4d72a4c9fba6436906cc" PartId="0d0e9719eccf4a3098d988561ec94564"/>
  <Part Type="pastraipa" DocPartId="48b67bb61515439796be850f9cd16cf4" PartId="65cdce34139a44bd82d1e9bdd0af7a02"/>
  <Part Type="pastraipa" DocPartId="0813bd133800483484a5a6b939cb1865" PartId="5ce3a26b4a3e40bd8164199a6761de34"/>
  <Part Type="pastraipa" DocPartId="0ca2191168714ff48cb8296d0adbee8e" PartId="5ca6b2c76db64edd969f185c40298be1"/>
  <Part Type="pastraipa" DocPartId="029217175db54414b585fb86e75465fc" PartId="2f726aad5d9f4b76b1e0d6b16ee0f83c">
    <Part Type="punktas" Nr="1" Abbr="1 p." DocPartId="8bcfdd569675423ea07d456125bdfa4c" PartId="50bd340bf0b5478e8afa305e2e0afee4">
      <Part Type="papunktis" Nr="1.1" Abbr="1.1 pp." DocPartId="a7508aa76fc841a4b397eb4b2f4780f6" PartId="49aac2609dc84f888d3269600903d00c"/>
      <Part Type="papunktis" Nr="1.2" Abbr="1.2 pp." DocPartId="01a924953cec4cf48cc1d6403785701a" PartId="529cb2ddbda34b429568351a9de2fc6c"/>
      <Part Type="papunktis" Nr="1.3" Abbr="1.3 pp." DocPartId="1bc1d801a874424189cb1f0958893222" PartId="66eb3469864940c5937e4c59a17319f5"/>
      <Part Type="papunktis" Nr="1.4" Abbr="1.4 pp." DocPartId="7327bf4c766d439ab92f615b9729052b" PartId="60d956748f0b402982d3e2b0e9238dc8"/>
      <Part Type="papunktis" Nr="1.5" Abbr="1.5 pp." DocPartId="e108dedc8ae84653b49bb91227c2eb7d" PartId="d24ff4010c494cc796ceec7fcc0a9477"/>
      <Part Type="papunktis" Nr="1.6" Abbr="1.6 pp." DocPartId="a7469d2926a3402183fcc1f1b06a8e58" PartId="8cb43b1cd8ae4cf6adaba7f0f9a02686"/>
      <Part Type="papunktis" Nr="1.7" Abbr="1.7 pp." DocPartId="5939e48b481648fd9c83878b1f4254a2" PartId="f7771d4326ce499e8739cf441addedbc"/>
    </Part>
    <Part Type="punktas" Nr="2" Abbr="2 p." DocPartId="dc1b0e1d29ea422ea32366f3b1e7bc17" PartId="ae91bb789f2440679248dddea6d6cd85"/>
    <Part Type="punktas" Nr="4" Abbr="4 p." Notes="Numeris ne iš eilės. Trūksta dalių? [DocDalys]" DocPartId="e8eb2090f425461592885fe44b432f18" PartId="22b2b47c0d4f41a8824588b59d55fc36"/>
    <Part Type="punktas" Nr="1" Abbr="1 p." Notes="Numeris ne iš eilės. Trūksta dalių? [DocDalys]" DocPartId="a9b80fa9664f4323bed045e0d60a2e8e" PartId="e2c9a493ac6247b2b34634094dddf376"/>
    <Part Type="punktas" Nr="2" Abbr="2 p." DocPartId="aaa3c2ef2824421eb0ed02af580a0625" PartId="f22f442179664df69278b0f55db55136"/>
    <Part Type="punktas" Nr="3" Abbr="3 p." DocPartId="c6910383ac2149a4a95f7db7aab5b492" PartId="b60082943cb24989926767aef00bec58"/>
    <Part Type="punktas" Nr="4" Abbr="4 p." DocPartId="d84a9a0e5b8a483e8732fe0ce3777e1e" PartId="4b9ee42476054c9a8352c750108f0548"/>
    <Part Type="punktas" Nr="1" Abbr="1 p." Notes="Numeris ne iš eilės. Trūksta dalių? [DocDalys]" DocPartId="7b921bcfc75746659e43e7bfa49c4a09" PartId="abdfa0a945f64d3ea7ff39702606a5d5"/>
    <Part Type="punktas" Nr="2" Abbr="2 p." DocPartId="4176177cd44b475baada537630f0a807" PartId="889da88bb8df4aa69a918e751d44ba54"/>
    <Part Type="punktas" Nr="3" Abbr="3 p." DocPartId="52700a8d4a54450db622a986aaeb4232" PartId="7922bf505ee84aa58c2baa8eb775f453"/>
    <Part Type="punktas" Nr="4" Abbr="4 p." DocPartId="666f532a44b040a1949bb3af13dafe50" PartId="d5097bacbc4b42d5825c56400cc36c71"/>
    <Part Type="punktas" Nr="5" Abbr="5 p." DocPartId="5eeb793147604f79a37f7a05b9f1b195" PartId="9c070ac3005543c2b43a6212800f6840"/>
    <Part Type="punktas" Nr="6" Abbr="6 p." DocPartId="ed5660bc43224951ad2e0bd3df6986f3" PartId="a62753ce103745dbbb380dfb6dc0f747"/>
    <Part Type="punktas" Nr="7" Abbr="7 p." DocPartId="36735351e5b247e885795f157d834fd1" PartId="84adbc5eaad145f5ab4a4fa1fd27a690"/>
    <Part Type="punktas" Nr="8" Abbr="8 p." DocPartId="6f8d76a32d954a1b80a4f814d15c0515" PartId="589af90d3aac4a6d80556e8d72eb5080"/>
    <Part Type="punktas" Nr="9" Abbr="9 p." DocPartId="6ad885f616514ea7892becd6fb2fa2fc" PartId="72c809db64c140d9a78384f684448c01"/>
    <Part Type="punktas" Nr="10" Abbr="10 p." DocPartId="e6b38808abe14cad8231d17cb0db0871" PartId="3f7b6ae6ef7a4872b494c34d36d275d2"/>
    <Part Type="punktas" Nr="11" Abbr="11 p." DocPartId="1b637acaee2b43639b43028b90812eac" PartId="b9b87dc2084c4eacb1785618a2867876"/>
    <Part Type="punktas" Nr="12" Abbr="12 p." DocPartId="4df7b5f79e0e45aa82d60de2987cab59" PartId="91ffe99a187a4324b2ee29a02abc7b6d"/>
    <Part Type="punktas" Nr="13" Abbr="13 p." DocPartId="29804cb8c973426c99db4a58a573a088" PartId="ee0d950e41f94116b87e6b523ef75a11"/>
    <Part Type="punktas" Nr="14" Abbr="14 p." DocPartId="d4625ef202c6416d800cfeb8bc8d9069" PartId="ae663895cb2a4f938de17a87efcf4b3c"/>
    <Part Type="punktas" Nr="15" Abbr="15 p." DocPartId="86596523c9e045f89371e24ae0ab62ab" PartId="e11377557e604a1cbf33ab38632e32fc"/>
    <Part Type="punktas" Nr="16" Abbr="16 p." DocPartId="04f53e318e9140eb93dd2d4c72dedb6b" PartId="788182ad8415490f9bf81f87f9160be6"/>
    <Part Type="punktas" Nr="17" Abbr="17 p." DocPartId="b553d4bcf97f4b7eb30329ad056e0cad" PartId="6775a980a99a4e358375cb4037037dfb"/>
    <Part Type="punktas" Nr="18" Abbr="18 p." DocPartId="b7333c14b5164311a6679a5866d945e5" PartId="f8665c1c853d43a9804763fcd79fbb4a"/>
    <Part Type="punktas" Nr="19" Abbr="19 p." DocPartId="d5e2d9b8672341f8a433db7a3a1829d4" PartId="c649f0c2486548ea9656c06c427bae1d"/>
    <Part Type="punktas" Nr="20" Abbr="20 p." DocPartId="4bb402c792ca4f83a2d590827f812932" PartId="b47307e5665a4c1eb9d9733357fc125a"/>
    <Part Type="punktas" Nr="21" Abbr="21 p." DocPartId="1b6f3ea13fb84e22a385fde21ad278dc" PartId="c991e6283b2e4c8c9a035bdf4918e5b4"/>
    <Part Type="punktas" Nr="22" Abbr="22 p." DocPartId="8547276cd8d64eb88f39463f397f00e6" PartId="9a0e302ca04f458b93f5f6014d68550e"/>
    <Part Type="punktas" Nr="23" Abbr="23 p." DocPartId="e02df1aa57ea45498be60263f1db57db" PartId="6e4b9b232fc14c10af4f74c80f251d56"/>
    <Part Type="punktas" Nr="24" Abbr="24 p." DocPartId="08d65787eee549eca2a3e0974e83bbd1" PartId="f3dd5cf93b9f46ddab1ff3f33b477ce9"/>
    <Part Type="punktas" Nr="25" Abbr="25 p." DocPartId="028a7864da794f529503e84df2c3c940" PartId="bf0cc6cfab2242b89f3a65bd571f8916"/>
    <Part Type="punktas" Nr="26" Abbr="26 p." DocPartId="5b38978ee54a4bf5817275361f396232" PartId="b380fde275a048789fe00e032ab53a9d"/>
    <Part Type="punktas" Nr="27" Abbr="27 p." DocPartId="bd47d68ef15f46fc8efb1926ff617103" PartId="254e150f426c475dbaf36416bed83b21"/>
    <Part Type="punktas" Nr="28" Abbr="28 p." DocPartId="dd2a22d5672a4873a5b1c10fc493cd90" PartId="2ef9346493844cd3b0cd01a1c7c7ecc0"/>
    <Part Type="punktas" Nr="29" Abbr="29 p." DocPartId="c26828c306eb43a8bc48b1146c406bd7" PartId="d8709c48e2074c5f89ace3183c20d745"/>
    <Part Type="punktas" Nr="30" Abbr="30 p." DocPartId="d74098820f854574b14b0e2d650e30e6" PartId="04496d1ef7324b89a4433697f1bc475b"/>
    <Part Type="punktas" Nr="31" Abbr="31 p." DocPartId="089bd3f2cd12498e8007e57c95c274d7" PartId="e1b4795c37ec4b749984e4cd74f90d13"/>
    <Part Type="punktas" Nr="32" Abbr="32 p." DocPartId="1c3adea72d4f445583c9cd951ac8d6c6" PartId="4d6b5dc715ce471fb043e88bb50331b0"/>
    <Part Type="punktas" Nr="33" Abbr="33 p." DocPartId="d01cc8210d4049ba885858aab2bfa553" PartId="7e03e80b7b5348a198682fed3d5bdc0c"/>
    <Part Type="punktas" Nr="34" Abbr="34 p." DocPartId="9759ea8d342e4e12ad0263a1e7d846ea" PartId="225a54c49c474992ad6adfeaa2d01677"/>
    <Part Type="punktas" Nr="35" Abbr="35 p." DocPartId="b9e10172b2c74f3e9f2b36b5017beaff" PartId="0e2edc2209be472080c0049787c226b6"/>
    <Part Type="punktas" Nr="36" Abbr="36 p." DocPartId="53753811c9af4ac0ad85768a20fb15fc" PartId="c0f8f12a36214bd49c0ca218f2d71d18"/>
    <Part Type="punktas" Nr="37" Abbr="37 p." DocPartId="cd964e9a1a5448979d07a08ad6123797" PartId="ca955f3705e24018a7a72b623eb2af63"/>
    <Part Type="punktas" Nr="38" Abbr="38 p." DocPartId="dbadf08fa2024ce88658a6b4eeca3392" PartId="dbb0a253282b4a9aaae37e61453ed024"/>
    <Part Type="punktas" Nr="39" Abbr="39 p." DocPartId="83a092ccfb904be2b00b3b874d13c0e1" PartId="2a560478525f46ea873a179c9986a79f"/>
    <Part Type="punktas" Nr="40" Abbr="40 p." DocPartId="03e7b05d58724a2e91f067bb45d7b381" PartId="34148255a09940b99aa134c00d2684c4"/>
    <Part Type="punktas" Nr="41" Abbr="41 p." DocPartId="0e7999d0e43f41e097cb9a17314b15bb" PartId="1b9f09b3375747c7abcef62758985487"/>
    <Part Type="punktas" Nr="42" Abbr="42 p." DocPartId="565fde83c3064bf4b0431650c7815778" PartId="0bae1d4cc3f8431cbcd29c78c50440af"/>
    <Part Type="punktas" Nr="43" Abbr="43 p." DocPartId="ab65418f75a74f4d9f6c51cf3f1933fb" PartId="2e738f27e9e04783b15361c58cb3a0ff"/>
  </Part>
</Parts>
</file>

<file path=customXml/itemProps1.xml><?xml version="1.0" encoding="utf-8"?>
<ds:datastoreItem xmlns:ds="http://schemas.openxmlformats.org/officeDocument/2006/customXml" ds:itemID="{85C85895-577C-4A59-89D0-179C7A17E0C5}">
  <ds:schemaRefs>
    <ds:schemaRef ds:uri="http://schemas.openxmlformats.org/officeDocument/2006/bibliography"/>
  </ds:schemaRefs>
</ds:datastoreItem>
</file>

<file path=customXml/itemProps2.xml><?xml version="1.0" encoding="utf-8"?>
<ds:datastoreItem xmlns:ds="http://schemas.openxmlformats.org/officeDocument/2006/customXml" ds:itemID="{BEF3F0CC-1B58-4AE9-8BDC-9C9BDBC9ED2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1570</Words>
  <Characters>10694</Characters>
  <Application>Microsoft Office Word</Application>
  <DocSecurity>4</DocSecurity>
  <Lines>227</Lines>
  <Paragraphs>113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12151</CharactersWithSpaces>
  <SharedDoc>false</SharedDoc>
  <HyperlinkBase/>
  <HLinks>
    <vt:vector size="12" baseType="variant">
      <vt:variant>
        <vt:i4>4390968</vt:i4>
      </vt:variant>
      <vt:variant>
        <vt:i4>3</vt:i4>
      </vt:variant>
      <vt:variant>
        <vt:i4>0</vt:i4>
      </vt:variant>
      <vt:variant>
        <vt:i4>5</vt:i4>
      </vt:variant>
      <vt:variant>
        <vt:lpwstr>mailto:d.kazlauskiene@am.lt</vt:lpwstr>
      </vt:variant>
      <vt:variant>
        <vt:lpwstr/>
      </vt:variant>
      <vt:variant>
        <vt:i4>4522028</vt:i4>
      </vt:variant>
      <vt:variant>
        <vt:i4>0</vt:i4>
      </vt:variant>
      <vt:variant>
        <vt:i4>0</vt:i4>
      </vt:variant>
      <vt:variant>
        <vt:i4>5</vt:i4>
      </vt:variant>
      <vt:variant>
        <vt:lpwstr>mailto:v.karosiene@am.lt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2021-04-01T13:50:00Z</dcterms:created>
  <dc:creator>Ieva Kazulytė</dc:creator>
  <lastModifiedBy>adlibuser</lastModifiedBy>
  <lastPrinted>2016-11-29T14:34:00Z</lastPrinted>
  <dcterms:modified xsi:type="dcterms:W3CDTF">2021-04-01T13:50:00Z</dcterms:modified>
  <revision>2</revision>
</coreProperties>
</file>