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1e6dcc2a8c243988bf7803910bd518d"/>
        <w:lock w:val="sdtLocked"/>
        <w:richText/>
      </w:sdtPr>
      <w:sdtContent>
        <w:tbl>
          <w:tblPr>
            <w:tblW w:w="0" w:type="auto"/>
            <w:tblLook w:val="04A0" w:firstRow="1" w:lastRow="0" w:firstColumn="1" w:lastColumn="0" w:noHBand="0" w:noVBand="1"/>
          </w:tblPr>
          <w:tblGrid>
            <w:gridCol w:w="9918"/>
            <w:gridCol w:w="4925"/>
          </w:tblGrid>
          <w:tr w14:paraId="1D21283E" w14:textId="77777777">
            <w:tc>
              <w:tcPr>
                <w:tcW w:w="9918" w:type="dxa"/>
              </w:tcPr>
              <w:p w14:paraId="7C39849B" w14:textId="77777777">
                <w:pPr>
                  <w:tabs>
                    <w:tab w:val="center" w:pos="4819"/>
                    <w:tab w:val="right" w:pos="9638"/>
                  </w:tabs>
                </w:pPr>
              </w:p>
              <w:p w14:paraId="45A12C57" w14:textId="77777777">
                <w:pPr>
                  <w:tabs>
                    <w:tab w:val="center" w:pos="4819"/>
                    <w:tab w:val="right" w:pos="9638"/>
                  </w:tabs>
                </w:pPr>
              </w:p>
              <w:p w14:paraId="49C376C9" w14:textId="77777777">
                <w:pPr>
                  <w:widowControl w:val="0"/>
                  <w:suppressAutoHyphens/>
                  <w:jc w:val="both"/>
                  <w:rPr>
                    <w:color w:val="000000"/>
                    <w:szCs w:val="24"/>
                  </w:rPr>
                </w:pPr>
              </w:p>
            </w:tc>
            <w:tc>
              <w:tcPr>
                <w:tcW w:w="4925" w:type="dxa"/>
              </w:tcPr>
              <w:p w14:paraId="5358633D" w14:textId="77777777">
                <w:pPr>
                  <w:widowControl w:val="0"/>
                  <w:suppressAutoHyphens/>
                  <w:ind w:left="1142" w:hanging="284"/>
                  <w:jc w:val="both"/>
                  <w:rPr>
                    <w:color w:val="000000"/>
                    <w:szCs w:val="24"/>
                  </w:rPr>
                </w:pPr>
                <w:r>
                  <w:rPr>
                    <w:color w:val="000000"/>
                    <w:szCs w:val="24"/>
                  </w:rPr>
                  <w:t>PATVIRTINTA</w:t>
                </w:r>
              </w:p>
              <w:p w14:paraId="00E3F5AD" w14:textId="77777777">
                <w:pPr>
                  <w:widowControl w:val="0"/>
                  <w:suppressAutoHyphens/>
                  <w:ind w:left="1142" w:hanging="284"/>
                  <w:jc w:val="both"/>
                  <w:rPr>
                    <w:color w:val="000000"/>
                    <w:szCs w:val="24"/>
                  </w:rPr>
                </w:pPr>
                <w:r>
                  <w:rPr>
                    <w:color w:val="000000"/>
                    <w:szCs w:val="24"/>
                  </w:rPr>
                  <w:t xml:space="preserve">Lietuvos Respublikos aplinkos ministro </w:t>
                </w:r>
              </w:p>
              <w:p w14:paraId="6AB0D67B" w14:textId="2353E450">
                <w:pPr>
                  <w:widowControl w:val="0"/>
                  <w:suppressAutoHyphens/>
                  <w:ind w:left="1142" w:hanging="284"/>
                  <w:jc w:val="both"/>
                  <w:rPr>
                    <w:color w:val="000000"/>
                    <w:szCs w:val="24"/>
                  </w:rPr>
                </w:pPr>
                <w:r>
                  <w:rPr>
                    <w:color w:val="000000"/>
                    <w:szCs w:val="24"/>
                  </w:rPr>
                  <w:t xml:space="preserve">2023 m.               d. įsakymu Nr.</w:t>
                </w:r>
              </w:p>
            </w:tc>
          </w:tr>
        </w:tbl>
        <w:p w14:paraId="29BD4C0E" w14:textId="77777777">
          <w:pPr>
            <w:widowControl w:val="0"/>
            <w:suppressAutoHyphens/>
            <w:ind w:firstLine="567"/>
            <w:jc w:val="both"/>
            <w:rPr>
              <w:color w:val="000000"/>
              <w:szCs w:val="24"/>
            </w:rPr>
          </w:pPr>
        </w:p>
        <w:p w14:paraId="69C774E4" w14:textId="77777777">
          <w:pPr>
            <w:rPr>
              <w:rFonts w:eastAsia="Calibri"/>
              <w:szCs w:val="24"/>
            </w:rPr>
          </w:pPr>
        </w:p>
      </w:sdtContent>
    </w:sdt>
    <w:sdt>
      <w:sdtPr>
        <w:alias w:val="lentele"/>
        <w:tag w:val="part_d1c19a6541cd4c68a9b539fac4675ba0"/>
        <w:lock w:val="sdtLocked"/>
        <w:richText/>
      </w:sdtPr>
      <w:sdtContent>
        <w:p w14:paraId="7408B536" w14:textId="4BDF626C">
          <w:pPr>
            <w:jc w:val="center"/>
            <w:rPr>
              <w:rFonts w:eastAsia="Calibri"/>
              <w:b/>
              <w:bCs/>
              <w:szCs w:val="24"/>
            </w:rPr>
          </w:pPr>
          <w:sdt>
            <w:sdtPr>
              <w:alias w:val="Pavadinimas"/>
              <w:tag w:val="title_d1c19a6541cd4c68a9b539fac4675ba0"/>
              <w:lock w:val="sdtLocked"/>
              <w:richText/>
            </w:sdtPr>
            <w:sdtContent>
              <w:r>
                <w:rPr>
                  <w:b/>
                  <w:bCs/>
                  <w:szCs w:val="24"/>
                </w:rPr>
                <w:t xml:space="preserve">DARBUOTOJŲ DIRBANČIŲ SU MOTORINIŲ TRANSPORTO PRIEMONIŲ ORO KONDICIONAVIMO SISTEMOMIS, KURIOSE YRA FLUORINTŲ ŠILTNAMIO EFEKTĄ SUKELIANČIŲ DUJŲ, ATESTAVIMO IR KVALIFIKACIJOS TOBULINIMO PROGRAMA </w:t>
              </w:r>
            </w:sdtContent>
          </w:sdt>
        </w:p>
        <w:p w14:paraId="5BA2352F" w14:textId="77777777">
          <w:pPr>
            <w:jc w:val="center"/>
            <w:rPr>
              <w:rFonts w:eastAsia="Calibri"/>
              <w:b/>
              <w:bCs/>
              <w:szCs w:val="24"/>
            </w:rPr>
          </w:pPr>
        </w:p>
        <w:tbl>
          <w:tblPr>
            <w:tblW w:w="496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5127"/>
            <w:gridCol w:w="2592"/>
            <w:gridCol w:w="1706"/>
            <w:gridCol w:w="1556"/>
            <w:gridCol w:w="1715"/>
            <w:gridCol w:w="1562"/>
          </w:tblGrid>
          <w:tr w14:paraId="26A862C2"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0D1CD873" w14:textId="71978DEC">
                <w:pPr>
                  <w:jc w:val="center"/>
                  <w:rPr>
                    <w:b/>
                    <w:szCs w:val="24"/>
                    <w:lang w:eastAsia="lt-LT"/>
                  </w:rPr>
                </w:pPr>
                <w:r>
                  <w:rPr>
                    <w:b/>
                    <w:szCs w:val="24"/>
                    <w:lang w:eastAsia="lt-LT"/>
                  </w:rPr>
                  <w:t>MOKYMO P</w:t>
                </w:r>
                <w:r>
                  <w:rPr>
                    <w:b/>
                    <w:bCs/>
                    <w:szCs w:val="24"/>
                    <w:lang w:eastAsia="lt-LT"/>
                  </w:rPr>
                  <w:t>ROGRAMOS APRAŠAS</w:t>
                </w:r>
              </w:p>
            </w:tc>
          </w:tr>
          <w:tr w14:paraId="08D23BB5"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7A46CA77" w14:textId="0FBB8CAB">
                <w:pPr>
                  <w:jc w:val="both"/>
                  <w:rPr>
                    <w:szCs w:val="24"/>
                    <w:lang w:eastAsia="lt-LT"/>
                  </w:rPr>
                </w:pPr>
                <w:r>
                  <w:rPr>
                    <w:b/>
                    <w:szCs w:val="24"/>
                    <w:lang w:eastAsia="lt-LT"/>
                  </w:rPr>
                  <w:t>Bendrosios nuostatos</w:t>
                </w:r>
              </w:p>
            </w:tc>
          </w:tr>
          <w:tr w14:paraId="5E11E453"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tcPr>
              <w:p w14:paraId="044947A1" w14:textId="77777777">
                <w:pPr>
                  <w:rPr>
                    <w:szCs w:val="24"/>
                    <w:lang w:eastAsia="lt-LT"/>
                  </w:rPr>
                </w:pPr>
                <w:r>
                  <w:rPr>
                    <w:szCs w:val="24"/>
                    <w:lang w:eastAsia="lt-LT"/>
                  </w:rPr>
                  <w:t>1.1. Programos aktualumas</w:t>
                </w:r>
              </w:p>
            </w:tc>
            <w:tc>
              <w:tcPr>
                <w:tcW w:w="3051" w:type="pct"/>
                <w:gridSpan w:val="5"/>
                <w:tcBorders>
                  <w:top w:val="single" w:sz="4" w:space="0" w:color="auto"/>
                  <w:left w:val="single" w:sz="4" w:space="0" w:color="auto"/>
                  <w:bottom w:val="single" w:sz="4" w:space="0" w:color="auto"/>
                  <w:right w:val="single" w:sz="4" w:space="0" w:color="auto"/>
                </w:tcBorders>
              </w:tcPr>
              <w:p w14:paraId="77D20443" w14:textId="12AED831">
                <w:pPr>
                  <w:jc w:val="both"/>
                  <w:rPr>
                    <w:szCs w:val="24"/>
                  </w:rPr>
                </w:pPr>
                <w:r>
                  <w:rPr>
                    <w:szCs w:val="24"/>
                    <w:lang w:eastAsia="lt-LT"/>
                  </w:rPr>
                  <w:t xml:space="preserve">Daugelyje motorinių transporto priemonių oro kondicionavimo sistemų naudojamos fluorintos šiltnamio efektą sukeliančios dujos (toliau – F-dujos). Įgyvendinant </w:t>
                </w:r>
                <w:r>
                  <w:rPr>
                    <w:color w:val="000000"/>
                    <w:szCs w:val="24"/>
                    <w:shd w:val="clear" w:color="auto" w:fill="FFFFFF"/>
                  </w:rPr>
                  <w:t xml:space="preserve">2014 m. balandžio 16 d. Europos Parlamento ir Tarybos reglamentą </w:t>
                </w:r>
                <w:fldSimple w:instr="HYPERLINK http://eur-lex.europa.eu/legal-content/LIT/TXT/?uri=CELEX:32014R0517&amp;locale=lt \t _blank">
                  <w:r>
                    <w:rPr>
                      <w:color w:val="0000FF" w:themeColor="hyperlink"/>
                      <w:szCs w:val="24"/>
                      <w:shd w:val="clear" w:color="auto" w:fill="FFFFFF"/>
                      <w:u w:val="single"/>
                    </w:rPr>
                    <w:t>(ES) Nr. 517/2014</w:t>
                  </w:r>
                </w:fldSimple>
                <w:r>
                  <w:rPr>
                    <w:color w:val="000000"/>
                    <w:szCs w:val="24"/>
                    <w:shd w:val="clear" w:color="auto" w:fill="FFFFFF"/>
                  </w:rPr>
                  <w:t xml:space="preserve"> dėl fluorintų šiltnamio efektą sukeliančių dujų, kuriuo panaikinamas Reglamentas </w:t>
                </w:r>
                <w:fldSimple w:instr="HYPERLINK http://eur-lex.europa.eu/legal-content/LIT/TXT/?uri=CELEX:32006R0842&amp;locale=lt \t _blank">
                  <w:r>
                    <w:rPr>
                      <w:color w:val="0000FF" w:themeColor="hyperlink"/>
                      <w:szCs w:val="24"/>
                      <w:shd w:val="clear" w:color="auto" w:fill="FFFFFF"/>
                      <w:u w:val="single"/>
                    </w:rPr>
                    <w:t>(EB) Nr. 842/2006</w:t>
                  </w:r>
                </w:fldSimple>
                <w:r>
                  <w:rPr>
                    <w:color w:val="000000"/>
                    <w:szCs w:val="24"/>
                    <w:shd w:val="clear" w:color="auto" w:fill="FFFFFF"/>
                  </w:rPr>
                  <w:t xml:space="preserve"> (toliau – Reglamentas 517/2014)</w:t>
                </w:r>
                <w:r>
                  <w:rPr>
                    <w:bCs/>
                    <w:szCs w:val="24"/>
                    <w:lang w:eastAsia="lt-LT"/>
                  </w:rPr>
                  <w:t xml:space="preserve"> ir 1987 m. rugsėjo 16 d. Monrealio protokolą dėl ozono sluoksnį ardančių medžiagų su paskutiniais pakeitimais, priimtais 2016 m. spalio 15 d. Kigalyje (Ruanda)</w:t>
                </w:r>
                <w:r>
                  <w:rPr>
                    <w:szCs w:val="24"/>
                    <w:lang w:eastAsia="lt-LT"/>
                  </w:rPr>
                  <w:t xml:space="preserve">, kuriuo siekiama palaipsniui atsisakyti F-dujų </w:t>
                </w:r>
                <w:r>
                  <w:rPr>
                    <w:szCs w:val="24"/>
                  </w:rPr>
                  <w:t xml:space="preserve">gamybos ir vartojimo dėl F-dujų daromo neigiamo poveikio klimatui, būtina užtikrinti tinkamą motorinių transporto priemonių oro kondicionavimo sistemų techninę būklę. </w:t>
                </w:r>
              </w:p>
              <w:p w14:paraId="0A4D99CC" w14:textId="3C35E2E0">
                <w:pPr>
                  <w:jc w:val="both"/>
                  <w:rPr>
                    <w:szCs w:val="24"/>
                    <w:lang w:eastAsia="lt-LT"/>
                  </w:rPr>
                </w:pPr>
                <w:r>
                  <w:rPr>
                    <w:szCs w:val="24"/>
                  </w:rPr>
                  <w:t xml:space="preserve">Vidutinis Lietuvos transporto priemonių parko amžius viršija Europos Sąjungos vidurkį, </w:t>
                </w:r>
                <w:r>
                  <w:rPr>
                    <w:bCs/>
                    <w:szCs w:val="24"/>
                  </w:rPr>
                  <w:t xml:space="preserve">tai lemia didesnę gedimų tikimybę ir nuotėkių riziką, </w:t>
                </w:r>
                <w:r>
                  <w:rPr>
                    <w:szCs w:val="24"/>
                  </w:rPr>
                  <w:t>kylančią dėl nusidėvėjusios oro kondicionavimo įrangos, todėl tinkamą kvalifikaciją turinčių darbuotojų parengimas ar kvalifikacijos tobulinimas leistų užtikrinti tinkamos kvalifikacijos darbuotojų paruošimą ir sumažintų netyčinius dujų nuotėkius dėl netinkamai atliktų darbų taip prisidedant prie neigiamo poveikio klimatui mažinimo.</w:t>
                </w:r>
              </w:p>
            </w:tc>
          </w:tr>
          <w:tr w14:paraId="7DAE6AF6"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tcPr>
              <w:p w14:paraId="6F712D59" w14:textId="77777777">
                <w:pPr>
                  <w:rPr>
                    <w:szCs w:val="24"/>
                    <w:lang w:eastAsia="lt-LT"/>
                  </w:rPr>
                </w:pPr>
                <w:r>
                  <w:rPr>
                    <w:szCs w:val="24"/>
                    <w:lang w:eastAsia="lt-LT"/>
                  </w:rPr>
                  <w:t>1.2. Tikslas ir uždaviniai</w:t>
                </w:r>
              </w:p>
            </w:tc>
            <w:tc>
              <w:tcPr>
                <w:tcW w:w="3051" w:type="pct"/>
                <w:gridSpan w:val="5"/>
                <w:tcBorders>
                  <w:top w:val="single" w:sz="4" w:space="0" w:color="auto"/>
                  <w:left w:val="single" w:sz="4" w:space="0" w:color="auto"/>
                  <w:bottom w:val="single" w:sz="4" w:space="0" w:color="auto"/>
                  <w:right w:val="single" w:sz="4" w:space="0" w:color="auto"/>
                </w:tcBorders>
              </w:tcPr>
              <w:p w14:paraId="63E5B06E" w14:textId="0A91D34A">
                <w:pPr>
                  <w:jc w:val="both"/>
                  <w:rPr>
                    <w:szCs w:val="24"/>
                    <w:lang w:eastAsia="lt-LT"/>
                  </w:rPr>
                </w:pPr>
                <w:r>
                  <w:rPr>
                    <w:szCs w:val="24"/>
                    <w:lang w:eastAsia="lt-LT"/>
                  </w:rPr>
                  <w:t xml:space="preserve">Parengti kvalifikuotus darbuotojus arba atnaujinti jų žinias kvalifikacijos tobulinimo kursuose, kad asmenys gebėtų tinkamai ir laikantis visų saugos reikalavimų montuoti, atlikti techninę priežiūrą, nuotėkių tikrinimą, remontą ar eksploatacijos nutraukimą, F-dujų surinkimą iš motorinių transporto priemonių oro kondicionavimo  sistemos.</w:t>
                </w:r>
              </w:p>
            </w:tc>
          </w:tr>
          <w:tr w14:paraId="78F4E4EA"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274A5B00" w14:textId="79BEE45A">
                <w:pPr>
                  <w:rPr>
                    <w:szCs w:val="24"/>
                    <w:lang w:eastAsia="lt-LT"/>
                  </w:rPr>
                </w:pPr>
                <w:r>
                  <w:rPr>
                    <w:szCs w:val="24"/>
                    <w:lang w:eastAsia="lt-LT"/>
                  </w:rPr>
                  <w:t>1.3. Programos trukmė įskaitant teorinį ir praktinį mokymus</w:t>
                </w:r>
              </w:p>
            </w:tc>
            <w:tc>
              <w:tcPr>
                <w:tcW w:w="3051" w:type="pct"/>
                <w:gridSpan w:val="5"/>
                <w:tcBorders>
                  <w:top w:val="single" w:sz="4" w:space="0" w:color="auto"/>
                  <w:left w:val="single" w:sz="4" w:space="0" w:color="auto"/>
                  <w:bottom w:val="single" w:sz="4" w:space="0" w:color="auto"/>
                  <w:right w:val="single" w:sz="4" w:space="0" w:color="auto"/>
                </w:tcBorders>
              </w:tcPr>
              <w:p w14:paraId="43A34ACF" w14:textId="5DEB269A">
                <w:pPr>
                  <w:jc w:val="both"/>
                  <w:rPr>
                    <w:szCs w:val="24"/>
                    <w:lang w:eastAsia="lt-LT"/>
                  </w:rPr>
                </w:pPr>
                <w:r>
                  <w:rPr>
                    <w:szCs w:val="24"/>
                    <w:lang w:eastAsia="lt-LT"/>
                  </w:rPr>
                  <w:t>Asmenims, norintiems įgyti kvalifikaciją, mokymo programos trukmė turi būti ne trumpesnė kaip 17 kontaktinių valandų.</w:t>
                </w:r>
              </w:p>
              <w:p w14:paraId="6A91DDBF" w14:textId="31C26457">
                <w:pPr>
                  <w:jc w:val="both"/>
                  <w:rPr>
                    <w:szCs w:val="24"/>
                    <w:lang w:eastAsia="lt-LT"/>
                  </w:rPr>
                </w:pPr>
                <w:r>
                  <w:rPr>
                    <w:szCs w:val="24"/>
                    <w:lang w:eastAsia="lt-LT"/>
                  </w:rPr>
                  <w:t>Darbuotojams, kas 7 metus privalantiems tobulinti kvalifikaciją, mokymo programos trukmė turi būti ne trumpesnė kaip 5,5 kontaktinės valandos.</w:t>
                </w:r>
              </w:p>
            </w:tc>
          </w:tr>
          <w:tr w14:paraId="2F88447C"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65FEE0DD" w14:textId="77777777">
                <w:pPr>
                  <w:rPr>
                    <w:szCs w:val="24"/>
                    <w:lang w:eastAsia="lt-LT"/>
                  </w:rPr>
                </w:pPr>
                <w:r>
                  <w:rPr>
                    <w:szCs w:val="24"/>
                    <w:lang w:eastAsia="lt-LT"/>
                  </w:rPr>
                  <w:t>1.4. Programos tikslinė (-ės) dalyvių grupė (grupės)</w:t>
                </w:r>
              </w:p>
            </w:tc>
            <w:tc>
              <w:tcPr>
                <w:tcW w:w="3051" w:type="pct"/>
                <w:gridSpan w:val="5"/>
                <w:tcBorders>
                  <w:top w:val="single" w:sz="4" w:space="0" w:color="auto"/>
                  <w:left w:val="single" w:sz="4" w:space="0" w:color="auto"/>
                  <w:bottom w:val="single" w:sz="4" w:space="0" w:color="auto"/>
                  <w:right w:val="single" w:sz="4" w:space="0" w:color="auto"/>
                </w:tcBorders>
              </w:tcPr>
              <w:p w14:paraId="54784F65" w14:textId="5AAC8E4E">
                <w:pPr>
                  <w:jc w:val="both"/>
                  <w:rPr>
                    <w:szCs w:val="24"/>
                    <w:lang w:eastAsia="lt-LT"/>
                  </w:rPr>
                </w:pPr>
                <w:r>
                  <w:rPr>
                    <w:szCs w:val="24"/>
                    <w:lang w:eastAsia="lt-LT"/>
                  </w:rPr>
                  <w:t>Asmenys, norintys įgyti kvalifikaciją, – fiziniai asmenys, šios lentelės 1.6 papunktyje atitinkantys minimalius reikalavimus bei norintys gauti darbuotojų, dirbančių su F-dujomis, OAM ir jų turinčia įranga pažymėjimus, dirbti su motorinių transporto priemonių oro kondicionavimo sistemomis.</w:t>
                </w:r>
              </w:p>
              <w:p w14:paraId="7E0561DD" w14:textId="402F50C9">
                <w:pPr>
                  <w:jc w:val="both"/>
                  <w:rPr>
                    <w:szCs w:val="24"/>
                    <w:lang w:eastAsia="lt-LT"/>
                  </w:rPr>
                </w:pPr>
                <w:r>
                  <w:rPr>
                    <w:szCs w:val="24"/>
                    <w:lang w:eastAsia="lt-LT"/>
                  </w:rPr>
                  <w:t>Asmenys, norintys tobulinti kvalifikaciją, – darbuotojai, turintys darbuotojų, dirbančių su F</w:t>
                  <w:noBreakHyphen/>
                  <w:t xml:space="preserve">dujomis, OAM ir jų turinčia įranga, pažymėjimus dirbti su motorinių transporto priemonių oro kondicionavimo sistemomis.  </w:t>
                </w:r>
              </w:p>
            </w:tc>
          </w:tr>
          <w:tr w14:paraId="1AD37ECB"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19B823CA" w14:textId="77777777">
                <w:pPr>
                  <w:rPr>
                    <w:szCs w:val="24"/>
                    <w:lang w:eastAsia="lt-LT"/>
                  </w:rPr>
                </w:pPr>
                <w:r>
                  <w:rPr>
                    <w:szCs w:val="24"/>
                    <w:lang w:eastAsia="lt-LT"/>
                  </w:rPr>
                  <w:t>1.5. Programos dalyvių skaičius</w:t>
                </w:r>
              </w:p>
            </w:tc>
            <w:tc>
              <w:tcPr>
                <w:tcW w:w="3051" w:type="pct"/>
                <w:gridSpan w:val="5"/>
                <w:tcBorders>
                  <w:top w:val="single" w:sz="4" w:space="0" w:color="auto"/>
                  <w:left w:val="single" w:sz="4" w:space="0" w:color="auto"/>
                  <w:bottom w:val="single" w:sz="4" w:space="0" w:color="auto"/>
                  <w:right w:val="single" w:sz="4" w:space="0" w:color="auto"/>
                </w:tcBorders>
              </w:tcPr>
              <w:p w14:paraId="4841AE96" w14:textId="3D2C07D7">
                <w:pPr>
                  <w:jc w:val="both"/>
                  <w:rPr>
                    <w:szCs w:val="24"/>
                    <w:lang w:eastAsia="lt-LT"/>
                  </w:rPr>
                </w:pPr>
                <w:r>
                  <w:rPr>
                    <w:szCs w:val="24"/>
                    <w:lang w:eastAsia="lt-LT"/>
                  </w:rPr>
                  <w:t>Programos dalyvių skaičius neribojamas.</w:t>
                </w:r>
              </w:p>
            </w:tc>
          </w:tr>
          <w:tr w14:paraId="24881809"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tcPr>
              <w:p w14:paraId="3EB40478" w14:textId="0E7A8EC0">
                <w:pPr>
                  <w:rPr>
                    <w:szCs w:val="24"/>
                    <w:lang w:eastAsia="lt-LT"/>
                  </w:rPr>
                </w:pPr>
                <w:r>
                  <w:rPr>
                    <w:szCs w:val="24"/>
                    <w:lang w:eastAsia="lt-LT"/>
                  </w:rPr>
                  <w:t>1.6. Minimalūs reikalavimai, norint mokytis pagal programą</w:t>
                </w:r>
              </w:p>
            </w:tc>
            <w:tc>
              <w:tcPr>
                <w:tcW w:w="3051" w:type="pct"/>
                <w:gridSpan w:val="5"/>
                <w:tcBorders>
                  <w:top w:val="single" w:sz="4" w:space="0" w:color="auto"/>
                  <w:left w:val="single" w:sz="4" w:space="0" w:color="auto"/>
                  <w:bottom w:val="single" w:sz="4" w:space="0" w:color="auto"/>
                  <w:right w:val="single" w:sz="4" w:space="0" w:color="auto"/>
                </w:tcBorders>
              </w:tcPr>
              <w:p w14:paraId="1B1C3774" w14:textId="2FACA873">
                <w:pPr>
                  <w:jc w:val="both"/>
                  <w:rPr>
                    <w:szCs w:val="24"/>
                    <w:lang w:eastAsia="lt-LT"/>
                  </w:rPr>
                </w:pPr>
                <w:r>
                  <w:rPr>
                    <w:szCs w:val="24"/>
                    <w:lang w:eastAsia="lt-LT"/>
                  </w:rPr>
                  <w:t>Asmenys, baigę automobilių remontininko modulinę profesinę mokymo programą arba turintys bent 1,5 metų darbo patirtį atliekant transporto priemonių remonto patvirtinančius dokumentus.</w:t>
                </w:r>
              </w:p>
            </w:tc>
          </w:tr>
          <w:tr w14:paraId="3A8E02C3"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140EE245" w14:textId="6D713608">
                <w:pPr>
                  <w:rPr>
                    <w:szCs w:val="24"/>
                    <w:lang w:eastAsia="lt-LT"/>
                  </w:rPr>
                </w:pPr>
                <w:r>
                  <w:rPr>
                    <w:szCs w:val="24"/>
                    <w:lang w:eastAsia="lt-LT"/>
                  </w:rPr>
                  <w:t>1.7. Programos anotacija</w:t>
                </w:r>
              </w:p>
            </w:tc>
            <w:tc>
              <w:tcPr>
                <w:tcW w:w="3051" w:type="pct"/>
                <w:gridSpan w:val="5"/>
                <w:tcBorders>
                  <w:top w:val="single" w:sz="4" w:space="0" w:color="auto"/>
                  <w:left w:val="single" w:sz="4" w:space="0" w:color="auto"/>
                  <w:bottom w:val="single" w:sz="4" w:space="0" w:color="auto"/>
                  <w:right w:val="single" w:sz="4" w:space="0" w:color="auto"/>
                </w:tcBorders>
              </w:tcPr>
              <w:p w14:paraId="1A0B321B" w14:textId="56A3C01A">
                <w:pPr>
                  <w:jc w:val="both"/>
                  <w:rPr>
                    <w:szCs w:val="24"/>
                    <w:lang w:eastAsia="lt-LT"/>
                  </w:rPr>
                </w:pPr>
                <w:r>
                  <w:rPr>
                    <w:szCs w:val="24"/>
                    <w:lang w:eastAsia="lt-LT"/>
                  </w:rPr>
                  <w:t xml:space="preserve">Ši mokymo programa skirta motorinių transporto priemonių oro kondicionavimo ar kitų sistemų montavimą, techninę priežiūrą, nuotėkio tikrinimą, remontą, eksploatacijos nutraukimą, F-dujų surinkimą iš motorinių transporto priemonių oro kondicionavimo sistemų, atliekantiems automobilių mechanikams ar su tokiais įrenginiais norintiems dirbti fiziniams asmenims. Mokymo programa parengta pagal </w:t>
                </w:r>
                <w:r>
                  <w:rPr>
                    <w:color w:val="000000"/>
                    <w:szCs w:val="24"/>
                    <w:shd w:val="clear" w:color="auto" w:fill="FFFFFF"/>
                  </w:rPr>
                  <w:t xml:space="preserve">2008 m. balandžio 2 d. Komisijos reglamentą </w:t>
                </w:r>
                <w:fldSimple w:instr="HYPERLINK http://eur-lex.europa.eu/legal-content/LIT/TXT/?uri=CELEX:32008R0307&amp;locale=lt \t _blank">
                  <w:r>
                    <w:rPr>
                      <w:color w:val="0000FF" w:themeColor="hyperlink"/>
                      <w:szCs w:val="24"/>
                      <w:shd w:val="clear" w:color="auto" w:fill="FFFFFF"/>
                      <w:u w:val="single"/>
                    </w:rPr>
                    <w:t>(EB) Nr. 307/2008</w:t>
                  </w:r>
                </w:fldSimple>
                <w:r>
                  <w:rPr>
                    <w:color w:val="000000"/>
                    <w:szCs w:val="24"/>
                    <w:shd w:val="clear" w:color="auto" w:fill="FFFFFF"/>
                  </w:rPr>
                  <w:t>,</w:t>
                </w:r>
                <w:r>
                  <w:rPr>
                    <w:color w:val="000000"/>
                    <w:szCs w:val="24"/>
                    <w:lang w:eastAsia="lt-LT"/>
                  </w:rPr>
                  <w:t xml:space="preserve"> </w:t>
                </w:r>
                <w:r>
                  <w:rPr>
                    <w:szCs w:val="24"/>
                    <w:lang w:eastAsia="lt-LT"/>
                  </w:rPr>
                  <w:t xml:space="preserve">nustatantį darbuotojų mokymo programų, susijusių su tam tikrų motorinių transporto priemonių oro kondicionavimo sistemomis, kuriose yra tam tikrų fluorintų šiltnamio efektą sukeliančių dujų, būtiniausius reikalavimus ir gautų pažymėjimų abipusio pripažinimo sąlygas pagal Europos Parlamento ir Tarybos reglamentą </w:t>
                </w:r>
                <w:fldSimple w:instr="HYPERLINK http://eur-lex.europa.eu/legal-content/LIT/TXT/?uri=CELEX:32006R0842&amp;locale=lt \t _blank">
                  <w:r>
                    <w:rPr>
                      <w:szCs w:val="24"/>
                      <w:lang w:eastAsia="lt-LT"/>
                      <w:u w:val="single"/>
                      <w:color w:val="0000FF" w:themeColor="hyperlink"/>
                    </w:rPr>
                    <w:t>(EB) Nr. 842/2006</w:t>
                  </w:r>
                </w:fldSimple>
                <w:r>
                  <w:rPr>
                    <w:szCs w:val="24"/>
                    <w:lang w:eastAsia="lt-LT"/>
                  </w:rPr>
                  <w:t xml:space="preserve">. Šią mokymo programą sėkmingai baigę asmenys savarankiškai gebės montuoti, atlikti techninę priežiūrą, remontą ar eksploatacijos nutraukimą, nuotėkio patikrinimą, F-dujų surinkimą iš motorinių transporto priemonių oro kondicionavimo sistemų. </w:t>
                </w:r>
                <w:r>
                  <w:rPr>
                    <w:iCs/>
                    <w:szCs w:val="24"/>
                    <w:lang w:eastAsia="lt-LT"/>
                  </w:rPr>
                  <w:t xml:space="preserve">Teorinius ir praktinius egzaminus išlaikiusiems asmenims išduodamas </w:t>
                </w:r>
                <w:r>
                  <w:rPr>
                    <w:color w:val="000000"/>
                  </w:rPr>
                  <w:t>d</w:t>
                </w:r>
                <w:r>
                  <w:t>arbuotojo, dirbančio su fluorintomis šiltnamio efektą sukeliančiomis dujomis ir ozono sluoksnį ardančiomis medžiagomis bei jų turinčia įranga, pažymėjimas,</w:t>
                </w:r>
                <w:r>
                  <w:rPr>
                    <w:iCs/>
                    <w:color w:val="000000"/>
                    <w:szCs w:val="24"/>
                  </w:rPr>
                  <w:t xml:space="preserve"> patvirtinantys įgytą kvalifikaciją </w:t>
                </w:r>
                <w:r>
                  <w:rPr>
                    <w:iCs/>
                    <w:szCs w:val="24"/>
                  </w:rPr>
                  <w:t>dirbti</w:t>
                </w:r>
                <w:r>
                  <w:rPr>
                    <w:iCs/>
                    <w:szCs w:val="24"/>
                    <w:shd w:val="clear" w:color="auto" w:fill="FFFFFF"/>
                  </w:rPr>
                  <w:t xml:space="preserve"> su </w:t>
                </w:r>
                <w:r>
                  <w:rPr>
                    <w:rFonts w:eastAsia="Andale Sans UI" w:cs="Tahoma"/>
                    <w:lang w:bidi="en-US"/>
                  </w:rPr>
                  <w:t>motorinių transporto priemonių oro kondicionavimo sistemomis, atliekant montavimo, techninės priežiūros, eksploatacijos nutraukimo darbus.</w:t>
                </w:r>
              </w:p>
            </w:tc>
          </w:tr>
          <w:tr w14:paraId="6075F5ED"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6E6E6"/>
              </w:tcPr>
              <w:p w14:paraId="519872B9" w14:textId="28D3118E">
                <w:pPr>
                  <w:rPr>
                    <w:b/>
                    <w:szCs w:val="24"/>
                    <w:lang w:eastAsia="lt-LT"/>
                  </w:rPr>
                </w:pPr>
                <w:r>
                  <w:rPr>
                    <w:b/>
                    <w:szCs w:val="24"/>
                    <w:lang w:eastAsia="lt-LT"/>
                  </w:rPr>
                  <w:t>2. Mokymo programos turinys ir minimali trukmė</w:t>
                </w:r>
              </w:p>
            </w:tc>
          </w:tr>
          <w:tr w14:paraId="2B47CD71" w14:textId="77777777">
            <w:trPr>
              <w:trHeight w:val="102"/>
              <w:jc w:val="center"/>
            </w:trPr>
            <w:tc>
              <w:tcPr>
                <w:tcW w:w="236" w:type="pct"/>
                <w:vMerge w:val="restart"/>
                <w:tcBorders>
                  <w:top w:val="single" w:sz="4" w:space="0" w:color="auto"/>
                  <w:left w:val="single" w:sz="4" w:space="0" w:color="auto"/>
                  <w:right w:val="single" w:sz="4" w:space="0" w:color="auto"/>
                </w:tcBorders>
                <w:shd w:val="clear" w:color="auto" w:fill="E7E6E6" w:themeFill="background2"/>
                <w:vAlign w:val="center"/>
              </w:tcPr>
              <w:p w14:paraId="28687352" w14:textId="77777777">
                <w:pPr>
                  <w:jc w:val="both"/>
                  <w:rPr>
                    <w:b/>
                    <w:szCs w:val="24"/>
                    <w:lang w:eastAsia="lt-LT"/>
                  </w:rPr>
                </w:pPr>
                <w:r>
                  <w:rPr>
                    <w:b/>
                    <w:szCs w:val="24"/>
                    <w:lang w:eastAsia="lt-LT"/>
                  </w:rPr>
                  <w:t>Eil. Nr.</w:t>
                </w:r>
              </w:p>
            </w:tc>
            <w:tc>
              <w:tcPr>
                <w:tcW w:w="1713" w:type="pct"/>
                <w:vMerge w:val="restart"/>
                <w:tcBorders>
                  <w:top w:val="single" w:sz="4" w:space="0" w:color="auto"/>
                  <w:left w:val="single" w:sz="4" w:space="0" w:color="auto"/>
                  <w:right w:val="single" w:sz="4" w:space="0" w:color="auto"/>
                </w:tcBorders>
                <w:shd w:val="clear" w:color="auto" w:fill="E7E6E6" w:themeFill="background2"/>
                <w:vAlign w:val="center"/>
              </w:tcPr>
              <w:p w14:paraId="4A1CCBAF" w14:textId="243D5EC9">
                <w:pPr>
                  <w:jc w:val="center"/>
                  <w:rPr>
                    <w:b/>
                    <w:szCs w:val="24"/>
                    <w:lang w:eastAsia="lt-LT"/>
                  </w:rPr>
                </w:pPr>
                <w:r>
                  <w:rPr>
                    <w:b/>
                    <w:szCs w:val="24"/>
                    <w:lang w:eastAsia="lt-LT"/>
                  </w:rPr>
                  <w:t>Būtiniausios žinios ir įgūdžiai</w:t>
                </w:r>
              </w:p>
            </w:tc>
            <w:tc>
              <w:tcPr>
                <w:tcW w:w="866" w:type="pct"/>
                <w:vMerge w:val="restart"/>
                <w:tcBorders>
                  <w:top w:val="single" w:sz="4" w:space="0" w:color="auto"/>
                  <w:left w:val="single" w:sz="4" w:space="0" w:color="auto"/>
                  <w:right w:val="single" w:sz="4" w:space="0" w:color="auto"/>
                </w:tcBorders>
                <w:shd w:val="clear" w:color="auto" w:fill="E7E6E6" w:themeFill="background2"/>
              </w:tcPr>
              <w:p w14:paraId="4973DE50" w14:textId="77777777">
                <w:pPr>
                  <w:jc w:val="center"/>
                  <w:rPr>
                    <w:b/>
                    <w:szCs w:val="24"/>
                    <w:lang w:eastAsia="lt-LT"/>
                  </w:rPr>
                </w:pPr>
              </w:p>
            </w:tc>
            <w:tc>
              <w:tcPr>
                <w:tcW w:w="2185" w:type="pct"/>
                <w:gridSpan w:val="4"/>
                <w:tcBorders>
                  <w:top w:val="single" w:sz="4" w:space="0" w:color="auto"/>
                  <w:left w:val="single" w:sz="4" w:space="0" w:color="auto"/>
                  <w:right w:val="single" w:sz="4" w:space="0" w:color="auto"/>
                </w:tcBorders>
                <w:shd w:val="clear" w:color="auto" w:fill="E7E6E6" w:themeFill="background2"/>
              </w:tcPr>
              <w:p w14:paraId="4DBEC992" w14:textId="4AB1318E">
                <w:pPr>
                  <w:jc w:val="center"/>
                  <w:rPr>
                    <w:b/>
                    <w:szCs w:val="24"/>
                    <w:lang w:eastAsia="lt-LT"/>
                  </w:rPr>
                </w:pPr>
                <w:r>
                  <w:rPr>
                    <w:b/>
                    <w:szCs w:val="24"/>
                    <w:lang w:eastAsia="lt-LT"/>
                  </w:rPr>
                  <w:t>Minimali mokymų trukmė</w:t>
                </w:r>
              </w:p>
            </w:tc>
          </w:tr>
          <w:tr w14:paraId="0583726E" w14:textId="77777777">
            <w:trPr>
              <w:trHeight w:val="102"/>
              <w:jc w:val="center"/>
            </w:trPr>
            <w:tc>
              <w:tcPr>
                <w:tcW w:w="236" w:type="pct"/>
                <w:vMerge/>
                <w:tcBorders>
                  <w:top w:val="single" w:sz="4" w:space="0" w:color="auto"/>
                  <w:left w:val="single" w:sz="4" w:space="0" w:color="auto"/>
                  <w:right w:val="single" w:sz="4" w:space="0" w:color="auto"/>
                </w:tcBorders>
                <w:shd w:val="clear" w:color="auto" w:fill="E7E6E6" w:themeFill="background2"/>
              </w:tcPr>
              <w:p w14:paraId="681C49B4" w14:textId="77777777">
                <w:pPr>
                  <w:jc w:val="both"/>
                  <w:rPr>
                    <w:b/>
                    <w:szCs w:val="24"/>
                    <w:lang w:eastAsia="lt-LT"/>
                  </w:rPr>
                </w:pPr>
              </w:p>
            </w:tc>
            <w:tc>
              <w:tcPr>
                <w:tcW w:w="1713" w:type="pct"/>
                <w:vMerge/>
                <w:tcBorders>
                  <w:top w:val="single" w:sz="4" w:space="0" w:color="auto"/>
                  <w:left w:val="single" w:sz="4" w:space="0" w:color="auto"/>
                  <w:right w:val="single" w:sz="4" w:space="0" w:color="auto"/>
                </w:tcBorders>
                <w:shd w:val="clear" w:color="auto" w:fill="E7E6E6" w:themeFill="background2"/>
              </w:tcPr>
              <w:p w14:paraId="20446B44" w14:textId="77777777">
                <w:pPr>
                  <w:jc w:val="center"/>
                  <w:rPr>
                    <w:b/>
                    <w:szCs w:val="24"/>
                    <w:lang w:eastAsia="lt-LT"/>
                  </w:rPr>
                </w:pPr>
              </w:p>
            </w:tc>
            <w:tc>
              <w:tcPr>
                <w:tcW w:w="866" w:type="pct"/>
                <w:vMerge/>
                <w:tcBorders>
                  <w:left w:val="single" w:sz="4" w:space="0" w:color="auto"/>
                  <w:right w:val="single" w:sz="4" w:space="0" w:color="auto"/>
                </w:tcBorders>
                <w:shd w:val="clear" w:color="auto" w:fill="E7E6E6" w:themeFill="background2"/>
              </w:tcPr>
              <w:p w14:paraId="2ABC50D9" w14:textId="77777777">
                <w:pPr>
                  <w:jc w:val="center"/>
                  <w:rPr>
                    <w:b/>
                    <w:szCs w:val="24"/>
                    <w:lang w:eastAsia="lt-LT"/>
                  </w:rPr>
                </w:pPr>
              </w:p>
            </w:tc>
            <w:tc>
              <w:tcPr>
                <w:tcW w:w="1090" w:type="pct"/>
                <w:gridSpan w:val="2"/>
                <w:tcBorders>
                  <w:top w:val="single" w:sz="4" w:space="0" w:color="auto"/>
                  <w:left w:val="single" w:sz="4" w:space="0" w:color="auto"/>
                  <w:right w:val="single" w:sz="4" w:space="0" w:color="auto"/>
                </w:tcBorders>
                <w:shd w:val="clear" w:color="auto" w:fill="E7E6E6" w:themeFill="background2"/>
                <w:vAlign w:val="center"/>
              </w:tcPr>
              <w:p w14:paraId="263E26F2" w14:textId="3D185666">
                <w:pPr>
                  <w:jc w:val="center"/>
                  <w:rPr>
                    <w:b/>
                    <w:szCs w:val="24"/>
                    <w:lang w:eastAsia="lt-LT"/>
                  </w:rPr>
                </w:pPr>
                <w:r>
                  <w:rPr>
                    <w:b/>
                    <w:szCs w:val="24"/>
                    <w:lang w:eastAsia="lt-LT"/>
                  </w:rPr>
                  <w:t>Asmenims, norintiems įgyti kvalifikaciją</w:t>
                </w:r>
              </w:p>
            </w:tc>
            <w:tc>
              <w:tcPr>
                <w:tcW w:w="1095" w:type="pct"/>
                <w:gridSpan w:val="2"/>
                <w:tcBorders>
                  <w:top w:val="single" w:sz="4" w:space="0" w:color="auto"/>
                  <w:left w:val="single" w:sz="4" w:space="0" w:color="auto"/>
                  <w:right w:val="single" w:sz="4" w:space="0" w:color="auto"/>
                </w:tcBorders>
                <w:shd w:val="clear" w:color="auto" w:fill="E7E6E6" w:themeFill="background2"/>
                <w:vAlign w:val="center"/>
              </w:tcPr>
              <w:p w14:paraId="7BD3C041" w14:textId="7F0C5281">
                <w:pPr>
                  <w:jc w:val="center"/>
                  <w:rPr>
                    <w:b/>
                    <w:bCs/>
                    <w:szCs w:val="24"/>
                    <w:lang w:eastAsia="lt-LT"/>
                  </w:rPr>
                </w:pPr>
                <w:r>
                  <w:rPr>
                    <w:b/>
                    <w:bCs/>
                    <w:szCs w:val="24"/>
                    <w:lang w:eastAsia="lt-LT"/>
                  </w:rPr>
                  <w:t xml:space="preserve">Darbuotojams, kas </w:t>
                </w:r>
                <w:r>
                  <w:rPr>
                    <w:b/>
                    <w:bCs/>
                    <w:szCs w:val="24"/>
                    <w:lang w:val="en-US" w:eastAsia="lt-LT"/>
                  </w:rPr>
                  <w:t>7</w:t>
                </w:r>
                <w:r>
                  <w:rPr>
                    <w:b/>
                    <w:bCs/>
                    <w:szCs w:val="24"/>
                    <w:lang w:eastAsia="lt-LT"/>
                  </w:rPr>
                  <w:t xml:space="preserve"> metus privalantiems tobulinti kvalifikaciją</w:t>
                </w:r>
              </w:p>
            </w:tc>
          </w:tr>
          <w:tr w14:paraId="39E51195" w14:textId="77777777">
            <w:trPr>
              <w:trHeight w:val="102"/>
              <w:jc w:val="center"/>
            </w:trPr>
            <w:tc>
              <w:tcPr>
                <w:tcW w:w="236" w:type="pct"/>
                <w:vMerge/>
                <w:tcBorders>
                  <w:left w:val="single" w:sz="4" w:space="0" w:color="auto"/>
                  <w:bottom w:val="single" w:sz="4" w:space="0" w:color="auto"/>
                  <w:right w:val="single" w:sz="4" w:space="0" w:color="auto"/>
                </w:tcBorders>
                <w:shd w:val="clear" w:color="auto" w:fill="E7E6E6" w:themeFill="background2"/>
              </w:tcPr>
              <w:p w14:paraId="7CA13500" w14:textId="77777777">
                <w:pPr>
                  <w:jc w:val="both"/>
                  <w:rPr>
                    <w:b/>
                    <w:szCs w:val="24"/>
                    <w:lang w:eastAsia="lt-LT"/>
                  </w:rPr>
                </w:pPr>
              </w:p>
            </w:tc>
            <w:tc>
              <w:tcPr>
                <w:tcW w:w="1713" w:type="pct"/>
                <w:vMerge/>
                <w:tcBorders>
                  <w:left w:val="single" w:sz="4" w:space="0" w:color="auto"/>
                  <w:bottom w:val="single" w:sz="4" w:space="0" w:color="auto"/>
                  <w:right w:val="single" w:sz="4" w:space="0" w:color="auto"/>
                </w:tcBorders>
                <w:shd w:val="clear" w:color="auto" w:fill="E7E6E6" w:themeFill="background2"/>
              </w:tcPr>
              <w:p w14:paraId="4F7B2FBE" w14:textId="77777777">
                <w:pPr>
                  <w:jc w:val="both"/>
                  <w:rPr>
                    <w:b/>
                    <w:szCs w:val="24"/>
                    <w:lang w:eastAsia="lt-LT"/>
                  </w:rPr>
                </w:pPr>
              </w:p>
            </w:tc>
            <w:tc>
              <w:tcPr>
                <w:tcW w:w="866" w:type="pct"/>
                <w:tcBorders>
                  <w:left w:val="single" w:sz="4" w:space="0" w:color="auto"/>
                  <w:bottom w:val="single" w:sz="4" w:space="0" w:color="auto"/>
                  <w:right w:val="single" w:sz="4" w:space="0" w:color="auto"/>
                </w:tcBorders>
                <w:shd w:val="clear" w:color="auto" w:fill="E7E6E6" w:themeFill="background2"/>
              </w:tcPr>
              <w:p w14:paraId="785032E2" w14:textId="46C511AF">
                <w:pPr>
                  <w:jc w:val="center"/>
                  <w:rPr>
                    <w:b/>
                    <w:szCs w:val="24"/>
                    <w:lang w:eastAsia="lt-LT"/>
                  </w:rPr>
                </w:pPr>
                <w:r>
                  <w:rPr>
                    <w:b/>
                    <w:szCs w:val="24"/>
                    <w:lang w:eastAsia="lt-LT"/>
                  </w:rPr>
                  <w:t>Žinių ir įgūdžių tikrinimas teorinio arba 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E7E6E6" w:themeFill="background2"/>
              </w:tcPr>
              <w:p w14:paraId="43E377D8" w14:textId="15765965">
                <w:pPr>
                  <w:jc w:val="center"/>
                  <w:rPr>
                    <w:b/>
                    <w:szCs w:val="24"/>
                    <w:lang w:eastAsia="lt-LT"/>
                  </w:rPr>
                </w:pPr>
                <w:r>
                  <w:rPr>
                    <w:b/>
                    <w:szCs w:val="24"/>
                    <w:lang w:eastAsia="lt-LT"/>
                  </w:rPr>
                  <w:t>Teoriniam mokymui</w:t>
                </w:r>
              </w:p>
            </w:tc>
            <w:tc>
              <w:tcPr>
                <w:tcW w:w="520" w:type="pct"/>
                <w:tcBorders>
                  <w:top w:val="single" w:sz="4" w:space="0" w:color="auto"/>
                  <w:left w:val="single" w:sz="4" w:space="0" w:color="auto"/>
                  <w:bottom w:val="single" w:sz="4" w:space="0" w:color="auto"/>
                  <w:right w:val="single" w:sz="4" w:space="0" w:color="auto"/>
                </w:tcBorders>
                <w:shd w:val="clear" w:color="auto" w:fill="E7E6E6" w:themeFill="background2"/>
              </w:tcPr>
              <w:p w14:paraId="490222E4" w14:textId="4B420163">
                <w:pPr>
                  <w:jc w:val="center"/>
                  <w:rPr>
                    <w:b/>
                    <w:szCs w:val="24"/>
                    <w:lang w:eastAsia="lt-LT"/>
                  </w:rPr>
                </w:pPr>
                <w:r>
                  <w:rPr>
                    <w:b/>
                    <w:szCs w:val="24"/>
                    <w:lang w:eastAsia="lt-LT"/>
                  </w:rPr>
                  <w:t>Praktiniam mokymui</w:t>
                </w:r>
              </w:p>
            </w:tc>
            <w:tc>
              <w:tcPr>
                <w:tcW w:w="573" w:type="pct"/>
                <w:tcBorders>
                  <w:top w:val="single" w:sz="4" w:space="0" w:color="auto"/>
                  <w:left w:val="single" w:sz="4" w:space="0" w:color="auto"/>
                  <w:bottom w:val="single" w:sz="4" w:space="0" w:color="auto"/>
                  <w:right w:val="single" w:sz="4" w:space="0" w:color="auto"/>
                </w:tcBorders>
                <w:shd w:val="clear" w:color="auto" w:fill="E7E6E6" w:themeFill="background2"/>
              </w:tcPr>
              <w:p w14:paraId="087981EC" w14:textId="5CBFE6B2">
                <w:pPr>
                  <w:jc w:val="center"/>
                  <w:rPr>
                    <w:b/>
                    <w:szCs w:val="24"/>
                    <w:lang w:eastAsia="lt-LT"/>
                  </w:rPr>
                </w:pPr>
                <w:r>
                  <w:rPr>
                    <w:b/>
                    <w:szCs w:val="24"/>
                    <w:lang w:eastAsia="lt-LT"/>
                  </w:rPr>
                  <w:t>Teoriniam mokymui</w:t>
                </w:r>
              </w:p>
            </w:tc>
            <w:tc>
              <w:tcPr>
                <w:tcW w:w="522" w:type="pct"/>
                <w:tcBorders>
                  <w:top w:val="single" w:sz="4" w:space="0" w:color="auto"/>
                  <w:left w:val="single" w:sz="4" w:space="0" w:color="auto"/>
                  <w:bottom w:val="single" w:sz="4" w:space="0" w:color="auto"/>
                  <w:right w:val="single" w:sz="4" w:space="0" w:color="auto"/>
                </w:tcBorders>
                <w:shd w:val="clear" w:color="auto" w:fill="E7E6E6" w:themeFill="background2"/>
              </w:tcPr>
              <w:p w14:paraId="3879F627" w14:textId="77777777">
                <w:pPr>
                  <w:jc w:val="center"/>
                  <w:rPr>
                    <w:b/>
                    <w:szCs w:val="24"/>
                    <w:lang w:eastAsia="lt-LT"/>
                  </w:rPr>
                </w:pPr>
                <w:r>
                  <w:rPr>
                    <w:b/>
                    <w:szCs w:val="24"/>
                    <w:lang w:eastAsia="lt-LT"/>
                  </w:rPr>
                  <w:t>Praktiniam mokymui</w:t>
                </w:r>
              </w:p>
            </w:tc>
          </w:tr>
          <w:tr w14:paraId="603A457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3E04BAF" w14:textId="77777777">
                <w:pPr>
                  <w:jc w:val="center"/>
                  <w:rPr>
                    <w:b/>
                    <w:szCs w:val="24"/>
                    <w:lang w:eastAsia="lt-LT"/>
                  </w:rPr>
                </w:pPr>
                <w:r>
                  <w:rPr>
                    <w:b/>
                    <w:szCs w:val="24"/>
                    <w:lang w:eastAsia="lt-LT"/>
                  </w:rPr>
                  <w:t>1.</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01EF9BD7" w14:textId="18260A37">
                <w:pPr>
                  <w:rPr>
                    <w:b/>
                    <w:szCs w:val="24"/>
                    <w:lang w:eastAsia="lt-LT"/>
                  </w:rPr>
                </w:pPr>
                <w:r>
                  <w:rPr>
                    <w:b/>
                    <w:szCs w:val="24"/>
                    <w:lang w:eastAsia="lt-LT"/>
                  </w:rPr>
                  <w:t>Motorinių transporto priemonių oro kondicionavimo sistemų, kuriose yra F-dujų, eksploatavimas, F-dujų poveikis aplinkai ir susijusios aplinkosaugos nuostatos</w:t>
                </w:r>
              </w:p>
            </w:tc>
          </w:tr>
          <w:tr w14:paraId="3627ED7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687050D" w14:textId="70EC437F">
                <w:pPr>
                  <w:jc w:val="center"/>
                  <w:rPr>
                    <w:bCs/>
                    <w:szCs w:val="24"/>
                    <w:lang w:eastAsia="lt-LT"/>
                  </w:rPr>
                </w:pPr>
                <w:r>
                  <w:rPr>
                    <w:bCs/>
                    <w:szCs w:val="24"/>
                    <w:lang w:eastAsia="lt-LT"/>
                  </w:rPr>
                  <w:t>1.1.</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74D99E02" w14:textId="3F4F9ACA">
                <w:pPr>
                  <w:jc w:val="both"/>
                  <w:rPr>
                    <w:bCs/>
                    <w:szCs w:val="24"/>
                    <w:lang w:eastAsia="lt-LT"/>
                  </w:rPr>
                </w:pPr>
                <w:r>
                  <w:rPr>
                    <w:bCs/>
                    <w:szCs w:val="24"/>
                    <w:lang w:eastAsia="lt-LT"/>
                  </w:rPr>
                  <w:t>Žinoti motorinių transporto priemonių oro kondicionavimo sistemų eksploatavimo ir veikimo principus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02EAB4" w14:textId="6659ED68">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8FAE35" w14:textId="7B029BED">
                <w:pPr>
                  <w:jc w:val="center"/>
                  <w:rPr>
                    <w:b/>
                    <w:szCs w:val="24"/>
                    <w:lang w:val="en-US" w:eastAsia="lt-LT"/>
                  </w:rPr>
                </w:pPr>
                <w:r>
                  <w:rPr>
                    <w:b/>
                    <w:szCs w:val="24"/>
                    <w:lang w:val="en-US"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8B59BB" w14:textId="592A6D4A">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1B0E48" w14:textId="33AF0105">
                <w:pPr>
                  <w:jc w:val="center"/>
                  <w:rPr>
                    <w:b/>
                    <w:szCs w:val="24"/>
                    <w:lang w:eastAsia="lt-LT"/>
                  </w:rPr>
                </w:pPr>
                <w:r>
                  <w:rPr>
                    <w:b/>
                    <w:szCs w:val="24"/>
                    <w:lang w:eastAsia="lt-LT"/>
                  </w:rPr>
                  <w:t>0,5</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FFB0A1" w14:textId="4BAFA42C">
                <w:pPr>
                  <w:jc w:val="center"/>
                  <w:rPr>
                    <w:b/>
                    <w:szCs w:val="24"/>
                    <w:lang w:eastAsia="lt-LT"/>
                  </w:rPr>
                </w:pPr>
                <w:r>
                  <w:rPr>
                    <w:b/>
                    <w:szCs w:val="24"/>
                    <w:lang w:eastAsia="lt-LT"/>
                  </w:rPr>
                  <w:t>-</w:t>
                </w:r>
              </w:p>
            </w:tc>
          </w:tr>
          <w:tr w14:paraId="4328B0F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4CE24C2" w14:textId="63A39A8E">
                <w:pPr>
                  <w:jc w:val="center"/>
                  <w:rPr>
                    <w:bCs/>
                    <w:szCs w:val="24"/>
                    <w:lang w:eastAsia="lt-LT"/>
                  </w:rPr>
                </w:pPr>
                <w:r>
                  <w:rPr>
                    <w:bCs/>
                    <w:szCs w:val="24"/>
                    <w:lang w:eastAsia="lt-LT"/>
                  </w:rPr>
                  <w:t>1.2.</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364EC3C" w14:textId="6D28FEE4">
                <w:pPr>
                  <w:jc w:val="both"/>
                  <w:rPr>
                    <w:bCs/>
                    <w:szCs w:val="24"/>
                    <w:lang w:eastAsia="lt-LT"/>
                  </w:rPr>
                </w:pPr>
                <w:r>
                  <w:rPr>
                    <w:bCs/>
                    <w:szCs w:val="24"/>
                    <w:lang w:eastAsia="lt-LT"/>
                  </w:rPr>
                  <w:t>Žinoti F-dujų, naudojamų kaip motorinių transporto priemonių oro kondicionavimo sistemų aušalų, naudojimo ir savybių, šių dujų išmetimo poveikį aplinkai (visuotinio atšilimo potencialas (toliau – VAP), susijęs su klimato kaita)</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0B56B9" w14:textId="22F58FD1">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C797C2" w14:textId="67EB4EE2">
                <w:pPr>
                  <w:jc w:val="center"/>
                  <w:rPr>
                    <w:b/>
                    <w:szCs w:val="24"/>
                    <w:lang w:eastAsia="lt-LT"/>
                  </w:rPr>
                </w:pPr>
                <w:r>
                  <w:rPr>
                    <w:b/>
                    <w:szCs w:val="24"/>
                    <w:lang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9146C7" w14:textId="2C3A023A">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15BEC6" w14:textId="12D7B590">
                <w:pPr>
                  <w:jc w:val="center"/>
                  <w:rPr>
                    <w:b/>
                    <w:szCs w:val="24"/>
                    <w:lang w:eastAsia="lt-LT"/>
                  </w:rPr>
                </w:pPr>
                <w:r>
                  <w:rPr>
                    <w:b/>
                    <w:szCs w:val="24"/>
                    <w:lang w:eastAsia="lt-LT"/>
                  </w:rPr>
                  <w:t>0,5</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448ED7" w14:textId="48744788">
                <w:pPr>
                  <w:jc w:val="center"/>
                  <w:rPr>
                    <w:b/>
                    <w:szCs w:val="24"/>
                    <w:lang w:eastAsia="lt-LT"/>
                  </w:rPr>
                </w:pPr>
                <w:r>
                  <w:rPr>
                    <w:b/>
                    <w:szCs w:val="24"/>
                    <w:lang w:eastAsia="lt-LT"/>
                  </w:rPr>
                  <w:t>-</w:t>
                </w:r>
              </w:p>
            </w:tc>
          </w:tr>
          <w:tr w14:paraId="0DB4216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B18B112" w14:textId="17699B3A">
                <w:pPr>
                  <w:jc w:val="center"/>
                  <w:rPr>
                    <w:bCs/>
                    <w:szCs w:val="24"/>
                    <w:lang w:eastAsia="lt-LT"/>
                  </w:rPr>
                </w:pPr>
                <w:r>
                  <w:rPr>
                    <w:bCs/>
                    <w:szCs w:val="24"/>
                    <w:lang w:eastAsia="lt-LT"/>
                  </w:rPr>
                  <w:t>1.3.</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4D4DB6C3" w14:textId="645A7F53">
                <w:pPr>
                  <w:jc w:val="both"/>
                  <w:rPr>
                    <w:bCs/>
                    <w:szCs w:val="24"/>
                    <w:lang w:eastAsia="lt-LT"/>
                  </w:rPr>
                </w:pPr>
                <w:r>
                  <w:rPr>
                    <w:bCs/>
                    <w:szCs w:val="24"/>
                    <w:lang w:eastAsia="lt-LT"/>
                  </w:rPr>
                  <w:t xml:space="preserve">Žinoti esmines </w:t>
                </w:r>
                <w:r>
                  <w:rPr>
                    <w:color w:val="000000"/>
                    <w:szCs w:val="24"/>
                    <w:shd w:val="clear" w:color="auto" w:fill="FFFFFF"/>
                  </w:rPr>
                  <w:t>Reglamento 517/2014 ir</w:t>
                </w:r>
                <w:r>
                  <w:rPr>
                    <w:bCs/>
                    <w:szCs w:val="24"/>
                    <w:lang w:eastAsia="lt-LT"/>
                  </w:rPr>
                  <w:t xml:space="preserve">  Europos Parlamento ir Tarybos direktyvą </w:t>
                </w:r>
                <w:fldSimple w:instr="HYPERLINK http://eur-lex.europa.eu/legal-content/LIT/TXT/?uri=CELEX:32006L0040&amp;locale=lt \t _blank">
                  <w:r>
                    <w:rPr>
                      <w:bCs/>
                      <w:szCs w:val="24"/>
                      <w:lang w:eastAsia="lt-LT"/>
                      <w:u w:val="single"/>
                      <w:color w:val="0000FF" w:themeColor="hyperlink"/>
                    </w:rPr>
                    <w:t>2006/40/EB</w:t>
                  </w:r>
                </w:fldSimple>
                <w:r>
                  <w:rPr>
                    <w:bCs/>
                    <w:szCs w:val="24"/>
                    <w:lang w:eastAsia="lt-LT"/>
                  </w:rPr>
                  <w:t xml:space="preserve"> </w:t>
                </w:r>
                <w:r>
                  <w:t xml:space="preserve">dėl dujų, išmetamų iš motorinių transporto priemonių oro kondicionavimo sistemų, ir iš dalies keičianti Tarybos direktyvą </w:t>
                </w:r>
                <w:fldSimple w:instr="HYPERLINK http://eur-lex.europa.eu/legal-content/LIT/TXT/?uri=CELEX:31970L0156&amp;locale=lt \t _blank">
                  <w:r>
                    <w:rPr>
                      <w:u w:val="single"/>
                      <w:color w:val="0000FF" w:themeColor="hyperlink"/>
                    </w:rPr>
                    <w:t>70/156/EEB</w:t>
                  </w:r>
                </w:fldSimple>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4A67CC" w14:textId="419B0105">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692BA9" w14:textId="1919ABA7">
                <w:pPr>
                  <w:jc w:val="center"/>
                  <w:rPr>
                    <w:b/>
                    <w:szCs w:val="24"/>
                    <w:lang w:eastAsia="lt-LT"/>
                  </w:rPr>
                </w:pPr>
                <w:r>
                  <w:rPr>
                    <w:b/>
                    <w:szCs w:val="24"/>
                    <w:lang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D88788" w14:textId="2FE90BCB">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BCBD8D" w14:textId="3220D160">
                <w:pPr>
                  <w:jc w:val="center"/>
                  <w:rPr>
                    <w:b/>
                    <w:szCs w:val="24"/>
                    <w:lang w:eastAsia="lt-LT"/>
                  </w:rPr>
                </w:pPr>
                <w:r>
                  <w:rPr>
                    <w:b/>
                    <w:szCs w:val="24"/>
                    <w:lang w:eastAsia="lt-LT"/>
                  </w:rPr>
                  <w:t>0,5</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C084D0" w14:textId="1A7626FE">
                <w:pPr>
                  <w:jc w:val="center"/>
                  <w:rPr>
                    <w:b/>
                    <w:szCs w:val="24"/>
                    <w:lang w:eastAsia="lt-LT"/>
                  </w:rPr>
                </w:pPr>
                <w:r>
                  <w:rPr>
                    <w:b/>
                    <w:szCs w:val="24"/>
                    <w:lang w:eastAsia="lt-LT"/>
                  </w:rPr>
                  <w:t>-</w:t>
                </w:r>
              </w:p>
            </w:tc>
          </w:tr>
          <w:tr w14:paraId="32B3B50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04C12EC" w14:textId="1D4F7114">
                <w:pPr>
                  <w:jc w:val="center"/>
                  <w:rPr>
                    <w:b/>
                    <w:szCs w:val="24"/>
                    <w:lang w:eastAsia="lt-LT"/>
                  </w:rPr>
                </w:pPr>
                <w:r>
                  <w:rPr>
                    <w:b/>
                    <w:szCs w:val="24"/>
                    <w:lang w:eastAsia="lt-LT"/>
                  </w:rPr>
                  <w:t>2.</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1C88445F" w14:textId="6CEDF70A">
                <w:pPr>
                  <w:rPr>
                    <w:b/>
                    <w:szCs w:val="24"/>
                    <w:lang w:eastAsia="lt-LT"/>
                  </w:rPr>
                </w:pPr>
                <w:r>
                  <w:rPr>
                    <w:b/>
                    <w:szCs w:val="24"/>
                    <w:lang w:eastAsia="lt-LT"/>
                  </w:rPr>
                  <w:t>Ekologiškas F-dujų surinkimas</w:t>
                </w:r>
              </w:p>
            </w:tc>
          </w:tr>
          <w:tr w14:paraId="1E90792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3338C3B" w14:textId="77DADD62">
                <w:pPr>
                  <w:jc w:val="center"/>
                  <w:rPr>
                    <w:bCs/>
                    <w:szCs w:val="24"/>
                    <w:lang w:eastAsia="lt-LT"/>
                  </w:rPr>
                </w:pPr>
                <w:r>
                  <w:rPr>
                    <w:bCs/>
                    <w:szCs w:val="24"/>
                    <w:lang w:eastAsia="lt-LT"/>
                  </w:rPr>
                  <w:t>2.1.</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5B9774FF" w14:textId="0AF52D86">
                <w:pPr>
                  <w:jc w:val="both"/>
                  <w:rPr>
                    <w:bCs/>
                    <w:szCs w:val="24"/>
                    <w:lang w:eastAsia="lt-LT"/>
                  </w:rPr>
                </w:pPr>
                <w:r>
                  <w:rPr>
                    <w:bCs/>
                    <w:szCs w:val="24"/>
                    <w:lang w:eastAsia="lt-LT"/>
                  </w:rPr>
                  <w:t>Žinoti saugaus F-dujų surinkimo procedūras, siekiant į aplinką išleisti kuo mažiau F-dujų</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08D5C7" w14:textId="7282EA37">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703200" w14:textId="574332D2">
                <w:pPr>
                  <w:jc w:val="center"/>
                  <w:rPr>
                    <w:b/>
                    <w:szCs w:val="24"/>
                    <w:lang w:eastAsia="lt-LT"/>
                  </w:rPr>
                </w:pPr>
                <w:r>
                  <w:rPr>
                    <w:b/>
                    <w:szCs w:val="24"/>
                    <w:lang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3B2242" w14:textId="41C2933F">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9E2C46" w14:textId="7CE0EC3B">
                <w:pPr>
                  <w:jc w:val="center"/>
                  <w:rPr>
                    <w:b/>
                    <w:szCs w:val="24"/>
                    <w:lang w:eastAsia="lt-LT"/>
                  </w:rPr>
                </w:pPr>
                <w:r>
                  <w:rPr>
                    <w:b/>
                    <w:szCs w:val="24"/>
                    <w:lang w:eastAsia="lt-LT"/>
                  </w:rPr>
                  <w:t>-</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153B4A" w14:textId="6097C1D5">
                <w:pPr>
                  <w:jc w:val="center"/>
                  <w:rPr>
                    <w:b/>
                    <w:szCs w:val="24"/>
                    <w:lang w:eastAsia="lt-LT"/>
                  </w:rPr>
                </w:pPr>
                <w:r>
                  <w:rPr>
                    <w:b/>
                    <w:szCs w:val="24"/>
                    <w:lang w:eastAsia="lt-LT"/>
                  </w:rPr>
                  <w:t>-</w:t>
                </w:r>
              </w:p>
            </w:tc>
          </w:tr>
          <w:tr w14:paraId="4FE06BB7" w14:textId="77777777">
            <w:trPr>
              <w:trHeight w:val="2038"/>
              <w:jc w:val="center"/>
            </w:trPr>
            <w:tc>
              <w:tcPr>
                <w:tcW w:w="236" w:type="pct"/>
                <w:tcBorders>
                  <w:top w:val="single" w:sz="4" w:space="0" w:color="auto"/>
                  <w:left w:val="single" w:sz="4" w:space="0" w:color="auto"/>
                  <w:right w:val="single" w:sz="4" w:space="0" w:color="auto"/>
                </w:tcBorders>
                <w:shd w:val="clear" w:color="auto" w:fill="auto"/>
              </w:tcPr>
              <w:p w14:paraId="2783820A" w14:textId="628875F9">
                <w:pPr>
                  <w:jc w:val="center"/>
                  <w:rPr>
                    <w:bCs/>
                    <w:szCs w:val="24"/>
                    <w:lang w:eastAsia="lt-LT"/>
                  </w:rPr>
                </w:pPr>
                <w:r>
                  <w:rPr>
                    <w:bCs/>
                    <w:szCs w:val="24"/>
                    <w:lang w:eastAsia="lt-LT"/>
                  </w:rPr>
                  <w:t>2.2.</w:t>
                </w:r>
              </w:p>
            </w:tc>
            <w:tc>
              <w:tcPr>
                <w:tcW w:w="1713" w:type="pct"/>
                <w:tcBorders>
                  <w:top w:val="single" w:sz="4" w:space="0" w:color="auto"/>
                  <w:left w:val="single" w:sz="4" w:space="0" w:color="auto"/>
                  <w:right w:val="single" w:sz="4" w:space="0" w:color="auto"/>
                </w:tcBorders>
                <w:shd w:val="clear" w:color="auto" w:fill="FFFFFF" w:themeFill="background1"/>
              </w:tcPr>
              <w:p w14:paraId="7B20830F" w14:textId="6F20A5DA">
                <w:pPr>
                  <w:jc w:val="both"/>
                  <w:rPr>
                    <w:bCs/>
                    <w:szCs w:val="24"/>
                    <w:lang w:eastAsia="lt-LT"/>
                  </w:rPr>
                </w:pPr>
                <w:r>
                  <w:rPr>
                    <w:bCs/>
                    <w:szCs w:val="24"/>
                    <w:lang w:eastAsia="lt-LT"/>
                  </w:rPr>
                  <w:t>Žinoti aušalu užpildyto cilindro eksploatavimą, mokėti naudotis F-dujų surinkimo įrenginiu ir jį prijungti prie motorinės transporto priemonės oro kondicionavimo sistemos, kurioje yra F-dujų, atpažinti priežiūros angas ir atjungti įrangą nuo jų, F-dujų surinkimo įrengimo eksploatavimo principų išmanymas</w:t>
                </w:r>
              </w:p>
            </w:tc>
            <w:tc>
              <w:tcPr>
                <w:tcW w:w="866" w:type="pct"/>
                <w:tcBorders>
                  <w:top w:val="single" w:sz="4" w:space="0" w:color="auto"/>
                  <w:left w:val="single" w:sz="4" w:space="0" w:color="auto"/>
                  <w:right w:val="single" w:sz="4" w:space="0" w:color="auto"/>
                </w:tcBorders>
                <w:shd w:val="clear" w:color="auto" w:fill="FFFFFF" w:themeFill="background1"/>
                <w:vAlign w:val="center"/>
              </w:tcPr>
              <w:p w14:paraId="0BDEEF20" w14:textId="2360322C">
                <w:pPr>
                  <w:jc w:val="both"/>
                  <w:rPr>
                    <w:bCs/>
                    <w:szCs w:val="24"/>
                    <w:lang w:eastAsia="lt-LT"/>
                  </w:rPr>
                </w:pPr>
                <w:r>
                  <w:rPr>
                    <w:bCs/>
                    <w:szCs w:val="24"/>
                    <w:lang w:eastAsia="lt-LT"/>
                  </w:rPr>
                  <w:t>praktinio egzamino metu</w:t>
                </w:r>
              </w:p>
              <w:p w14:paraId="29E0CA57" w14:textId="4A559004">
                <w:pPr>
                  <w:jc w:val="both"/>
                  <w:rPr>
                    <w:bCs/>
                    <w:szCs w:val="24"/>
                    <w:lang w:eastAsia="lt-LT"/>
                  </w:rPr>
                </w:pPr>
              </w:p>
            </w:tc>
            <w:tc>
              <w:tcPr>
                <w:tcW w:w="570" w:type="pct"/>
                <w:tcBorders>
                  <w:top w:val="single" w:sz="4" w:space="0" w:color="auto"/>
                  <w:left w:val="single" w:sz="4" w:space="0" w:color="auto"/>
                  <w:right w:val="single" w:sz="4" w:space="0" w:color="auto"/>
                </w:tcBorders>
                <w:shd w:val="clear" w:color="auto" w:fill="FFFFFF" w:themeFill="background1"/>
                <w:vAlign w:val="center"/>
              </w:tcPr>
              <w:p w14:paraId="43D9DDA7" w14:textId="77777777">
                <w:pPr>
                  <w:jc w:val="center"/>
                  <w:rPr>
                    <w:b/>
                    <w:szCs w:val="24"/>
                    <w:lang w:eastAsia="lt-LT"/>
                  </w:rPr>
                </w:pPr>
                <w:r>
                  <w:rPr>
                    <w:b/>
                    <w:szCs w:val="24"/>
                    <w:lang w:eastAsia="lt-LT"/>
                  </w:rPr>
                  <w:t>-</w:t>
                </w:r>
              </w:p>
              <w:p w14:paraId="2950D6F4" w14:textId="3465B7F2">
                <w:pPr>
                  <w:rPr>
                    <w:b/>
                    <w:szCs w:val="24"/>
                    <w:lang w:eastAsia="lt-LT"/>
                  </w:rPr>
                </w:pPr>
              </w:p>
            </w:tc>
            <w:tc>
              <w:tcPr>
                <w:tcW w:w="520" w:type="pct"/>
                <w:tcBorders>
                  <w:top w:val="single" w:sz="4" w:space="0" w:color="auto"/>
                  <w:left w:val="single" w:sz="4" w:space="0" w:color="auto"/>
                  <w:right w:val="single" w:sz="4" w:space="0" w:color="auto"/>
                </w:tcBorders>
                <w:shd w:val="clear" w:color="auto" w:fill="FFFFFF" w:themeFill="background1"/>
                <w:vAlign w:val="center"/>
              </w:tcPr>
              <w:p w14:paraId="23DF9C25" w14:textId="286BA30C">
                <w:pPr>
                  <w:jc w:val="center"/>
                  <w:rPr>
                    <w:b/>
                    <w:szCs w:val="24"/>
                    <w:lang w:eastAsia="lt-LT"/>
                  </w:rPr>
                </w:pPr>
              </w:p>
              <w:p w14:paraId="547608AA" w14:textId="77777777">
                <w:pPr>
                  <w:jc w:val="center"/>
                  <w:rPr>
                    <w:b/>
                    <w:szCs w:val="24"/>
                    <w:lang w:eastAsia="lt-LT"/>
                  </w:rPr>
                </w:pPr>
                <w:r>
                  <w:rPr>
                    <w:b/>
                    <w:szCs w:val="24"/>
                    <w:lang w:eastAsia="lt-LT"/>
                  </w:rPr>
                  <w:t>2</w:t>
                </w:r>
              </w:p>
              <w:p w14:paraId="1D5315E6" w14:textId="5D0BCAB0">
                <w:pPr>
                  <w:jc w:val="center"/>
                  <w:rPr>
                    <w:b/>
                    <w:szCs w:val="24"/>
                    <w:lang w:eastAsia="lt-LT"/>
                  </w:rPr>
                </w:pPr>
              </w:p>
            </w:tc>
            <w:tc>
              <w:tcPr>
                <w:tcW w:w="573" w:type="pct"/>
                <w:tcBorders>
                  <w:top w:val="single" w:sz="4" w:space="0" w:color="auto"/>
                  <w:left w:val="single" w:sz="4" w:space="0" w:color="auto"/>
                  <w:right w:val="single" w:sz="4" w:space="0" w:color="auto"/>
                </w:tcBorders>
                <w:shd w:val="clear" w:color="auto" w:fill="FFFFFF" w:themeFill="background1"/>
                <w:vAlign w:val="center"/>
              </w:tcPr>
              <w:p w14:paraId="177BE86E" w14:textId="2A0309E8">
                <w:pPr>
                  <w:jc w:val="center"/>
                  <w:rPr>
                    <w:b/>
                    <w:szCs w:val="24"/>
                    <w:lang w:eastAsia="lt-LT"/>
                  </w:rPr>
                </w:pPr>
                <w:r>
                  <w:rPr>
                    <w:b/>
                    <w:szCs w:val="24"/>
                    <w:lang w:eastAsia="lt-LT"/>
                  </w:rPr>
                  <w:t>-</w:t>
                </w:r>
              </w:p>
            </w:tc>
            <w:tc>
              <w:tcPr>
                <w:tcW w:w="522" w:type="pct"/>
                <w:tcBorders>
                  <w:top w:val="single" w:sz="4" w:space="0" w:color="auto"/>
                  <w:left w:val="single" w:sz="4" w:space="0" w:color="auto"/>
                  <w:right w:val="single" w:sz="4" w:space="0" w:color="auto"/>
                </w:tcBorders>
                <w:shd w:val="clear" w:color="auto" w:fill="FFFFFF" w:themeFill="background1"/>
                <w:vAlign w:val="center"/>
              </w:tcPr>
              <w:p w14:paraId="07908F91" w14:textId="28E8B63E">
                <w:pPr>
                  <w:jc w:val="center"/>
                  <w:rPr>
                    <w:b/>
                    <w:szCs w:val="24"/>
                    <w:lang w:eastAsia="lt-LT"/>
                  </w:rPr>
                </w:pPr>
                <w:r>
                  <w:rPr>
                    <w:b/>
                    <w:szCs w:val="24"/>
                    <w:lang w:eastAsia="lt-LT"/>
                  </w:rPr>
                  <w:t>-</w:t>
                </w:r>
              </w:p>
            </w:tc>
          </w:tr>
          <w:tr w14:paraId="1158807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46FFB78" w14:textId="705AC048">
                <w:pPr>
                  <w:jc w:val="center"/>
                  <w:rPr>
                    <w:bCs/>
                    <w:szCs w:val="24"/>
                    <w:lang w:eastAsia="lt-LT"/>
                  </w:rPr>
                </w:pPr>
                <w:r>
                  <w:rPr>
                    <w:bCs/>
                    <w:szCs w:val="24"/>
                    <w:lang w:eastAsia="lt-LT"/>
                  </w:rPr>
                  <w:t>3.</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220412F8" w14:textId="2F90C29F">
                <w:pPr>
                  <w:rPr>
                    <w:b/>
                    <w:szCs w:val="24"/>
                    <w:lang w:eastAsia="lt-LT"/>
                  </w:rPr>
                </w:pPr>
                <w:r>
                  <w:rPr>
                    <w:b/>
                    <w:szCs w:val="24"/>
                    <w:lang w:eastAsia="lt-LT"/>
                  </w:rPr>
                  <w:t>Papildomos temos kvalifikacijos tobulinimo ir mokymo programai</w:t>
                </w:r>
              </w:p>
            </w:tc>
          </w:tr>
          <w:tr w14:paraId="799641D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D490655" w14:textId="3A08A3FD">
                <w:pPr>
                  <w:jc w:val="center"/>
                  <w:rPr>
                    <w:bCs/>
                    <w:szCs w:val="24"/>
                    <w:lang w:eastAsia="lt-LT"/>
                  </w:rPr>
                </w:pPr>
                <w:r>
                  <w:rPr>
                    <w:bCs/>
                    <w:szCs w:val="24"/>
                    <w:lang w:eastAsia="lt-LT"/>
                  </w:rPr>
                  <w:t>3.1.</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3584C6BE" w14:textId="0C5C29D9">
                <w:pPr>
                  <w:jc w:val="both"/>
                  <w:rPr>
                    <w:bCs/>
                    <w:szCs w:val="24"/>
                    <w:lang w:eastAsia="lt-LT"/>
                  </w:rPr>
                </w:pPr>
                <w:r>
                  <w:rPr>
                    <w:bCs/>
                    <w:szCs w:val="24"/>
                    <w:lang w:eastAsia="lt-LT"/>
                  </w:rPr>
                  <w:t>Mokėti paaiškinti kondicionieriaus pildymo stotelės veikimo principą, pagrindines dalis, tinkamai naudotis įranga</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27346D" w14:textId="3C7194EE">
                <w:pPr>
                  <w:jc w:val="both"/>
                  <w:rPr>
                    <w:bCs/>
                    <w:szCs w:val="24"/>
                    <w:lang w:eastAsia="lt-LT"/>
                  </w:rPr>
                </w:pPr>
                <w:r>
                  <w:rPr>
                    <w:bCs/>
                    <w:szCs w:val="24"/>
                    <w:lang w:eastAsia="lt-LT"/>
                  </w:rPr>
                  <w:t>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C93506" w14:textId="315323C7">
                <w:pPr>
                  <w:jc w:val="center"/>
                  <w:rPr>
                    <w:b/>
                    <w:szCs w:val="24"/>
                    <w:lang w:eastAsia="lt-LT"/>
                  </w:rPr>
                </w:pPr>
                <w:r>
                  <w:rPr>
                    <w:b/>
                    <w:szCs w:val="24"/>
                    <w:lang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040464" w14:textId="22AC1261">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2948AB" w14:textId="69E89C51">
                <w:pPr>
                  <w:jc w:val="center"/>
                  <w:rPr>
                    <w:b/>
                    <w:szCs w:val="24"/>
                    <w:lang w:eastAsia="lt-LT"/>
                  </w:rPr>
                </w:pPr>
                <w:r>
                  <w:rPr>
                    <w:b/>
                    <w:szCs w:val="24"/>
                    <w:lang w:eastAsia="lt-LT"/>
                  </w:rPr>
                  <w:t>-</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D5A7E2" w14:textId="5C3D44E1">
                <w:pPr>
                  <w:jc w:val="center"/>
                  <w:rPr>
                    <w:b/>
                    <w:szCs w:val="24"/>
                    <w:lang w:eastAsia="lt-LT"/>
                  </w:rPr>
                </w:pPr>
                <w:r>
                  <w:rPr>
                    <w:b/>
                    <w:szCs w:val="24"/>
                    <w:lang w:eastAsia="lt-LT"/>
                  </w:rPr>
                  <w:t>-</w:t>
                </w:r>
              </w:p>
            </w:tc>
          </w:tr>
          <w:tr w14:paraId="3AD6BA9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14680263" w14:textId="14943EF3">
                <w:pPr>
                  <w:jc w:val="center"/>
                  <w:rPr>
                    <w:bCs/>
                    <w:szCs w:val="24"/>
                    <w:lang w:eastAsia="lt-LT"/>
                  </w:rPr>
                </w:pPr>
                <w:r>
                  <w:rPr>
                    <w:bCs/>
                    <w:szCs w:val="24"/>
                    <w:lang w:eastAsia="lt-LT"/>
                  </w:rPr>
                  <w:t>3.2.</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7530556C" w14:textId="1B09D8DC">
                <w:pPr>
                  <w:jc w:val="both"/>
                  <w:rPr>
                    <w:bCs/>
                    <w:szCs w:val="24"/>
                    <w:lang w:eastAsia="lt-LT"/>
                  </w:rPr>
                </w:pPr>
                <w:r>
                  <w:rPr>
                    <w:bCs/>
                    <w:szCs w:val="24"/>
                    <w:lang w:eastAsia="lt-LT"/>
                  </w:rPr>
                  <w:t xml:space="preserve">Mokėti patikrinti F-dujų nuotėkį, išmanyti taikytinus tikrinimo metodus, atpažinti vietas, kuriose dažniausiai aptinkamas </w:t>
                </w:r>
                <w:r>
                  <w:rPr>
                    <w:szCs w:val="24"/>
                    <w:lang w:eastAsia="lt-LT"/>
                  </w:rPr>
                  <w:t>nuotėkis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4513B5" w14:textId="6C6B4B38">
                <w:pPr>
                  <w:jc w:val="both"/>
                  <w:rPr>
                    <w:bCs/>
                    <w:szCs w:val="24"/>
                    <w:lang w:eastAsia="lt-LT"/>
                  </w:rPr>
                </w:pPr>
                <w:r>
                  <w:rPr>
                    <w:bCs/>
                    <w:szCs w:val="24"/>
                    <w:lang w:eastAsia="lt-LT"/>
                  </w:rPr>
                  <w:t>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49F8AF" w14:textId="111678B5">
                <w:pPr>
                  <w:jc w:val="center"/>
                  <w:rPr>
                    <w:b/>
                    <w:szCs w:val="24"/>
                    <w:lang w:eastAsia="lt-LT"/>
                  </w:rPr>
                </w:pPr>
                <w:r>
                  <w:rPr>
                    <w:b/>
                    <w:szCs w:val="24"/>
                    <w:lang w:eastAsia="lt-LT"/>
                  </w:rPr>
                  <w:t>-</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D63381" w14:textId="342CA823">
                <w:pPr>
                  <w:jc w:val="center"/>
                  <w:rPr>
                    <w:b/>
                    <w:szCs w:val="24"/>
                    <w:lang w:eastAsia="lt-LT"/>
                  </w:rPr>
                </w:pPr>
                <w:r>
                  <w:rPr>
                    <w:b/>
                    <w:szCs w:val="24"/>
                    <w:lang w:eastAsia="lt-LT"/>
                  </w:rPr>
                  <w:t>2</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82C536" w14:textId="1BC1ADC3">
                <w:pPr>
                  <w:jc w:val="center"/>
                  <w:rPr>
                    <w:b/>
                    <w:szCs w:val="24"/>
                    <w:lang w:eastAsia="lt-LT"/>
                  </w:rPr>
                </w:pPr>
                <w:r>
                  <w:rPr>
                    <w:b/>
                    <w:szCs w:val="24"/>
                    <w:lang w:eastAsia="lt-LT"/>
                  </w:rPr>
                  <w:t>-</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D4914C" w14:textId="30F407DC">
                <w:pPr>
                  <w:jc w:val="center"/>
                  <w:rPr>
                    <w:b/>
                    <w:szCs w:val="24"/>
                    <w:lang w:eastAsia="lt-LT"/>
                  </w:rPr>
                </w:pPr>
                <w:r>
                  <w:rPr>
                    <w:b/>
                    <w:szCs w:val="24"/>
                    <w:lang w:eastAsia="lt-LT"/>
                  </w:rPr>
                  <w:t>-</w:t>
                </w:r>
              </w:p>
            </w:tc>
          </w:tr>
          <w:tr w14:paraId="484A43F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AC04216" w14:textId="5508CFB8">
                <w:pPr>
                  <w:jc w:val="center"/>
                  <w:rPr>
                    <w:bCs/>
                    <w:szCs w:val="24"/>
                    <w:lang w:eastAsia="lt-LT"/>
                  </w:rPr>
                </w:pPr>
                <w:r>
                  <w:rPr>
                    <w:bCs/>
                    <w:szCs w:val="24"/>
                    <w:lang w:eastAsia="lt-LT"/>
                  </w:rPr>
                  <w:t>3.3.</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1CB43809" w14:textId="3C75005E">
                <w:pPr>
                  <w:jc w:val="both"/>
                  <w:rPr>
                    <w:bCs/>
                    <w:szCs w:val="24"/>
                    <w:lang w:eastAsia="lt-LT"/>
                  </w:rPr>
                </w:pPr>
                <w:r>
                  <w:rPr>
                    <w:bCs/>
                    <w:szCs w:val="24"/>
                    <w:lang w:eastAsia="lt-LT"/>
                  </w:rPr>
                  <w:t xml:space="preserve">Suprasti dažniausiai </w:t>
                </w:r>
                <w:r>
                  <w:rPr>
                    <w:szCs w:val="24"/>
                    <w:lang w:eastAsia="lt-LT"/>
                  </w:rPr>
                  <w:t>naudojamų</w:t>
                </w:r>
                <w:r>
                  <w:rPr>
                    <w:bCs/>
                    <w:szCs w:val="24"/>
                    <w:lang w:eastAsia="lt-LT"/>
                  </w:rPr>
                  <w:t xml:space="preserve"> motorinėse transporto priemonėse F-dujų chemines ir fizikines savybes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386085" w14:textId="6B319E99">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D67647" w14:textId="1C9AEC92">
                <w:pPr>
                  <w:jc w:val="center"/>
                  <w:rPr>
                    <w:b/>
                    <w:szCs w:val="24"/>
                    <w:lang w:eastAsia="lt-LT"/>
                  </w:rPr>
                </w:pPr>
                <w:r>
                  <w:rPr>
                    <w:b/>
                    <w:szCs w:val="24"/>
                    <w:lang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8466CB" w14:textId="2621762C">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687442" w14:textId="3C75ACE7">
                <w:pPr>
                  <w:jc w:val="center"/>
                  <w:rPr>
                    <w:b/>
                    <w:szCs w:val="24"/>
                    <w:lang w:eastAsia="lt-LT"/>
                  </w:rPr>
                </w:pPr>
                <w:r>
                  <w:rPr>
                    <w:b/>
                    <w:szCs w:val="24"/>
                    <w:lang w:eastAsia="lt-LT"/>
                  </w:rPr>
                  <w:t>0,5</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40BAC7" w14:textId="6CBF3539">
                <w:pPr>
                  <w:jc w:val="center"/>
                  <w:rPr>
                    <w:b/>
                    <w:szCs w:val="24"/>
                    <w:lang w:eastAsia="lt-LT"/>
                  </w:rPr>
                </w:pPr>
                <w:r>
                  <w:rPr>
                    <w:b/>
                    <w:szCs w:val="24"/>
                    <w:lang w:eastAsia="lt-LT"/>
                  </w:rPr>
                  <w:t>-</w:t>
                </w:r>
              </w:p>
            </w:tc>
          </w:tr>
          <w:tr w14:paraId="628A91D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41EB452" w14:textId="30FA52F6">
                <w:pPr>
                  <w:jc w:val="center"/>
                  <w:rPr>
                    <w:bCs/>
                    <w:szCs w:val="24"/>
                    <w:lang w:eastAsia="lt-LT"/>
                  </w:rPr>
                </w:pPr>
                <w:r>
                  <w:rPr>
                    <w:bCs/>
                    <w:szCs w:val="24"/>
                    <w:lang w:eastAsia="lt-LT"/>
                  </w:rPr>
                  <w:t>3.4.</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08F89A37" w14:textId="40C91BFC">
                <w:pPr>
                  <w:jc w:val="both"/>
                  <w:rPr>
                    <w:bCs/>
                    <w:szCs w:val="24"/>
                    <w:lang w:eastAsia="lt-LT"/>
                  </w:rPr>
                </w:pPr>
                <w:r>
                  <w:rPr>
                    <w:bCs/>
                    <w:szCs w:val="24"/>
                    <w:lang w:eastAsia="lt-LT"/>
                  </w:rPr>
                  <w:t>Žinoti mažo VAP F-dujų ar natūralių aušalų panaudojimo galimybes motorinių transporto priemonių oro kondicionavimo sistemose</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AEE29C" w14:textId="699E4C24">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40DD16" w14:textId="0253EBF5">
                <w:pPr>
                  <w:jc w:val="center"/>
                  <w:rPr>
                    <w:b/>
                    <w:szCs w:val="24"/>
                    <w:lang w:eastAsia="lt-LT"/>
                  </w:rPr>
                </w:pPr>
                <w:r>
                  <w:rPr>
                    <w:b/>
                    <w:szCs w:val="24"/>
                    <w:lang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6E7C2C" w14:textId="7E69B13B">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9E5C08" w14:textId="7C3C745C">
                <w:pPr>
                  <w:jc w:val="center"/>
                  <w:rPr>
                    <w:b/>
                    <w:szCs w:val="24"/>
                    <w:lang w:eastAsia="lt-LT"/>
                  </w:rPr>
                </w:pPr>
                <w:r>
                  <w:rPr>
                    <w:b/>
                    <w:szCs w:val="24"/>
                    <w:lang w:eastAsia="lt-LT"/>
                  </w:rPr>
                  <w:t>0,5</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3D73A7" w14:textId="37C1296F">
                <w:pPr>
                  <w:jc w:val="center"/>
                  <w:rPr>
                    <w:b/>
                    <w:szCs w:val="24"/>
                    <w:lang w:eastAsia="lt-LT"/>
                  </w:rPr>
                </w:pPr>
                <w:r>
                  <w:rPr>
                    <w:b/>
                    <w:szCs w:val="24"/>
                    <w:lang w:eastAsia="lt-LT"/>
                  </w:rPr>
                  <w:t>-</w:t>
                </w:r>
              </w:p>
            </w:tc>
          </w:tr>
          <w:tr w14:paraId="03E8FAE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452625AA" w14:textId="2CE07347">
                <w:pPr>
                  <w:jc w:val="center"/>
                  <w:rPr>
                    <w:bCs/>
                    <w:szCs w:val="24"/>
                    <w:lang w:eastAsia="lt-LT"/>
                  </w:rPr>
                </w:pPr>
                <w:r>
                  <w:rPr>
                    <w:bCs/>
                    <w:szCs w:val="24"/>
                    <w:lang w:eastAsia="lt-LT"/>
                  </w:rPr>
                  <w:t>3.5.</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37FD2D5" w14:textId="194FBF0B">
                <w:pPr>
                  <w:jc w:val="both"/>
                  <w:rPr>
                    <w:szCs w:val="24"/>
                    <w:shd w:val="clear" w:color="auto" w:fill="FFFFFF"/>
                  </w:rPr>
                </w:pPr>
                <w:r>
                  <w:rPr>
                    <w:szCs w:val="24"/>
                    <w:shd w:val="clear" w:color="auto" w:fill="FFFFFF"/>
                  </w:rPr>
                  <w:t>Išmanyti saugaus darbo su F-dujomis ir natūraliais aušalais (toksiškomis, degiomis ir aukšto slėgio cheminiais junginiais) principus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97163F" w14:textId="78DBE4F4">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C81AAF" w14:textId="6EBE4A87">
                <w:pPr>
                  <w:jc w:val="center"/>
                  <w:rPr>
                    <w:b/>
                    <w:szCs w:val="24"/>
                    <w:lang w:eastAsia="lt-LT"/>
                  </w:rPr>
                </w:pPr>
                <w:r>
                  <w:rPr>
                    <w:b/>
                    <w:szCs w:val="24"/>
                    <w:lang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B4753A" w14:textId="4AC100BA">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02211D" w14:textId="60A04BD5">
                <w:pPr>
                  <w:jc w:val="center"/>
                  <w:rPr>
                    <w:b/>
                    <w:szCs w:val="24"/>
                    <w:lang w:eastAsia="lt-LT"/>
                  </w:rPr>
                </w:pPr>
                <w:r>
                  <w:rPr>
                    <w:b/>
                    <w:szCs w:val="24"/>
                    <w:lang w:eastAsia="lt-LT"/>
                  </w:rPr>
                  <w:t>0,5</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BD36B7" w14:textId="085F4AB0">
                <w:pPr>
                  <w:jc w:val="center"/>
                  <w:rPr>
                    <w:b/>
                    <w:szCs w:val="24"/>
                    <w:lang w:eastAsia="lt-LT"/>
                  </w:rPr>
                </w:pPr>
                <w:r>
                  <w:rPr>
                    <w:b/>
                    <w:szCs w:val="24"/>
                    <w:lang w:eastAsia="lt-LT"/>
                  </w:rPr>
                  <w:t>-</w:t>
                </w:r>
              </w:p>
            </w:tc>
          </w:tr>
          <w:tr w14:paraId="1A3AD831"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1BED2889" w14:textId="2A68CE8A">
                <w:pPr>
                  <w:jc w:val="center"/>
                  <w:rPr>
                    <w:bCs/>
                    <w:szCs w:val="24"/>
                    <w:lang w:eastAsia="lt-LT"/>
                  </w:rPr>
                </w:pPr>
                <w:r>
                  <w:rPr>
                    <w:bCs/>
                    <w:szCs w:val="24"/>
                    <w:lang w:eastAsia="lt-LT"/>
                  </w:rPr>
                  <w:t>3.6.</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7438DC58" w14:textId="3A91B04F">
                <w:pPr>
                  <w:jc w:val="both"/>
                  <w:rPr>
                    <w:szCs w:val="24"/>
                    <w:shd w:val="clear" w:color="auto" w:fill="FFFFFF"/>
                  </w:rPr>
                </w:pPr>
                <w:r>
                  <w:rPr>
                    <w:bCs/>
                    <w:szCs w:val="24"/>
                    <w:lang w:eastAsia="lt-LT"/>
                  </w:rPr>
                  <w:t>Suprasti elementarius termodinamikos pagrindus, žinoti (pagrindines sąvokas, parametrus ir procesus, pvz., perkaitinimas, aukšto slėgio pusė, suspaudimo karštis, entalpija, šaldymo poveikis, žemo slėgio pusė, peršaldymas), aušalo termodinaminę transformaciją, įskaitant zeotropinių mišinių ir skysčio būsenų identifikavimą</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19A768" w14:textId="26EB69B7">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6A0E3C" w14:textId="4828FF3D">
                <w:pPr>
                  <w:jc w:val="center"/>
                  <w:rPr>
                    <w:b/>
                    <w:szCs w:val="24"/>
                    <w:lang w:eastAsia="lt-LT"/>
                  </w:rPr>
                </w:pPr>
                <w:r>
                  <w:rPr>
                    <w:b/>
                    <w:szCs w:val="24"/>
                    <w:lang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B0EDC9" w14:textId="6945C1A6">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9F17A1" w14:textId="6168433C">
                <w:pPr>
                  <w:jc w:val="center"/>
                  <w:rPr>
                    <w:b/>
                    <w:szCs w:val="24"/>
                    <w:lang w:eastAsia="lt-LT"/>
                  </w:rPr>
                </w:pPr>
                <w:r>
                  <w:rPr>
                    <w:b/>
                    <w:szCs w:val="24"/>
                    <w:lang w:eastAsia="lt-LT"/>
                  </w:rPr>
                  <w:t>-</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5A4CA2" w14:textId="3422F497">
                <w:pPr>
                  <w:jc w:val="center"/>
                  <w:rPr>
                    <w:b/>
                    <w:szCs w:val="24"/>
                    <w:lang w:eastAsia="lt-LT"/>
                  </w:rPr>
                </w:pPr>
                <w:r>
                  <w:rPr>
                    <w:b/>
                    <w:szCs w:val="24"/>
                    <w:lang w:eastAsia="lt-LT"/>
                  </w:rPr>
                  <w:t>-</w:t>
                </w:r>
              </w:p>
            </w:tc>
          </w:tr>
          <w:tr w14:paraId="6DF52DB4"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E849482" w14:textId="4A6BBD70">
                <w:pPr>
                  <w:jc w:val="center"/>
                  <w:rPr>
                    <w:bCs/>
                    <w:szCs w:val="24"/>
                    <w:lang w:eastAsia="lt-LT"/>
                  </w:rPr>
                </w:pPr>
                <w:r>
                  <w:rPr>
                    <w:bCs/>
                    <w:szCs w:val="24"/>
                    <w:lang w:eastAsia="lt-LT"/>
                  </w:rPr>
                  <w:t>3.7.</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1F422EB9" w14:textId="5294248A">
                <w:pPr>
                  <w:jc w:val="both"/>
                  <w:rPr>
                    <w:szCs w:val="24"/>
                    <w:shd w:val="clear" w:color="auto" w:fill="FFFFFF"/>
                  </w:rPr>
                </w:pPr>
                <w:r>
                  <w:rPr>
                    <w:color w:val="000000"/>
                    <w:szCs w:val="24"/>
                  </w:rPr>
                  <w:t>Išmanyti nacionalinius teisės aktus apie F-dujas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131ED9" w14:textId="30435BBC">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072D79" w14:textId="139389DF">
                <w:pPr>
                  <w:jc w:val="center"/>
                  <w:rPr>
                    <w:b/>
                    <w:szCs w:val="24"/>
                    <w:lang w:eastAsia="lt-LT"/>
                  </w:rPr>
                </w:pPr>
                <w:r>
                  <w:rPr>
                    <w:b/>
                    <w:szCs w:val="24"/>
                    <w:lang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6852A0" w14:textId="3C0E254A">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368B88" w14:textId="6A3B941B">
                <w:pPr>
                  <w:jc w:val="center"/>
                  <w:rPr>
                    <w:b/>
                    <w:szCs w:val="24"/>
                    <w:lang w:eastAsia="lt-LT"/>
                  </w:rPr>
                </w:pPr>
                <w:r>
                  <w:rPr>
                    <w:b/>
                    <w:szCs w:val="24"/>
                    <w:lang w:eastAsia="lt-LT"/>
                  </w:rPr>
                  <w:t>0,5</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93BE37" w14:textId="189BD2D0">
                <w:pPr>
                  <w:jc w:val="center"/>
                  <w:rPr>
                    <w:b/>
                    <w:szCs w:val="24"/>
                    <w:lang w:eastAsia="lt-LT"/>
                  </w:rPr>
                </w:pPr>
                <w:r>
                  <w:rPr>
                    <w:b/>
                    <w:szCs w:val="24"/>
                    <w:lang w:eastAsia="lt-LT"/>
                  </w:rPr>
                  <w:t>-</w:t>
                </w:r>
              </w:p>
            </w:tc>
          </w:tr>
          <w:tr w14:paraId="561744DE"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704C0F1F" w14:textId="55C6BA96">
                <w:pPr>
                  <w:jc w:val="center"/>
                  <w:rPr>
                    <w:bCs/>
                    <w:szCs w:val="24"/>
                    <w:lang w:eastAsia="lt-LT"/>
                  </w:rPr>
                </w:pPr>
                <w:r>
                  <w:rPr>
                    <w:bCs/>
                    <w:szCs w:val="24"/>
                    <w:lang w:eastAsia="lt-LT"/>
                  </w:rPr>
                  <w:t>3.8.</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30ED1E9C" w14:textId="4043D175">
                <w:pPr>
                  <w:jc w:val="both"/>
                  <w:rPr>
                    <w:szCs w:val="24"/>
                    <w:shd w:val="clear" w:color="auto" w:fill="FFFFFF"/>
                  </w:rPr>
                </w:pPr>
                <w:r>
                  <w:rPr>
                    <w:color w:val="000000"/>
                    <w:szCs w:val="24"/>
                    <w:shd w:val="clear" w:color="auto" w:fill="FFFFFF"/>
                  </w:rPr>
                  <w:t>Žinoti fiziniams ir juridiniams asmenims taikomą atsakomybę už F</w:t>
                  <w:noBreakHyphen/>
                  <w:t>dujų tvarkymo reikalavimų pažeidimus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51939A" w14:textId="2323155D">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BC1460" w14:textId="5597F7DA">
                <w:pPr>
                  <w:jc w:val="center"/>
                  <w:rPr>
                    <w:b/>
                    <w:szCs w:val="24"/>
                    <w:lang w:eastAsia="lt-LT"/>
                  </w:rPr>
                </w:pPr>
                <w:r>
                  <w:rPr>
                    <w:b/>
                    <w:szCs w:val="24"/>
                    <w:lang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666837" w14:textId="05B958F6">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B8C871" w14:textId="7C803DA7">
                <w:pPr>
                  <w:jc w:val="center"/>
                  <w:rPr>
                    <w:b/>
                    <w:szCs w:val="24"/>
                    <w:lang w:eastAsia="lt-LT"/>
                  </w:rPr>
                </w:pPr>
                <w:r>
                  <w:rPr>
                    <w:b/>
                    <w:szCs w:val="24"/>
                    <w:lang w:eastAsia="lt-LT"/>
                  </w:rPr>
                  <w:t>0,5</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EE7550" w14:textId="64291F1F">
                <w:pPr>
                  <w:jc w:val="center"/>
                  <w:rPr>
                    <w:b/>
                    <w:szCs w:val="24"/>
                    <w:lang w:eastAsia="lt-LT"/>
                  </w:rPr>
                </w:pPr>
                <w:r>
                  <w:rPr>
                    <w:b/>
                    <w:szCs w:val="24"/>
                    <w:lang w:eastAsia="lt-LT"/>
                  </w:rPr>
                  <w:t>-</w:t>
                </w:r>
              </w:p>
            </w:tc>
          </w:tr>
          <w:tr w14:paraId="43DD34A6"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7A549ECE" w14:textId="6C93897A">
                <w:pPr>
                  <w:jc w:val="center"/>
                  <w:rPr>
                    <w:bCs/>
                    <w:szCs w:val="24"/>
                    <w:lang w:eastAsia="lt-LT"/>
                  </w:rPr>
                </w:pPr>
                <w:r>
                  <w:rPr>
                    <w:bCs/>
                    <w:szCs w:val="24"/>
                    <w:lang w:eastAsia="lt-LT"/>
                  </w:rPr>
                  <w:t>3.9.</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1B5D3CB9" w14:textId="771A0BC8">
                <w:pPr>
                  <w:jc w:val="both"/>
                  <w:rPr>
                    <w:szCs w:val="24"/>
                    <w:shd w:val="clear" w:color="auto" w:fill="FFFFFF"/>
                  </w:rPr>
                </w:pPr>
                <w:r>
                  <w:rPr>
                    <w:color w:val="000000"/>
                    <w:szCs w:val="24"/>
                    <w:shd w:val="clear" w:color="auto" w:fill="FFFFFF"/>
                  </w:rPr>
                  <w:t xml:space="preserve">Mokėti atpažinti tinkamai paženklintą įrangą ir talpyklas, užpildytas F-dujomis, žinoti būtinus ženklinimo reikalavimus, nustatytus </w:t>
                </w:r>
                <w:r>
                  <w:t xml:space="preserve">2015 m. lapkričio 17 d. Komisijos įgyvendinimo reglamentu </w:t>
                </w:r>
                <w:fldSimple w:instr="HYPERLINK http://eur-lex.europa.eu/legal-content/LIT/TXT/?uri=CELEX:32068R2015&amp;locale=lt \t _blank">
                  <w:r>
                    <w:rPr>
                      <w:u w:val="single"/>
                      <w:color w:val="0000FF" w:themeColor="hyperlink"/>
                    </w:rPr>
                    <w:t>(ES) 2015/2068</w:t>
                  </w:r>
                </w:fldSimple>
                <w:r>
                  <w:t xml:space="preserve">, kuriuo pagal Europos Parlamento ir Tarybos reglamentą </w:t>
                </w:r>
                <w:fldSimple w:instr="HYPERLINK http://eur-lex.europa.eu/legal-content/LIT/TXT/?uri=CELEX:32014R0517&amp;locale=lt \t _blank">
                  <w:r>
                    <w:rPr>
                      <w:u w:val="single"/>
                      <w:color w:val="0000FF" w:themeColor="hyperlink"/>
                    </w:rPr>
                    <w:t>(ES) Nr. 517/2014</w:t>
                  </w:r>
                </w:fldSimple>
                <w:r>
                  <w:t xml:space="preserve"> nustatoma produktų ir įrangos, kuriuose yra fluorintų šiltnamio efektą sukeliančių dujų, etikečių formos reikalavimai </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8C651D" w14:textId="13F75100">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EF50A8" w14:textId="301ECA12">
                <w:pPr>
                  <w:jc w:val="center"/>
                  <w:rPr>
                    <w:b/>
                    <w:szCs w:val="24"/>
                    <w:lang w:eastAsia="lt-LT"/>
                  </w:rPr>
                </w:pPr>
                <w:r>
                  <w:rPr>
                    <w:b/>
                    <w:szCs w:val="24"/>
                    <w:lang w:eastAsia="lt-LT"/>
                  </w:rPr>
                  <w:t>0,5</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F639DD" w14:textId="32967703">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169E4A" w14:textId="70D8B7CA">
                <w:pPr>
                  <w:jc w:val="center"/>
                  <w:rPr>
                    <w:b/>
                    <w:szCs w:val="24"/>
                    <w:lang w:eastAsia="lt-LT"/>
                  </w:rPr>
                </w:pPr>
                <w:r>
                  <w:rPr>
                    <w:b/>
                    <w:szCs w:val="24"/>
                    <w:lang w:eastAsia="lt-LT"/>
                  </w:rPr>
                  <w:t>0,5</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C34FE8" w14:textId="3689EBD5">
                <w:pPr>
                  <w:jc w:val="center"/>
                  <w:rPr>
                    <w:b/>
                    <w:szCs w:val="24"/>
                    <w:lang w:eastAsia="lt-LT"/>
                  </w:rPr>
                </w:pPr>
                <w:r>
                  <w:rPr>
                    <w:b/>
                    <w:szCs w:val="24"/>
                    <w:lang w:eastAsia="lt-LT"/>
                  </w:rPr>
                  <w:t>-</w:t>
                </w:r>
              </w:p>
            </w:tc>
          </w:tr>
          <w:tr w14:paraId="6ADC625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22E4D13" w14:textId="79BFC6BD">
                <w:pPr>
                  <w:jc w:val="center"/>
                  <w:rPr>
                    <w:bCs/>
                    <w:szCs w:val="24"/>
                    <w:lang w:eastAsia="lt-LT"/>
                  </w:rPr>
                </w:pPr>
                <w:r>
                  <w:rPr>
                    <w:bCs/>
                    <w:szCs w:val="24"/>
                    <w:lang w:eastAsia="lt-LT"/>
                  </w:rPr>
                  <w:t>3.10.</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454F841B" w14:textId="4F296985">
                <w:pPr>
                  <w:jc w:val="both"/>
                  <w:rPr>
                    <w:szCs w:val="24"/>
                    <w:shd w:val="clear" w:color="auto" w:fill="FFFFFF"/>
                  </w:rPr>
                </w:pPr>
                <w:r>
                  <w:rPr>
                    <w:color w:val="000000"/>
                    <w:szCs w:val="24"/>
                    <w:shd w:val="clear" w:color="auto" w:fill="FFFFFF"/>
                  </w:rPr>
                  <w:t>Žinoti F-dujų regeneravimo ir suardymo procesus, išmanyti saugų aušalų utilizavimą</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8BCE1D" w14:textId="11EB3A08">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6EF1E6" w14:textId="07C735AD">
                <w:pPr>
                  <w:jc w:val="center"/>
                  <w:rPr>
                    <w:b/>
                    <w:szCs w:val="24"/>
                    <w:lang w:eastAsia="lt-LT"/>
                  </w:rPr>
                </w:pPr>
                <w:r>
                  <w:rPr>
                    <w:b/>
                    <w:szCs w:val="24"/>
                    <w:lang w:eastAsia="lt-LT"/>
                  </w:rPr>
                  <w:t>0,5</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42C359" w14:textId="516076EB">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4CE90C" w14:textId="7CE7DDA3">
                <w:pPr>
                  <w:jc w:val="center"/>
                  <w:rPr>
                    <w:b/>
                    <w:szCs w:val="24"/>
                    <w:lang w:eastAsia="lt-LT"/>
                  </w:rPr>
                </w:pPr>
                <w:r>
                  <w:rPr>
                    <w:b/>
                    <w:szCs w:val="24"/>
                    <w:lang w:eastAsia="lt-LT"/>
                  </w:rPr>
                  <w:t>0,5</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9568A5" w14:textId="1330145D">
                <w:pPr>
                  <w:jc w:val="center"/>
                  <w:rPr>
                    <w:b/>
                    <w:szCs w:val="24"/>
                    <w:lang w:eastAsia="lt-LT"/>
                  </w:rPr>
                </w:pPr>
                <w:r>
                  <w:rPr>
                    <w:b/>
                    <w:szCs w:val="24"/>
                    <w:lang w:eastAsia="lt-LT"/>
                  </w:rPr>
                  <w:t>-</w:t>
                </w:r>
              </w:p>
            </w:tc>
          </w:tr>
          <w:tr w14:paraId="2769C86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407456D8" w14:textId="01203B6B">
                <w:pPr>
                  <w:jc w:val="center"/>
                  <w:rPr>
                    <w:bCs/>
                    <w:szCs w:val="24"/>
                    <w:lang w:val="en-US" w:eastAsia="lt-LT"/>
                  </w:rPr>
                </w:pPr>
                <w:r>
                  <w:rPr>
                    <w:bCs/>
                    <w:szCs w:val="24"/>
                    <w:lang w:val="en-US" w:eastAsia="lt-LT"/>
                  </w:rPr>
                  <w:t>3.11.</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4A347782" w14:textId="6E0AECF3">
                <w:pPr>
                  <w:jc w:val="both"/>
                  <w:rPr>
                    <w:color w:val="000000"/>
                    <w:szCs w:val="24"/>
                    <w:shd w:val="clear" w:color="auto" w:fill="FFFFFF"/>
                  </w:rPr>
                </w:pPr>
                <w:r>
                  <w:rPr>
                    <w:color w:val="000000"/>
                    <w:szCs w:val="24"/>
                    <w:shd w:val="clear" w:color="auto" w:fill="FFFFFF"/>
                  </w:rPr>
                  <w:t xml:space="preserve">Žinoti, kaip teikti ataskaitas per </w:t>
                </w:r>
                <w:r>
                  <w:rPr>
                    <w:color w:val="000000"/>
                    <w:shd w:val="clear" w:color="auto" w:fill="FFFFFF"/>
                  </w:rPr>
                  <w:t xml:space="preserve">Aplinkos informacijos valdymo integruotą kompiuterinę sistemą </w:t>
                </w:r>
                <w:r>
                  <w:rPr>
                    <w:color w:val="000000"/>
                    <w:szCs w:val="24"/>
                    <w:shd w:val="clear" w:color="auto" w:fill="FFFFFF"/>
                  </w:rPr>
                  <w:t xml:space="preserve"> (IS „AIVIKS“)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D9844D" w14:textId="081DEDE5">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B56228" w14:textId="5CB3260B">
                <w:pPr>
                  <w:jc w:val="center"/>
                  <w:rPr>
                    <w:b/>
                    <w:szCs w:val="24"/>
                    <w:lang w:eastAsia="lt-LT"/>
                  </w:rPr>
                </w:pPr>
                <w:r>
                  <w:rPr>
                    <w:b/>
                    <w:szCs w:val="24"/>
                    <w:lang w:eastAsia="lt-LT"/>
                  </w:rPr>
                  <w:t>1</w:t>
                </w:r>
              </w:p>
            </w:tc>
            <w:tc>
              <w:tcPr>
                <w:tcW w:w="5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834663" w14:textId="7CBF047D">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30241A" w14:textId="13BE0B30">
                <w:pPr>
                  <w:jc w:val="center"/>
                  <w:rPr>
                    <w:b/>
                    <w:szCs w:val="24"/>
                    <w:lang w:eastAsia="lt-LT"/>
                  </w:rPr>
                </w:pPr>
                <w:r>
                  <w:rPr>
                    <w:b/>
                    <w:szCs w:val="24"/>
                    <w:lang w:eastAsia="lt-LT"/>
                  </w:rPr>
                  <w:t>0,5</w:t>
                </w:r>
              </w:p>
            </w:tc>
            <w:tc>
              <w:tcPr>
                <w:tcW w:w="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E5AEA6" w14:textId="4AFAD0FB">
                <w:pPr>
                  <w:jc w:val="center"/>
                  <w:rPr>
                    <w:b/>
                    <w:szCs w:val="24"/>
                    <w:lang w:eastAsia="lt-LT"/>
                  </w:rPr>
                </w:pPr>
                <w:r>
                  <w:rPr>
                    <w:b/>
                    <w:szCs w:val="24"/>
                    <w:lang w:eastAsia="lt-LT"/>
                  </w:rPr>
                  <w:t>-</w:t>
                </w:r>
              </w:p>
            </w:tc>
          </w:tr>
          <w:tr w14:paraId="6F13E4C4" w14:textId="77777777">
            <w:trPr>
              <w:trHeight w:val="20"/>
              <w:jc w:val="center"/>
            </w:trPr>
            <w:tc>
              <w:tcPr>
                <w:tcW w:w="2815"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3321C7" w14:textId="70D1E4CD">
                <w:pPr>
                  <w:jc w:val="right"/>
                  <w:rPr>
                    <w:b/>
                    <w:szCs w:val="24"/>
                    <w:lang w:eastAsia="lt-LT"/>
                  </w:rPr>
                </w:pPr>
                <w:r>
                  <w:rPr>
                    <w:b/>
                    <w:szCs w:val="24"/>
                    <w:lang w:eastAsia="lt-LT"/>
                  </w:rPr>
                  <w:t>Iš viso:</w:t>
                </w:r>
              </w:p>
            </w:tc>
            <w:tc>
              <w:tcPr>
                <w:tcW w:w="1090"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BF6C37" w14:textId="6924FFF6">
                <w:pPr>
                  <w:ind w:firstLine="62"/>
                  <w:jc w:val="center"/>
                  <w:rPr>
                    <w:b/>
                    <w:szCs w:val="24"/>
                    <w:lang w:eastAsia="lt-LT"/>
                  </w:rPr>
                </w:pPr>
                <w:r>
                  <w:rPr>
                    <w:b/>
                    <w:szCs w:val="24"/>
                    <w:lang w:eastAsia="lt-LT"/>
                  </w:rPr>
                  <w:t>17</w:t>
                </w:r>
                <w:r>
                  <w:rPr>
                    <w:b/>
                    <w:szCs w:val="24"/>
                    <w:lang w:val="en-US" w:eastAsia="lt-LT"/>
                  </w:rPr>
                  <w:t xml:space="preserve"> </w:t>
                </w:r>
                <w:r>
                  <w:rPr>
                    <w:b/>
                    <w:szCs w:val="24"/>
                    <w:lang w:eastAsia="lt-LT"/>
                  </w:rPr>
                  <w:t>kontaktinio mokymo valandų</w:t>
                </w:r>
              </w:p>
            </w:tc>
            <w:tc>
              <w:tcPr>
                <w:tcW w:w="1095"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C8EC09" w14:textId="055EF07C">
                <w:pPr>
                  <w:jc w:val="center"/>
                  <w:rPr>
                    <w:b/>
                    <w:szCs w:val="24"/>
                    <w:lang w:eastAsia="lt-LT"/>
                  </w:rPr>
                </w:pPr>
                <w:r>
                  <w:rPr>
                    <w:b/>
                    <w:szCs w:val="24"/>
                    <w:lang w:eastAsia="lt-LT"/>
                  </w:rPr>
                  <w:t>5,5 kontaktinio mokymo valandos</w:t>
                </w:r>
              </w:p>
            </w:tc>
          </w:tr>
          <w:tr w14:paraId="7050D0D6"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539AAFA3" w14:textId="629AD52F">
                <w:pPr>
                  <w:jc w:val="both"/>
                  <w:rPr>
                    <w:szCs w:val="24"/>
                    <w:lang w:eastAsia="lt-LT"/>
                  </w:rPr>
                </w:pPr>
                <w:r>
                  <w:rPr>
                    <w:b/>
                    <w:szCs w:val="24"/>
                    <w:lang w:eastAsia="lt-LT"/>
                  </w:rPr>
                  <w:t>3. Pasirengimas vykdyti mokymus ir mokymui organizuoti reikalingos priemonės</w:t>
                </w:r>
              </w:p>
            </w:tc>
          </w:tr>
          <w:tr w14:paraId="30E93764"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67688CAA" w14:textId="03EB134D">
                <w:pPr>
                  <w:jc w:val="both"/>
                  <w:rPr>
                    <w:b/>
                    <w:szCs w:val="24"/>
                    <w:lang w:eastAsia="lt-LT"/>
                  </w:rPr>
                </w:pPr>
                <w:r>
                  <w:rPr>
                    <w:b/>
                    <w:szCs w:val="24"/>
                    <w:lang w:eastAsia="lt-LT"/>
                  </w:rPr>
                  <w:t>3.1. Reikalavimai, mokymą, egzaminavimą, vertinimą atliekantiems asmenims:</w:t>
                </w:r>
              </w:p>
            </w:tc>
          </w:tr>
          <w:tr w14:paraId="29D517D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7DFEC4CD" w14:textId="77777777">
                <w:pPr>
                  <w:jc w:val="both"/>
                  <w:rPr>
                    <w:bCs/>
                    <w:szCs w:val="24"/>
                    <w:lang w:eastAsia="lt-LT"/>
                  </w:rPr>
                </w:pPr>
                <w:r>
                  <w:rPr>
                    <w:bCs/>
                    <w:szCs w:val="24"/>
                    <w:lang w:eastAsia="lt-LT"/>
                  </w:rPr>
                  <w:t>1.</w:t>
                </w:r>
              </w:p>
            </w:tc>
            <w:tc>
              <w:tcPr>
                <w:tcW w:w="1713" w:type="pct"/>
                <w:tcBorders>
                  <w:top w:val="single" w:sz="4" w:space="0" w:color="auto"/>
                  <w:left w:val="single" w:sz="4" w:space="0" w:color="auto"/>
                  <w:bottom w:val="single" w:sz="4" w:space="0" w:color="auto"/>
                  <w:right w:val="single" w:sz="4" w:space="0" w:color="auto"/>
                </w:tcBorders>
                <w:shd w:val="clear" w:color="auto" w:fill="E7E6E6" w:themeFill="background2"/>
              </w:tcPr>
              <w:p w14:paraId="74BA9B03" w14:textId="3BF45C58">
                <w:pPr>
                  <w:jc w:val="both"/>
                  <w:rPr>
                    <w:b/>
                    <w:szCs w:val="24"/>
                    <w:lang w:eastAsia="lt-LT"/>
                  </w:rPr>
                </w:pPr>
                <w:r>
                  <w:rPr>
                    <w:bCs/>
                    <w:szCs w:val="24"/>
                    <w:lang w:eastAsia="lt-LT"/>
                  </w:rPr>
                  <w:t>Išsilavinimo</w:t>
                </w:r>
              </w:p>
            </w:tc>
            <w:tc>
              <w:tcPr>
                <w:tcW w:w="3051" w:type="pct"/>
                <w:gridSpan w:val="5"/>
                <w:vMerge w:val="restart"/>
                <w:tcBorders>
                  <w:top w:val="single" w:sz="4" w:space="0" w:color="auto"/>
                  <w:left w:val="single" w:sz="4" w:space="0" w:color="auto"/>
                  <w:right w:val="single" w:sz="4" w:space="0" w:color="auto"/>
                </w:tcBorders>
                <w:shd w:val="clear" w:color="auto" w:fill="FFFFFF" w:themeFill="background1"/>
                <w:vAlign w:val="center"/>
              </w:tcPr>
              <w:p w14:paraId="360646C1" w14:textId="015433A3">
                <w:pPr>
                  <w:jc w:val="both"/>
                  <w:rPr>
                    <w:bCs/>
                    <w:szCs w:val="24"/>
                    <w:lang w:eastAsia="lt-LT"/>
                  </w:rPr>
                </w:pPr>
                <w:r>
                  <w:rPr>
                    <w:bCs/>
                    <w:szCs w:val="24"/>
                    <w:lang w:eastAsia="lt-LT"/>
                  </w:rPr>
                  <w:t xml:space="preserve">Nurodomi Lietuvos Respublikos aplinkos ministro įsakymų patvirtintame </w:t>
                </w:r>
                <w:r>
                  <w:t>Darbuotojų, dirbančių su fluorintomis šiltnamio efektą sukeliančiomis dujomis ir ozono sluoksnį ardančiomis medžiagomis bei jų turinčia įranga, atestavimo, sertifikavimo ir kvalifikacijos tobulinimo programų vykdymo tvarkos apraše (toliau – Tvarkos aprašas)</w:t>
                </w:r>
              </w:p>
            </w:tc>
          </w:tr>
          <w:tr w14:paraId="32352945"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6F00F9CF" w14:textId="77777777">
                <w:pPr>
                  <w:jc w:val="both"/>
                  <w:rPr>
                    <w:bCs/>
                    <w:szCs w:val="24"/>
                    <w:lang w:eastAsia="lt-LT"/>
                  </w:rPr>
                </w:pPr>
                <w:r>
                  <w:rPr>
                    <w:bCs/>
                    <w:szCs w:val="24"/>
                    <w:lang w:eastAsia="lt-LT"/>
                  </w:rPr>
                  <w:t>2.</w:t>
                </w:r>
              </w:p>
            </w:tc>
            <w:tc>
              <w:tcPr>
                <w:tcW w:w="1713" w:type="pct"/>
                <w:tcBorders>
                  <w:top w:val="single" w:sz="4" w:space="0" w:color="auto"/>
                  <w:left w:val="single" w:sz="4" w:space="0" w:color="auto"/>
                  <w:bottom w:val="single" w:sz="4" w:space="0" w:color="auto"/>
                  <w:right w:val="single" w:sz="4" w:space="0" w:color="auto"/>
                </w:tcBorders>
                <w:shd w:val="clear" w:color="auto" w:fill="E7E6E6" w:themeFill="background2"/>
              </w:tcPr>
              <w:p w14:paraId="7CCED6B3" w14:textId="034BBA36">
                <w:pPr>
                  <w:jc w:val="both"/>
                  <w:rPr>
                    <w:b/>
                    <w:szCs w:val="24"/>
                    <w:lang w:eastAsia="lt-LT"/>
                  </w:rPr>
                </w:pPr>
                <w:r>
                  <w:rPr>
                    <w:bCs/>
                    <w:szCs w:val="24"/>
                    <w:lang w:eastAsia="lt-LT"/>
                  </w:rPr>
                  <w:t>Darbo patirties</w:t>
                </w:r>
              </w:p>
            </w:tc>
            <w:tc>
              <w:tcPr>
                <w:tcW w:w="3051" w:type="pct"/>
                <w:gridSpan w:val="5"/>
                <w:vMerge/>
                <w:tcBorders>
                  <w:left w:val="single" w:sz="4" w:space="0" w:color="auto"/>
                  <w:right w:val="single" w:sz="4" w:space="0" w:color="auto"/>
                </w:tcBorders>
                <w:shd w:val="clear" w:color="auto" w:fill="FFFFFF" w:themeFill="background1"/>
              </w:tcPr>
              <w:p w14:paraId="2540637B" w14:textId="21D9D9C5">
                <w:pPr>
                  <w:jc w:val="both"/>
                  <w:rPr>
                    <w:bCs/>
                    <w:szCs w:val="24"/>
                    <w:lang w:eastAsia="lt-LT"/>
                  </w:rPr>
                </w:pPr>
              </w:p>
            </w:tc>
          </w:tr>
          <w:tr w14:paraId="1D82388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3C7D0FC3" w14:textId="77777777">
                <w:pPr>
                  <w:jc w:val="both"/>
                  <w:rPr>
                    <w:bCs/>
                    <w:szCs w:val="24"/>
                    <w:lang w:eastAsia="lt-LT"/>
                  </w:rPr>
                </w:pPr>
                <w:r>
                  <w:rPr>
                    <w:bCs/>
                    <w:szCs w:val="24"/>
                    <w:lang w:eastAsia="lt-LT"/>
                  </w:rPr>
                  <w:t xml:space="preserve">3. </w:t>
                </w:r>
              </w:p>
            </w:tc>
            <w:tc>
              <w:tcPr>
                <w:tcW w:w="1713" w:type="pct"/>
                <w:tcBorders>
                  <w:top w:val="single" w:sz="4" w:space="0" w:color="auto"/>
                  <w:left w:val="single" w:sz="4" w:space="0" w:color="auto"/>
                  <w:bottom w:val="single" w:sz="4" w:space="0" w:color="auto"/>
                  <w:right w:val="single" w:sz="4" w:space="0" w:color="auto"/>
                </w:tcBorders>
                <w:shd w:val="clear" w:color="auto" w:fill="E7E6E6" w:themeFill="background2"/>
              </w:tcPr>
              <w:p w14:paraId="3BB6D377" w14:textId="09BAC2F3">
                <w:pPr>
                  <w:jc w:val="both"/>
                  <w:rPr>
                    <w:bCs/>
                    <w:szCs w:val="24"/>
                    <w:lang w:eastAsia="lt-LT"/>
                  </w:rPr>
                </w:pPr>
                <w:r>
                  <w:rPr>
                    <w:bCs/>
                    <w:szCs w:val="24"/>
                    <w:lang w:eastAsia="lt-LT"/>
                  </w:rPr>
                  <w:t>Kiti reikalavimai</w:t>
                </w:r>
              </w:p>
            </w:tc>
            <w:tc>
              <w:tcPr>
                <w:tcW w:w="3051" w:type="pct"/>
                <w:gridSpan w:val="5"/>
                <w:vMerge/>
                <w:tcBorders>
                  <w:left w:val="single" w:sz="4" w:space="0" w:color="auto"/>
                  <w:bottom w:val="single" w:sz="4" w:space="0" w:color="auto"/>
                  <w:right w:val="single" w:sz="4" w:space="0" w:color="auto"/>
                </w:tcBorders>
                <w:shd w:val="clear" w:color="auto" w:fill="FFFFFF" w:themeFill="background1"/>
              </w:tcPr>
              <w:p w14:paraId="3AC11CFF" w14:textId="0352FDA8">
                <w:pPr>
                  <w:jc w:val="both"/>
                  <w:rPr>
                    <w:bCs/>
                    <w:szCs w:val="24"/>
                    <w:lang w:eastAsia="lt-LT"/>
                  </w:rPr>
                </w:pPr>
              </w:p>
            </w:tc>
          </w:tr>
          <w:tr w14:paraId="542E2E75"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27BE8CD9" w14:textId="327019B3">
                <w:pPr>
                  <w:jc w:val="both"/>
                  <w:rPr>
                    <w:b/>
                    <w:szCs w:val="24"/>
                    <w:lang w:eastAsia="lt-LT"/>
                  </w:rPr>
                </w:pPr>
                <w:r>
                  <w:rPr>
                    <w:b/>
                    <w:szCs w:val="24"/>
                    <w:lang w:eastAsia="lt-LT"/>
                  </w:rPr>
                  <w:t>3.2. Reikalavimai mokymo patalpoms ir materialiesiems ištekliams</w:t>
                </w:r>
              </w:p>
            </w:tc>
          </w:tr>
          <w:tr w14:paraId="06C4480D"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0AB91F3D" w14:textId="77777777">
                <w:pPr>
                  <w:jc w:val="both"/>
                  <w:rPr>
                    <w:b/>
                    <w:szCs w:val="24"/>
                    <w:lang w:eastAsia="lt-LT"/>
                  </w:rPr>
                </w:pPr>
                <w:r>
                  <w:rPr>
                    <w:b/>
                    <w:szCs w:val="24"/>
                    <w:lang w:eastAsia="lt-LT"/>
                  </w:rPr>
                  <w:t>Eil. Nr.</w:t>
                </w:r>
              </w:p>
            </w:tc>
            <w:tc>
              <w:tcPr>
                <w:tcW w:w="4764" w:type="pct"/>
                <w:gridSpan w:val="6"/>
                <w:shd w:val="clear" w:color="auto" w:fill="E7E6E6" w:themeFill="background2"/>
              </w:tcPr>
              <w:p w14:paraId="6B17AFE8" w14:textId="22A0D0A7">
                <w:pPr>
                  <w:jc w:val="both"/>
                  <w:rPr>
                    <w:b/>
                    <w:bCs/>
                    <w:szCs w:val="24"/>
                    <w:lang w:eastAsia="lt-LT"/>
                  </w:rPr>
                </w:pPr>
                <w:r>
                  <w:rPr>
                    <w:rFonts w:eastAsia="Calibri"/>
                    <w:b/>
                    <w:bCs/>
                    <w:szCs w:val="24"/>
                  </w:rPr>
                  <w:t>Mokymui reikalingos priemonės, reikalavimai patalpoms</w:t>
                </w:r>
              </w:p>
            </w:tc>
          </w:tr>
          <w:tr w14:paraId="2131A12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330CDC70" w14:textId="77777777">
                <w:pPr>
                  <w:jc w:val="both"/>
                  <w:rPr>
                    <w:b/>
                    <w:szCs w:val="24"/>
                    <w:lang w:eastAsia="lt-LT"/>
                  </w:rPr>
                </w:pPr>
                <w:r>
                  <w:rPr>
                    <w:rFonts w:eastAsia="Calibri"/>
                    <w:szCs w:val="24"/>
                  </w:rPr>
                  <w:t>1.</w:t>
                </w:r>
              </w:p>
            </w:tc>
            <w:tc>
              <w:tcPr>
                <w:tcW w:w="1713" w:type="pct"/>
                <w:shd w:val="clear" w:color="auto" w:fill="E7E6E6" w:themeFill="background2"/>
              </w:tcPr>
              <w:p w14:paraId="0F7173A1" w14:textId="52642512">
                <w:pPr>
                  <w:rPr>
                    <w:rFonts w:eastAsia="Calibri"/>
                    <w:b/>
                    <w:bCs/>
                    <w:szCs w:val="24"/>
                  </w:rPr>
                </w:pPr>
                <w:r>
                  <w:rPr>
                    <w:rFonts w:eastAsia="Calibri"/>
                    <w:szCs w:val="24"/>
                  </w:rPr>
                  <w:t>Mokymo patalpos</w:t>
                </w:r>
              </w:p>
            </w:tc>
            <w:tc>
              <w:tcPr>
                <w:tcW w:w="3051" w:type="pct"/>
                <w:gridSpan w:val="5"/>
              </w:tcPr>
              <w:p w14:paraId="0E6DB125" w14:textId="40A8578A">
                <w:pPr>
                  <w:jc w:val="both"/>
                  <w:rPr>
                    <w:rFonts w:eastAsia="Calibri"/>
                    <w:szCs w:val="24"/>
                  </w:rPr>
                </w:pPr>
                <w:r>
                  <w:rPr>
                    <w:rFonts w:eastAsia="Calibri"/>
                    <w:szCs w:val="24"/>
                  </w:rPr>
                  <w:t xml:space="preserve">Teorinio mokymo patalpa turi būti pritaikyta vykdyti šios dalies mokymą ir egzaminavimą. Praktinio mokymo patalpos turi būti pritaikytos vykdyti praktinės dalies mokymą ir egzaminavimą. Patalpos turi būti įrengtos pagal Tvarkos aprašo 15.13 papunktyje  nurodytus reikalavimus.</w:t>
                </w:r>
              </w:p>
            </w:tc>
          </w:tr>
          <w:tr w14:paraId="77C12BF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07FF0373" w14:textId="77777777">
                <w:pPr>
                  <w:jc w:val="both"/>
                  <w:rPr>
                    <w:b/>
                    <w:szCs w:val="24"/>
                    <w:lang w:eastAsia="lt-LT"/>
                  </w:rPr>
                </w:pPr>
                <w:r>
                  <w:rPr>
                    <w:rFonts w:eastAsia="Calibri"/>
                    <w:szCs w:val="24"/>
                  </w:rPr>
                  <w:t>2.</w:t>
                </w:r>
              </w:p>
            </w:tc>
            <w:tc>
              <w:tcPr>
                <w:tcW w:w="1713" w:type="pct"/>
                <w:shd w:val="clear" w:color="auto" w:fill="E7E6E6" w:themeFill="background2"/>
              </w:tcPr>
              <w:p w14:paraId="5D33F671" w14:textId="6C0C45CE">
                <w:pPr>
                  <w:jc w:val="both"/>
                  <w:rPr>
                    <w:rFonts w:eastAsia="Calibri"/>
                    <w:szCs w:val="24"/>
                  </w:rPr>
                </w:pPr>
                <w:r>
                  <w:rPr>
                    <w:rFonts w:eastAsia="Calibri"/>
                    <w:szCs w:val="24"/>
                  </w:rPr>
                  <w:t>Mokymo procesui būtini materialieji ištekliai</w:t>
                </w:r>
              </w:p>
            </w:tc>
            <w:tc>
              <w:tcPr>
                <w:tcW w:w="3051" w:type="pct"/>
                <w:gridSpan w:val="5"/>
              </w:tcPr>
              <w:p w14:paraId="2D823893" w14:textId="0791EE2D">
                <w:pPr>
                  <w:jc w:val="both"/>
                  <w:rPr>
                    <w:rFonts w:eastAsia="Calibri"/>
                    <w:szCs w:val="24"/>
                  </w:rPr>
                </w:pPr>
                <w:r>
                  <w:rPr>
                    <w:rFonts w:eastAsia="Calibri"/>
                    <w:szCs w:val="24"/>
                  </w:rPr>
                  <w:t>Materialiųjų išteklių sąrašas nurodytas Tvarkos aprašo 3 priede.</w:t>
                </w:r>
              </w:p>
            </w:tc>
          </w:tr>
          <w:tr w14:paraId="453C134F" w14:textId="77777777">
            <w:trPr>
              <w:trHeight w:val="20"/>
              <w:jc w:val="center"/>
            </w:trPr>
            <w:tc>
              <w:tcPr>
                <w:tcW w:w="5000" w:type="pct"/>
                <w:gridSpan w:val="7"/>
                <w:tcBorders>
                  <w:top w:val="single" w:sz="4" w:space="0" w:color="auto"/>
                  <w:left w:val="single" w:sz="4" w:space="0" w:color="auto"/>
                  <w:bottom w:val="single" w:sz="4" w:space="0" w:color="auto"/>
                </w:tcBorders>
                <w:shd w:val="clear" w:color="auto" w:fill="E7E6E6" w:themeFill="background2"/>
              </w:tcPr>
              <w:p w14:paraId="002C7974" w14:textId="47286CC1">
                <w:pPr>
                  <w:jc w:val="both"/>
                  <w:rPr>
                    <w:rFonts w:eastAsia="Calibri"/>
                    <w:b/>
                    <w:bCs/>
                    <w:szCs w:val="24"/>
                  </w:rPr>
                </w:pPr>
                <w:r>
                  <w:rPr>
                    <w:rFonts w:eastAsia="Calibri"/>
                    <w:b/>
                    <w:bCs/>
                    <w:szCs w:val="24"/>
                  </w:rPr>
                  <w:t>4. Fizinių asmenų egzaminavimas</w:t>
                </w:r>
              </w:p>
            </w:tc>
          </w:tr>
          <w:tr w14:paraId="770F8D7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2CBD9212" w14:textId="354C1956">
                <w:pPr>
                  <w:jc w:val="both"/>
                  <w:rPr>
                    <w:rFonts w:eastAsia="Calibri"/>
                    <w:szCs w:val="24"/>
                  </w:rPr>
                </w:pPr>
                <w:r>
                  <w:rPr>
                    <w:rFonts w:eastAsia="Calibri"/>
                    <w:szCs w:val="24"/>
                  </w:rPr>
                  <w:t>1.</w:t>
                </w:r>
              </w:p>
            </w:tc>
            <w:tc>
              <w:tcPr>
                <w:tcW w:w="1713" w:type="pct"/>
                <w:shd w:val="clear" w:color="auto" w:fill="E7E6E6" w:themeFill="background2"/>
              </w:tcPr>
              <w:p w14:paraId="7F9992A1" w14:textId="0897D2C1">
                <w:pPr>
                  <w:jc w:val="both"/>
                  <w:rPr>
                    <w:rFonts w:eastAsia="Calibri"/>
                    <w:szCs w:val="24"/>
                  </w:rPr>
                </w:pPr>
                <w:r>
                  <w:rPr>
                    <w:rFonts w:eastAsia="Calibri"/>
                    <w:szCs w:val="24"/>
                  </w:rPr>
                  <w:t>Egzaminų dalys</w:t>
                </w:r>
              </w:p>
            </w:tc>
            <w:tc>
              <w:tcPr>
                <w:tcW w:w="3051" w:type="pct"/>
                <w:gridSpan w:val="5"/>
                <w:vMerge w:val="restart"/>
                <w:vAlign w:val="center"/>
              </w:tcPr>
              <w:p w14:paraId="419B1F60" w14:textId="76ED0CEA">
                <w:pPr>
                  <w:jc w:val="both"/>
                  <w:rPr>
                    <w:rFonts w:eastAsia="Calibri"/>
                    <w:szCs w:val="24"/>
                  </w:rPr>
                </w:pPr>
                <w:r>
                  <w:rPr>
                    <w:rFonts w:eastAsia="Calibri"/>
                    <w:szCs w:val="24"/>
                  </w:rPr>
                  <w:t xml:space="preserve">Nurodyti Tvarkos aprašo VIII skyriuje </w:t>
                </w:r>
              </w:p>
            </w:tc>
          </w:tr>
          <w:tr w14:paraId="2AE5D3C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2AB4495C" w14:textId="7469F8C3">
                <w:pPr>
                  <w:jc w:val="both"/>
                  <w:rPr>
                    <w:rFonts w:eastAsia="Calibri"/>
                    <w:szCs w:val="24"/>
                  </w:rPr>
                </w:pPr>
                <w:r>
                  <w:rPr>
                    <w:rFonts w:eastAsia="Calibri"/>
                    <w:szCs w:val="24"/>
                  </w:rPr>
                  <w:t>2.</w:t>
                </w:r>
              </w:p>
            </w:tc>
            <w:tc>
              <w:tcPr>
                <w:tcW w:w="1713" w:type="pct"/>
                <w:shd w:val="clear" w:color="auto" w:fill="E7E6E6" w:themeFill="background2"/>
              </w:tcPr>
              <w:p w14:paraId="616F0A96" w14:textId="5165CEB4">
                <w:pPr>
                  <w:jc w:val="both"/>
                  <w:rPr>
                    <w:rFonts w:eastAsia="Calibri"/>
                    <w:szCs w:val="24"/>
                  </w:rPr>
                </w:pPr>
                <w:r>
                  <w:rPr>
                    <w:rFonts w:eastAsia="Calibri"/>
                    <w:szCs w:val="24"/>
                  </w:rPr>
                  <w:t>Teorinės dalies egzamino užduočių struktūra</w:t>
                </w:r>
              </w:p>
            </w:tc>
            <w:tc>
              <w:tcPr>
                <w:tcW w:w="3051" w:type="pct"/>
                <w:gridSpan w:val="5"/>
                <w:vMerge/>
              </w:tcPr>
              <w:p w14:paraId="7BF61739" w14:textId="77777777">
                <w:pPr>
                  <w:jc w:val="both"/>
                  <w:rPr>
                    <w:rFonts w:eastAsia="Calibri"/>
                    <w:szCs w:val="24"/>
                  </w:rPr>
                </w:pPr>
              </w:p>
            </w:tc>
          </w:tr>
          <w:tr w14:paraId="6E6679D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4DFA4CB0" w14:textId="68916B77">
                <w:pPr>
                  <w:jc w:val="both"/>
                  <w:rPr>
                    <w:rFonts w:eastAsia="Calibri"/>
                    <w:szCs w:val="24"/>
                  </w:rPr>
                </w:pPr>
                <w:r>
                  <w:rPr>
                    <w:rFonts w:eastAsia="Calibri"/>
                    <w:szCs w:val="24"/>
                  </w:rPr>
                  <w:t>3.</w:t>
                </w:r>
              </w:p>
            </w:tc>
            <w:tc>
              <w:tcPr>
                <w:tcW w:w="1713" w:type="pct"/>
                <w:shd w:val="clear" w:color="auto" w:fill="E7E6E6" w:themeFill="background2"/>
              </w:tcPr>
              <w:p w14:paraId="165CDC26" w14:textId="336B4EFF">
                <w:pPr>
                  <w:jc w:val="both"/>
                  <w:rPr>
                    <w:rFonts w:eastAsia="Calibri"/>
                    <w:szCs w:val="24"/>
                  </w:rPr>
                </w:pPr>
                <w:r>
                  <w:rPr>
                    <w:rFonts w:eastAsia="Calibri"/>
                    <w:szCs w:val="24"/>
                  </w:rPr>
                  <w:t>Atskirų egzaminavimo dalių trukmė</w:t>
                </w:r>
              </w:p>
            </w:tc>
            <w:tc>
              <w:tcPr>
                <w:tcW w:w="3051" w:type="pct"/>
                <w:gridSpan w:val="5"/>
                <w:vMerge/>
              </w:tcPr>
              <w:p w14:paraId="037659FA" w14:textId="77777777">
                <w:pPr>
                  <w:jc w:val="both"/>
                  <w:rPr>
                    <w:rFonts w:eastAsia="Calibri"/>
                    <w:szCs w:val="24"/>
                  </w:rPr>
                </w:pPr>
              </w:p>
            </w:tc>
          </w:tr>
          <w:tr w14:paraId="7F3C767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6A7946F1" w14:textId="605F0FE8">
                <w:pPr>
                  <w:jc w:val="both"/>
                  <w:rPr>
                    <w:rFonts w:eastAsia="Calibri"/>
                    <w:szCs w:val="24"/>
                  </w:rPr>
                </w:pPr>
                <w:r>
                  <w:rPr>
                    <w:rFonts w:eastAsia="Calibri"/>
                    <w:szCs w:val="24"/>
                  </w:rPr>
                  <w:t>4.</w:t>
                </w:r>
              </w:p>
            </w:tc>
            <w:tc>
              <w:tcPr>
                <w:tcW w:w="1713" w:type="pct"/>
                <w:shd w:val="clear" w:color="auto" w:fill="E7E6E6" w:themeFill="background2"/>
              </w:tcPr>
              <w:p w14:paraId="49A388FB" w14:textId="36E43861">
                <w:pPr>
                  <w:jc w:val="both"/>
                  <w:rPr>
                    <w:rFonts w:eastAsia="Calibri"/>
                    <w:szCs w:val="24"/>
                  </w:rPr>
                </w:pPr>
                <w:r>
                  <w:rPr>
                    <w:rFonts w:eastAsia="Calibri"/>
                    <w:szCs w:val="24"/>
                  </w:rPr>
                  <w:t>Būtini reikalavimai fiziniams asmenims išlaikyti teorinio ir praktinio egzaminų dalis</w:t>
                </w:r>
              </w:p>
            </w:tc>
            <w:tc>
              <w:tcPr>
                <w:tcW w:w="3051" w:type="pct"/>
                <w:gridSpan w:val="5"/>
                <w:vMerge/>
              </w:tcPr>
              <w:p w14:paraId="21CAE193" w14:textId="77777777">
                <w:pPr>
                  <w:jc w:val="both"/>
                  <w:rPr>
                    <w:rFonts w:eastAsia="Calibri"/>
                    <w:szCs w:val="24"/>
                  </w:rPr>
                </w:pPr>
              </w:p>
            </w:tc>
          </w:tr>
          <w:tr w14:paraId="14453F0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416F86CA" w14:textId="07EBC046">
                <w:pPr>
                  <w:jc w:val="both"/>
                  <w:rPr>
                    <w:rFonts w:eastAsia="Calibri"/>
                    <w:szCs w:val="24"/>
                  </w:rPr>
                </w:pPr>
                <w:r>
                  <w:rPr>
                    <w:rFonts w:eastAsia="Calibri"/>
                    <w:szCs w:val="24"/>
                  </w:rPr>
                  <w:t>5.</w:t>
                </w:r>
              </w:p>
            </w:tc>
            <w:tc>
              <w:tcPr>
                <w:tcW w:w="1713" w:type="pct"/>
                <w:shd w:val="clear" w:color="auto" w:fill="E7E6E6" w:themeFill="background2"/>
              </w:tcPr>
              <w:p w14:paraId="6E92BD2F" w14:textId="0401E39F">
                <w:pPr>
                  <w:jc w:val="both"/>
                  <w:rPr>
                    <w:rFonts w:eastAsia="Calibri"/>
                    <w:szCs w:val="24"/>
                  </w:rPr>
                </w:pPr>
                <w:r>
                  <w:rPr>
                    <w:rFonts w:eastAsia="Calibri"/>
                    <w:szCs w:val="24"/>
                  </w:rPr>
                  <w:t>Kiti reikalavimai</w:t>
                </w:r>
              </w:p>
            </w:tc>
            <w:tc>
              <w:tcPr>
                <w:tcW w:w="3051" w:type="pct"/>
                <w:gridSpan w:val="5"/>
                <w:vMerge/>
              </w:tcPr>
              <w:p w14:paraId="0E70B10F" w14:textId="77777777">
                <w:pPr>
                  <w:jc w:val="both"/>
                  <w:rPr>
                    <w:rFonts w:eastAsia="Calibri"/>
                    <w:szCs w:val="24"/>
                  </w:rPr>
                </w:pPr>
              </w:p>
            </w:tc>
          </w:tr>
        </w:tbl>
        <w:p w14:paraId="272A0EC1" w14:textId="77777777">
          <w:pPr>
            <w:rPr>
              <w:szCs w:val="24"/>
            </w:rPr>
          </w:pPr>
        </w:p>
        <w:p w14:paraId="69CBFEC3" w14:textId="77777777">
          <w:pPr>
            <w:rPr>
              <w:szCs w:val="24"/>
            </w:rPr>
          </w:pPr>
        </w:p>
        <w:sdt>
          <w:sdtPr>
            <w:alias w:val="signatura"/>
            <w:tag w:val="part_91111bd9738040b589f84dd08cde55f4"/>
            <w:lock w:val="sdtLocked"/>
            <w:richText/>
          </w:sdtPr>
          <w:sdtContent>
            <w:p w14:paraId="1D5EA21E" w14:textId="77777777">
              <w:pPr>
                <w:jc w:val="center"/>
                <w:rPr>
                  <w:sz w:val="22"/>
                  <w:szCs w:val="22"/>
                </w:rPr>
              </w:pPr>
              <w:r>
                <w:rPr>
                  <w:sz w:val="22"/>
                  <w:szCs w:val="22"/>
                </w:rPr>
                <w:t>___________________________</w:t>
              </w:r>
            </w:p>
            <w:p w14:paraId="4E3333FF" w14:textId="77777777">
              <w:pPr>
                <w:rPr>
                  <w:sz w:val="22"/>
                  <w:szCs w:val="22"/>
                </w:rPr>
              </w:pPr>
            </w:p>
            <w:p w14:paraId="66B79247" w14:textId="77777777">
              <w:pPr>
                <w:rPr>
                  <w:sz w:val="22"/>
                  <w:szCs w:val="22"/>
                </w:rPr>
              </w:pPr>
            </w:p>
            <w:p w14:paraId="0B2F97A1" w14:textId="77777777">
              <w:pPr>
                <w:rPr>
                  <w:sz w:val="22"/>
                  <w:szCs w:val="22"/>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1134" w:bottom="567" w:left="85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86E32" w14:textId="77777777">
      <w:r>
        <w:separator/>
      </w:r>
    </w:p>
  </w:endnote>
  <w:endnote w:type="continuationSeparator" w:id="0">
    <w:p w14:paraId="4271015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B96993"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609F0"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46B37"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46F90C" w14:textId="77777777">
      <w:r>
        <w:separator/>
      </w:r>
    </w:p>
  </w:footnote>
  <w:footnote w:type="continuationSeparator" w:id="0">
    <w:p w14:paraId="37533571"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DD161D"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7BA81" w14:textId="155783DD">
    <w:pPr>
      <w:tabs>
        <w:tab w:val="center" w:pos="4819"/>
        <w:tab w:val="right" w:pos="9638"/>
      </w:tabs>
      <w:jc w:val="center"/>
    </w:pPr>
    <w:r>
      <w:fldChar w:fldCharType="begin"/>
    </w:r>
    <w:r>
      <w:instrText>PAGE   \* MERGEFORMAT</w:instrText>
    </w:r>
    <w:r>
      <w:fldChar w:fldCharType="separate"/>
    </w:r>
    <w:r>
      <w:t>2</w:t>
    </w:r>
    <w:r>
      <w:fldChar w:fldCharType="end"/>
    </w:r>
  </w:p>
  <w:p w14:paraId="6C437BCC"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DB0CAE"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9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E5031"/>
  <w15:docId w15:val="{9524171A-4F57-4391-BA05-4479F9F380B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392416506e1a4da28555974c11702c95" PartId="b1e6dcc2a8c243988bf7803910bd518d"/>
  <Part Type="lentele" Title="DARBUOTOJŲ DIRBANČIŲ SU MOTORINIŲ TRANSPORTO PRIEMONIŲ ORO KONDICIONAVIMO SISTEMOMIS, KURIOSE YRA FLUORINTŲ ŠILTNAMIO EFEKTĄ SUKELIANČIŲ DUJŲ, ATESTAVIMO IR KVALIFIKACIJOS TOBULINIMO PROGRAMA" DocPartId="f3816cba9b184220b7d51b824edcc8a9" PartId="d1c19a6541cd4c68a9b539fac4675ba0">
    <Part Type="signatura" DocPartId="6a3923f48840486ebe0dd83b7c4cddec" PartId="91111bd9738040b589f84dd08cde55f4"/>
  </Part>
</Parts>
</file>

<file path=customXml/itemProps1.xml><?xml version="1.0" encoding="utf-8"?>
<ds:datastoreItem xmlns:ds="http://schemas.openxmlformats.org/officeDocument/2006/customXml" ds:itemID="{ACAF57D8-2037-4FE8-BC3C-39169851A4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E430CB-5474-42C1-A205-BF4DD6DE6B5F}">
  <ds:schemaRefs>
    <ds:schemaRef ds:uri="http://schemas.microsoft.com/sharepoint/v3/contenttype/forms"/>
  </ds:schemaRefs>
</ds:datastoreItem>
</file>

<file path=customXml/itemProps3.xml><?xml version="1.0" encoding="utf-8"?>
<ds:datastoreItem xmlns:ds="http://schemas.openxmlformats.org/officeDocument/2006/customXml" ds:itemID="{9396131C-E501-41B9-BA29-77F87A2B27D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www.w3.org/XML/1998/namespace"/>
    <ds:schemaRef ds:uri="http://purl.org/dc/dcmitype/"/>
  </ds:schemaRefs>
</ds:datastoreItem>
</file>

<file path=customXml/itemProps4.xml><?xml version="1.0" encoding="utf-8"?>
<ds:datastoreItem xmlns:ds="http://schemas.openxmlformats.org/officeDocument/2006/customXml" ds:itemID="{3D852BFA-9E65-4110-8DD8-1E082E54610F}">
  <ds:schemaRefs>
    <ds:schemaRef ds:uri="http://schemas.openxmlformats.org/officeDocument/2006/bibliography"/>
  </ds:schemaRefs>
</ds:datastoreItem>
</file>

<file path=customXml/itemProps5.xml><?xml version="1.0" encoding="utf-8"?>
<ds:datastoreItem xmlns:ds="http://schemas.openxmlformats.org/officeDocument/2006/customXml" ds:itemID="{2B42FA3E-74A8-41A9-8882-9487A202EB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1235</Words>
  <Characters>8738</Characters>
  <Application>Microsoft Office Word</Application>
  <DocSecurity>4</DocSecurity>
  <Lines>336</Lines>
  <Paragraphs>212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2023-10-24T06:16:00Z</dcterms:created>
  <dc:creator>Edita Šaltenienė</dc:creator>
  <lastModifiedBy>adlibuser</lastModifiedBy>
  <lastPrinted>2021-04-15T13:19:00Z</lastPrinted>
  <dcterms:modified xsi:type="dcterms:W3CDTF">2023-10-24T06:16:00Z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