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4bd843d4131465f80e55bbee307019f"/>
        <w:lock w:val="sdtLocked"/>
        <w:richText/>
      </w:sdtPr>
      <w:sdtContent>
        <w:p w14:paraId="42470B19" w14:textId="77777777">
          <w:pPr>
            <w:tabs>
              <w:tab w:val="center" w:pos="4986"/>
              <w:tab w:val="right" w:pos="9972"/>
            </w:tabs>
          </w:pPr>
        </w:p>
        <w:p w14:paraId="2AE99EBE" w14:textId="77777777">
          <w:pPr>
            <w:tabs>
              <w:tab w:val="center" w:pos="4153"/>
              <w:tab w:val="right" w:pos="8306"/>
            </w:tabs>
            <w:rPr>
              <w:lang w:eastAsia="lt-LT"/>
            </w:rPr>
          </w:pPr>
        </w:p>
        <w:p w14:paraId="22556F3C" w14:textId="77777777">
          <w:pPr>
            <w:tabs>
              <w:tab w:val="center" w:pos="4153"/>
              <w:tab w:val="right" w:pos="8306"/>
            </w:tabs>
            <w:rPr>
              <w:lang w:eastAsia="lt-LT"/>
            </w:rPr>
          </w:pPr>
        </w:p>
        <w:p w14:paraId="42992132" w14:textId="77777777">
          <w:pPr>
            <w:rPr>
              <w:b/>
              <w:color w:val="000000"/>
              <w:szCs w:val="24"/>
              <w:lang w:eastAsia="lt-LT"/>
            </w:rPr>
          </w:pPr>
          <w:r>
            <w:rPr>
              <w:b/>
              <w:color w:val="000000"/>
              <w:szCs w:val="24"/>
              <w:lang w:eastAsia="lt-LT"/>
            </w:rPr>
            <w:t>NUMATOMO TEISINIO REGULIAVIMO POVEIKIO VERTINIMO PAŽYMA</w:t>
          </w:r>
        </w:p>
        <w:p w14:paraId="079B512F" w14:textId="77777777">
          <w:pPr>
            <w:jc w:val="center"/>
            <w:rPr>
              <w:b/>
              <w:color w:val="0000FF"/>
              <w:lang w:eastAsia="lt-LT"/>
            </w:rPr>
          </w:pPr>
        </w:p>
        <w:tbl>
          <w:tblPr>
            <w:tblW w:w="0" w:type="auto"/>
            <w:tblLook w:val="00A0" w:firstRow="1" w:lastRow="0" w:firstColumn="1" w:lastColumn="0" w:noHBand="0" w:noVBand="0"/>
          </w:tblPr>
          <w:tblGrid>
            <w:gridCol w:w="2179"/>
            <w:gridCol w:w="6892"/>
          </w:tblGrid>
          <w:tr w14:paraId="4A3DB26E" w14:textId="77777777">
            <w:tc>
              <w:tcPr>
                <w:tcW w:w="2235" w:type="dxa"/>
                <w:shd w:val="clear" w:color="auto" w:fill="DBE5F1"/>
                <w:hideMark/>
              </w:tcPr>
              <w:p w14:paraId="6C863FA1" w14:textId="77777777">
                <w:pPr>
                  <w:rPr>
                    <w:szCs w:val="24"/>
                    <w:shd w:val="clear" w:color="auto" w:fill="DBE5F1"/>
                    <w:lang w:eastAsia="lt-LT"/>
                  </w:rPr>
                </w:pPr>
                <w:r>
                  <w:rPr>
                    <w:b/>
                    <w:szCs w:val="24"/>
                    <w:shd w:val="clear" w:color="auto" w:fill="DBE5F1"/>
                    <w:lang w:eastAsia="lt-LT"/>
                  </w:rPr>
                  <w:t>Projekto pavadinimas</w:t>
                </w:r>
              </w:p>
            </w:tc>
            <w:tc>
              <w:tcPr>
                <w:tcW w:w="7337" w:type="dxa"/>
                <w:shd w:val="clear" w:color="auto" w:fill="D9E2F3"/>
              </w:tcPr>
              <w:p w14:paraId="7543EF3B" w14:textId="59F95D6A">
                <w:pPr>
                  <w:jc w:val="both"/>
                  <w:rPr>
                    <w:szCs w:val="24"/>
                    <w:lang w:eastAsia="lt-LT"/>
                  </w:rPr>
                </w:pPr>
                <w:r>
                  <w:rPr>
                    <w:szCs w:val="24"/>
                    <w:lang w:eastAsia="lt-LT"/>
                  </w:rPr>
                  <w:t>Lietuvos Respublikos aplinkos ministro įsakymas „Dėl darbuotojų, dirbančių su fluorintomis šiltnamio efektą sukeliančiomis dujomis ir ozono sluoksnį ardančiomis medžiagomis bei jų turinčia įranga, atestavimo, sertifikavimo ir kvalifikacijos tobulinimo programų vykdymo tvarkos aprašo ir programų patvirtinimo“ projektas</w:t>
                </w:r>
              </w:p>
            </w:tc>
          </w:tr>
        </w:tbl>
        <w:p w14:paraId="3BF2F383" w14:textId="77777777">
          <w:pPr>
            <w:rPr>
              <w:szCs w:val="24"/>
              <w:lang w:eastAsia="lt-LT"/>
            </w:rPr>
          </w:pPr>
        </w:p>
        <w:tbl>
          <w:tblPr>
            <w:tblW w:w="0" w:type="auto"/>
            <w:tblLook w:val="00A0" w:firstRow="1" w:lastRow="0" w:firstColumn="1" w:lastColumn="0" w:noHBand="0" w:noVBand="0"/>
          </w:tblPr>
          <w:tblGrid>
            <w:gridCol w:w="2155"/>
            <w:gridCol w:w="6916"/>
          </w:tblGrid>
          <w:tr w14:paraId="2ED8016D" w14:textId="77777777">
            <w:tc>
              <w:tcPr>
                <w:tcW w:w="2235" w:type="dxa"/>
                <w:shd w:val="clear" w:color="auto" w:fill="DBE5F1"/>
                <w:hideMark/>
              </w:tcPr>
              <w:p w14:paraId="7274C25A" w14:textId="77777777">
                <w:pPr>
                  <w:rPr>
                    <w:szCs w:val="24"/>
                    <w:lang w:eastAsia="lt-LT"/>
                  </w:rPr>
                </w:pPr>
                <w:r>
                  <w:rPr>
                    <w:b/>
                    <w:szCs w:val="24"/>
                    <w:shd w:val="clear" w:color="auto" w:fill="DBE5F1"/>
                    <w:lang w:eastAsia="lt-LT"/>
                  </w:rPr>
                  <w:t>Projekto rengėjas</w:t>
                </w:r>
              </w:p>
            </w:tc>
            <w:tc>
              <w:tcPr>
                <w:tcW w:w="7337" w:type="dxa"/>
                <w:shd w:val="clear" w:color="auto" w:fill="DBE5F1"/>
                <w:hideMark/>
              </w:tcPr>
              <w:p w14:paraId="0450E7C4" w14:textId="1CC11CFD">
                <w:pPr>
                  <w:jc w:val="both"/>
                  <w:rPr>
                    <w:b/>
                    <w:szCs w:val="24"/>
                    <w:lang w:eastAsia="lt-LT"/>
                  </w:rPr>
                </w:pPr>
                <w:r>
                  <w:rPr>
                    <w:szCs w:val="24"/>
                    <w:lang w:eastAsia="lt-LT"/>
                  </w:rPr>
                  <w:t>Lietuvos Respublikos aplinkos ministerija</w:t>
                </w:r>
              </w:p>
            </w:tc>
          </w:tr>
        </w:tbl>
        <w:p w14:paraId="2FBB876B" w14:textId="77777777">
          <w:pPr>
            <w:rPr>
              <w:szCs w:val="24"/>
              <w:lang w:eastAsia="lt-LT"/>
            </w:rPr>
          </w:pPr>
        </w:p>
        <w:tbl>
          <w:tblPr>
            <w:tblW w:w="0" w:type="auto"/>
            <w:tblLook w:val="00A0" w:firstRow="1" w:lastRow="0" w:firstColumn="1" w:lastColumn="0" w:noHBand="0" w:noVBand="0"/>
          </w:tblPr>
          <w:tblGrid>
            <w:gridCol w:w="2138"/>
            <w:gridCol w:w="6933"/>
          </w:tblGrid>
          <w:tr w14:paraId="6DE57C33" w14:textId="77777777">
            <w:tc>
              <w:tcPr>
                <w:tcW w:w="2235" w:type="dxa"/>
                <w:shd w:val="clear" w:color="auto" w:fill="DBE5F1"/>
                <w:hideMark/>
              </w:tcPr>
              <w:p w14:paraId="4846DF06" w14:textId="77777777">
                <w:pPr>
                  <w:rPr>
                    <w:b/>
                    <w:color w:val="000000"/>
                    <w:szCs w:val="24"/>
                    <w:lang w:eastAsia="lt-LT"/>
                  </w:rPr>
                </w:pPr>
                <w:r>
                  <w:rPr>
                    <w:b/>
                    <w:color w:val="000000"/>
                    <w:szCs w:val="24"/>
                    <w:lang w:eastAsia="lt-LT"/>
                  </w:rPr>
                  <w:t>Projekto tikslas</w:t>
                </w:r>
              </w:p>
            </w:tc>
            <w:tc>
              <w:tcPr>
                <w:tcW w:w="7337" w:type="dxa"/>
                <w:shd w:val="clear" w:color="auto" w:fill="DBE5F1"/>
                <w:hideMark/>
              </w:tcPr>
              <w:p w14:paraId="3FF20F55" w14:textId="3AC74BEC">
                <w:pPr>
                  <w:widowControl w:val="0"/>
                  <w:jc w:val="both"/>
                  <w:textAlignment w:val="baseline"/>
                </w:pPr>
                <w:r>
                  <w:rPr>
                    <w:color w:val="000000"/>
                    <w:szCs w:val="24"/>
                    <w:lang w:eastAsia="lt-LT"/>
                  </w:rPr>
                  <w:t xml:space="preserve">Projekto tikslas – užtikrinti </w:t>
                </w:r>
                <w:r>
                  <w:t xml:space="preserve">2014 m. balandžio 16 d. Europos Parlamento ir Tarybos reglamento </w:t>
                </w:r>
                <w:fldSimple w:instr="HYPERLINK http://eur-lex.europa.eu/legal-content/LIT/TXT/?uri=CELEX:32014R0517&amp;locale=lt \t _blank">
                  <w:r>
                    <w:rPr>
                      <w:u w:val="single"/>
                      <w:color w:val="0000FF" w:themeColor="hyperlink"/>
                    </w:rPr>
                    <w:t>(ES) Nr. 517/2014</w:t>
                  </w:r>
                </w:fldSimple>
                <w:r>
                  <w:t xml:space="preserve"> dėl fluorintų šiltnamio efektą sukeliančių dujų, kuriuo panaikinamas Reglamentas </w:t>
                </w:r>
                <w:fldSimple w:instr="HYPERLINK http://eur-lex.europa.eu/legal-content/LIT/TXT/?uri=CELEX:32006R0842&amp;locale=lt \t _blank">
                  <w:r>
                    <w:rPr>
                      <w:u w:val="single"/>
                      <w:color w:val="0000FF" w:themeColor="hyperlink"/>
                    </w:rPr>
                    <w:t>(EB) Nr. 842/2006</w:t>
                  </w:r>
                </w:fldSimple>
                <w:r>
                  <w:t xml:space="preserve"> ir 2009 m. rugsėjo 16 d. Europos Parlamento ir Tarybos reglamento </w:t>
                </w:r>
                <w:fldSimple w:instr="HYPERLINK http://eur-lex.europa.eu/legal-content/LIT/TXT/?uri=CELEX:32009R1005&amp;locale=lt \t _blank">
                  <w:r>
                    <w:rPr>
                      <w:u w:val="single"/>
                      <w:color w:val="0000FF" w:themeColor="hyperlink"/>
                    </w:rPr>
                    <w:t>(EB) Nr. 1005/2009</w:t>
                  </w:r>
                </w:fldSimple>
                <w:r>
                  <w:t xml:space="preserve"> dėl ozono sluoksnį ardančių medžiagų reikalavimų įgyvendinimą. Projektu tvirtinamu Darbuotojų, dirbančių su fluorintomis šiltnamio efektą sukeliančiomis dujomis ir ozono sluoksnį ardančiomis medžiagomis bei jų turinčia įranga, atestavimo, sertifikavimo ir kvalifikacijos tobulinimo programų vykdymo tvarkos aprašu (toliau – Tvarkos aprašas), siūloma nustatyti reikalavimus įmonėms, įstaigoms ar organizacijoms, norinčioms įgyti mokymų teikėjo statusą ir vykdyti atestavimo, sertifikavimo ir kvalifikacijos tobulinimo programas. Mokymų teikėjai vadovaudamiesi Tvarkos aprašu vykdys fizinių asmenų įgūdžių bei žinių tikrinimą, pažymėjimų išdavimą ir informacijos apie išduotus pažymėjimus teikimą Aplinkos apsaugos agentūrai (toliau – AAA) iki tol, kol pradės veikti pažymėjimų duomenų bazė. Tvarkos aprašu AAA pavedamos funkcijos, susijusios su įmonių, įstaigų ar organizacijų paraiškų nagrinėjimu, mokymų teikėjui suteikiamo leidimo vykdyti   darbuotojų, dirbančių su fluorintomis dujomis ir ozono sluoksnį ardančiomis medžiagomis bei jų turinčia įranga atestavimo, sertifikavimo ir kvalifikacijos tobulinimo programas (toliau – leidimas vykdyti veiklą) išdavimu, jo stabdymu, stabdymo nutraukimu ar panaikinimu, mokymų teikėjo veiklos priežiūra, pažymėjimų blankų išdavimu, pažymėjimų duomenų bazės tvarkymu.</w:t>
                </w:r>
              </w:p>
              <w:p w14:paraId="444318A1" w14:textId="77777777">
                <w:pPr>
                  <w:widowControl w:val="0"/>
                  <w:jc w:val="both"/>
                  <w:textAlignment w:val="baseline"/>
                </w:pPr>
                <w:r>
                  <w:t xml:space="preserve">Projektu taip pat tvirtinamos keturios atestavimo, sertifikavimo ir kvalifikacijos tobulinimo programos, parengtos remiantis Europos Komisijos deleguotaisiais teisės aktais ir reglamentais. Atestavimo, sertifikavimo ir kvalifikacijos tobulinimo programose pateikiama ši informacija:  programos aktualumas, anotacija, tikslai ir uždaviniai, trukmė ir apimtis, tikslinės dalyvių grupės ir jų skaičius, minimalūs reikalavimai fiziniams asmenims, norintiems įgyti ar tobulinti kvalifikaciją,  programos turinys ir minimali trukmė atitinkamų žinių ir įgūdžiai suteikimui, reikalavimai mokymų teikėjui vykdyti mokymus ir mokymų organizavimui reikalingos priemonės.</w:t>
                </w:r>
              </w:p>
              <w:p w14:paraId="7FFD92AF" w14:textId="08695BD6">
                <w:pPr>
                  <w:suppressAutoHyphens/>
                  <w:spacing w:line="276" w:lineRule="auto"/>
                  <w:jc w:val="both"/>
                  <w:textAlignment w:val="baseline"/>
                </w:pPr>
                <w:r>
                  <w:t>Mokymų programos apima šias veiklos rūšis:</w:t>
                </w:r>
              </w:p>
              <w:p w14:paraId="66DA6163" w14:textId="72431585">
                <w:pPr>
                  <w:suppressAutoHyphens/>
                  <w:spacing w:line="276" w:lineRule="auto"/>
                  <w:ind w:firstLine="360"/>
                  <w:jc w:val="both"/>
                  <w:textAlignment w:val="baseline"/>
                  <w:rPr>
                    <w:color w:val="000000"/>
                  </w:rPr>
                </w:pPr>
                <w:r>
                  <w:rPr>
                    <w:rFonts w:ascii="Symbol" w:hAnsi="Symbol"/>
                    <w:color w:val="000000"/>
                  </w:rPr>
                  <w:t></w:t>
                  <w:tab/>
                </w:r>
                <w:r>
                  <w:rPr>
                    <w:color w:val="000000"/>
                  </w:rPr>
                  <w:t>stacionarios šaldymo, oro kondicionavimo, šilumos siurblių įrangos ir izoterminių sunkvežimių, priekabų šaldymo įrenginių montavimo, techninės priežiūros ir eksploatacijos nutraukimo;</w:t>
                </w:r>
              </w:p>
              <w:p w14:paraId="15B311B6" w14:textId="5788E081">
                <w:pPr>
                  <w:suppressAutoHyphens/>
                  <w:spacing w:line="276" w:lineRule="auto"/>
                  <w:ind w:firstLine="360"/>
                  <w:jc w:val="both"/>
                  <w:textAlignment w:val="baseline"/>
                  <w:rPr>
                    <w:color w:val="000000"/>
                  </w:rPr>
                </w:pPr>
                <w:r>
                  <w:rPr>
                    <w:rFonts w:ascii="Symbol" w:hAnsi="Symbol"/>
                    <w:color w:val="000000"/>
                  </w:rPr>
                  <w:t></w:t>
                  <w:tab/>
                </w:r>
                <w:r>
                  <w:rPr>
                    <w:rFonts w:eastAsia="Andale Sans UI" w:cs="Tahoma"/>
                    <w:lang w:bidi="en-US"/>
                  </w:rPr>
                  <w:t xml:space="preserve">stacionarių priešgaisrinių sistemų ir gesintuvų </w:t>
                </w:r>
                <w:r>
                  <w:rPr>
                    <w:color w:val="000000"/>
                  </w:rPr>
                  <w:t>montavimo, techninės priežiūros ir eksploatacijos nutraukimo;</w:t>
                </w:r>
              </w:p>
              <w:p w14:paraId="13D6C2B9" w14:textId="6FAABA3C">
                <w:pPr>
                  <w:suppressAutoHyphens/>
                  <w:spacing w:line="276" w:lineRule="auto"/>
                  <w:ind w:firstLine="360"/>
                  <w:jc w:val="both"/>
                  <w:textAlignment w:val="baseline"/>
                  <w:rPr>
                    <w:color w:val="000000"/>
                  </w:rPr>
                </w:pPr>
                <w:r>
                  <w:rPr>
                    <w:rFonts w:ascii="Symbol" w:hAnsi="Symbol"/>
                    <w:color w:val="000000"/>
                  </w:rPr>
                  <w:t></w:t>
                  <w:tab/>
                </w:r>
                <w:r>
                  <w:rPr>
                    <w:rFonts w:eastAsia="Andale Sans UI" w:cs="Tahoma"/>
                    <w:lang w:bidi="en-US"/>
                  </w:rPr>
                  <w:t>elektros skirstomųjų įrenginių montavimo, techninės priežiūros, eksploatacijos nutraukimo;</w:t>
                </w:r>
              </w:p>
              <w:p w14:paraId="420C7EC3" w14:textId="50B7C3E3">
                <w:pPr>
                  <w:suppressAutoHyphens/>
                  <w:spacing w:line="276" w:lineRule="auto"/>
                  <w:ind w:firstLine="360"/>
                  <w:jc w:val="both"/>
                  <w:textAlignment w:val="baseline"/>
                  <w:rPr>
                    <w:color w:val="000000"/>
                  </w:rPr>
                </w:pPr>
                <w:r>
                  <w:rPr>
                    <w:rFonts w:ascii="Symbol" w:hAnsi="Symbol"/>
                    <w:color w:val="000000"/>
                  </w:rPr>
                  <w:t></w:t>
                  <w:tab/>
                </w:r>
                <w:r>
                  <w:rPr>
                    <w:rFonts w:eastAsia="Andale Sans UI" w:cs="Tahoma"/>
                    <w:lang w:bidi="en-US"/>
                  </w:rPr>
                  <w:t>motorinių transporto priemonių oro kondicionavimo sistemų montavimo, techninės priežiūros, eksploatacijos nutraukimo.</w:t>
                </w:r>
              </w:p>
              <w:p w14:paraId="61E6CA23" w14:textId="431CFD4B">
                <w:pPr>
                  <w:suppressAutoHyphens/>
                  <w:spacing w:line="276" w:lineRule="auto"/>
                  <w:jc w:val="both"/>
                  <w:textAlignment w:val="baseline"/>
                  <w:rPr>
                    <w:color w:val="000000"/>
                    <w:szCs w:val="24"/>
                    <w:lang w:eastAsia="lt-LT"/>
                  </w:rPr>
                </w:pPr>
              </w:p>
            </w:tc>
          </w:tr>
        </w:tbl>
        <w:p w14:paraId="17DAA86A" w14:textId="77777777">
          <w:pPr>
            <w:rPr>
              <w:szCs w:val="24"/>
              <w:lang w:eastAsia="lt-LT"/>
            </w:rPr>
          </w:pPr>
        </w:p>
        <w:tbl>
          <w:tblPr>
            <w:tblW w:w="0" w:type="auto"/>
            <w:tblLook w:val="00A0" w:firstRow="1" w:lastRow="0" w:firstColumn="1" w:lastColumn="0" w:noHBand="0" w:noVBand="0"/>
          </w:tblPr>
          <w:tblGrid>
            <w:gridCol w:w="2111"/>
            <w:gridCol w:w="6960"/>
          </w:tblGrid>
          <w:tr w14:paraId="341C7269" w14:textId="77777777">
            <w:trPr>
              <w:trHeight w:val="415"/>
            </w:trPr>
            <w:tc>
              <w:tcPr>
                <w:tcW w:w="2164" w:type="dxa"/>
                <w:shd w:val="clear" w:color="auto" w:fill="DBE5F1"/>
              </w:tcPr>
              <w:p w14:paraId="3A7BB5F6" w14:textId="77777777">
                <w:pPr>
                  <w:rPr>
                    <w:szCs w:val="24"/>
                    <w:lang w:eastAsia="lt-LT"/>
                  </w:rPr>
                </w:pPr>
              </w:p>
            </w:tc>
            <w:tc>
              <w:tcPr>
                <w:tcW w:w="7123" w:type="dxa"/>
                <w:shd w:val="clear" w:color="auto" w:fill="DBE5F1"/>
                <w:hideMark/>
              </w:tcPr>
              <w:p w14:paraId="370074D6" w14:textId="77777777">
                <w:pPr>
                  <w:jc w:val="center"/>
                  <w:rPr>
                    <w:b/>
                    <w:szCs w:val="24"/>
                    <w:lang w:eastAsia="lt-LT"/>
                  </w:rPr>
                </w:pPr>
                <w:r>
                  <w:rPr>
                    <w:b/>
                    <w:szCs w:val="24"/>
                    <w:lang w:eastAsia="lt-LT"/>
                  </w:rPr>
                  <w:t xml:space="preserve">Siūlomo projekto poveikio įvertinimas </w:t>
                </w:r>
              </w:p>
              <w:p w14:paraId="278F00BF" w14:textId="77777777">
                <w:pPr>
                  <w:jc w:val="center"/>
                  <w:rPr>
                    <w:b/>
                    <w:szCs w:val="24"/>
                    <w:lang w:eastAsia="lt-LT"/>
                  </w:rPr>
                </w:pPr>
                <w:r>
                  <w:rPr>
                    <w:b/>
                    <w:szCs w:val="24"/>
                    <w:lang w:eastAsia="lt-LT"/>
                  </w:rPr>
                  <w:t>(</w:t>
                </w:r>
                <w:r>
                  <w:rPr>
                    <w:b/>
                    <w:bCs/>
                    <w:szCs w:val="24"/>
                    <w:lang w:eastAsia="lt-LT"/>
                  </w:rPr>
                  <w:t>teigiamos ir (ar) neigiamos pasekmės)</w:t>
                </w:r>
              </w:p>
            </w:tc>
          </w:tr>
        </w:tbl>
        <w:p w14:paraId="425DE383" w14:textId="77777777">
          <w:pPr>
            <w:rPr>
              <w:szCs w:val="24"/>
              <w:lang w:eastAsia="lt-LT"/>
            </w:rPr>
          </w:pPr>
        </w:p>
        <w:tbl>
          <w:tblPr>
            <w:tblW w:w="0" w:type="auto"/>
            <w:tblLook w:val="00A0" w:firstRow="1" w:lastRow="0" w:firstColumn="1" w:lastColumn="0" w:noHBand="0" w:noVBand="0"/>
          </w:tblPr>
          <w:tblGrid>
            <w:gridCol w:w="2216"/>
            <w:gridCol w:w="6855"/>
          </w:tblGrid>
          <w:tr w14:paraId="796D0E78" w14:textId="77777777">
            <w:tc>
              <w:tcPr>
                <w:tcW w:w="2235" w:type="dxa"/>
                <w:shd w:val="clear" w:color="auto" w:fill="DBE5F1"/>
              </w:tcPr>
              <w:p w14:paraId="26EDE95D" w14:textId="77777777">
                <w:pPr>
                  <w:rPr>
                    <w:b/>
                    <w:szCs w:val="24"/>
                    <w:lang w:eastAsia="lt-LT"/>
                  </w:rPr>
                </w:pPr>
                <w:r>
                  <w:rPr>
                    <w:b/>
                    <w:szCs w:val="24"/>
                    <w:lang w:eastAsia="lt-LT"/>
                  </w:rPr>
                  <w:t>Poveikis aplinkai</w:t>
                </w:r>
              </w:p>
            </w:tc>
            <w:tc>
              <w:tcPr>
                <w:tcW w:w="6945" w:type="dxa"/>
              </w:tcPr>
              <w:p w14:paraId="101E6749" w14:textId="54DB1E73">
                <w:pPr>
                  <w:suppressAutoHyphens/>
                  <w:jc w:val="both"/>
                  <w:textAlignment w:val="baseline"/>
                  <w:rPr>
                    <w:szCs w:val="24"/>
                  </w:rPr>
                </w:pPr>
                <w:r>
                  <w:rPr>
                    <w:szCs w:val="24"/>
                  </w:rPr>
                  <w:t xml:space="preserve">Neigiamų pasekmių nenumatoma. Užtikrinant kvalifikuotų darbuotojų rengimą, jų žinių atnaujinimą, kas 7 metus, tikimasi, kad darbuotojai gebės laikantis visų saugos reikalavimų tinkamai atlikti įrenginių montavimo, techninės priežiūros, nuotėkio patikros ir </w:t>
                </w:r>
                <w:r>
                  <w:rPr>
                    <w:rFonts w:eastAsia="Andale Sans UI" w:cs="Tahoma"/>
                    <w:lang w:bidi="en-US"/>
                  </w:rPr>
                  <w:t xml:space="preserve">eksploatacijos nutraukimo darbus. </w:t>
                </w:r>
                <w:r>
                  <w:rPr>
                    <w:szCs w:val="24"/>
                  </w:rPr>
                  <w:t>Tinkamai paruošti specialistai leis sumažinti netyčinio fluorintų šiltnamio efektą sukeliančių dujų (toliau – F-dujų) ir ozono sluoksnį ardančių medžiagų (toliau – OAM) nuotėkio rizikas, įrenginių gedimo tikimybę dėl netinkamai atlikto darbo, o tai turės teigiamą poveikį aplinkai.</w:t>
                </w:r>
              </w:p>
            </w:tc>
          </w:tr>
        </w:tbl>
        <w:p w14:paraId="67D0FF36" w14:textId="77777777">
          <w:pPr>
            <w:rPr>
              <w:szCs w:val="24"/>
              <w:lang w:eastAsia="lt-LT"/>
            </w:rPr>
          </w:pPr>
        </w:p>
        <w:tbl>
          <w:tblPr>
            <w:tblW w:w="9322" w:type="dxa"/>
            <w:tblLook w:val="00A0" w:firstRow="1" w:lastRow="0" w:firstColumn="1" w:lastColumn="0" w:noHBand="0" w:noVBand="0"/>
          </w:tblPr>
          <w:tblGrid>
            <w:gridCol w:w="2235"/>
            <w:gridCol w:w="7087"/>
          </w:tblGrid>
          <w:tr w14:paraId="572896EF" w14:textId="77777777">
            <w:tc>
              <w:tcPr>
                <w:tcW w:w="2235" w:type="dxa"/>
                <w:shd w:val="clear" w:color="auto" w:fill="DBE5F1"/>
                <w:hideMark/>
              </w:tcPr>
              <w:p w14:paraId="57DBB0EE" w14:textId="77777777">
                <w:pPr>
                  <w:rPr>
                    <w:b/>
                    <w:szCs w:val="24"/>
                    <w:lang w:eastAsia="lt-LT"/>
                  </w:rPr>
                </w:pPr>
                <w:r>
                  <w:rPr>
                    <w:b/>
                    <w:szCs w:val="24"/>
                    <w:lang w:eastAsia="lt-LT"/>
                  </w:rPr>
                  <w:t xml:space="preserve">Poveikis </w:t>
                </w:r>
              </w:p>
              <w:p w14:paraId="221F6D09" w14:textId="77777777">
                <w:pPr>
                  <w:rPr>
                    <w:b/>
                    <w:szCs w:val="24"/>
                    <w:lang w:eastAsia="lt-LT"/>
                  </w:rPr>
                </w:pPr>
                <w:r>
                  <w:rPr>
                    <w:b/>
                    <w:szCs w:val="24"/>
                    <w:lang w:eastAsia="lt-LT"/>
                  </w:rPr>
                  <w:t>valstybės finansams</w:t>
                </w:r>
              </w:p>
            </w:tc>
            <w:tc>
              <w:tcPr>
                <w:tcW w:w="7087" w:type="dxa"/>
                <w:hideMark/>
              </w:tcPr>
              <w:p w14:paraId="2AA6AC31" w14:textId="70068C9D">
                <w:pPr>
                  <w:jc w:val="both"/>
                  <w:rPr>
                    <w:szCs w:val="24"/>
                    <w:lang w:eastAsia="lt-LT"/>
                  </w:rPr>
                </w:pPr>
                <w:r>
                  <w:rPr>
                    <w:rFonts w:eastAsia="Andale Sans UI" w:cs="Tahoma"/>
                    <w:szCs w:val="24"/>
                    <w:lang w:bidi="en-US"/>
                  </w:rPr>
                  <w:t>Neigiamų pasekmių nenumatoma.</w:t>
                </w:r>
              </w:p>
            </w:tc>
          </w:tr>
          <w:tr w14:paraId="3879D25E" w14:textId="77777777">
            <w:trPr>
              <w:trHeight w:val="74"/>
            </w:trPr>
            <w:tc>
              <w:tcPr>
                <w:tcW w:w="2235" w:type="dxa"/>
                <w:shd w:val="clear" w:color="auto" w:fill="DBE5F1"/>
              </w:tcPr>
              <w:p w14:paraId="4B33456F" w14:textId="77777777">
                <w:pPr>
                  <w:rPr>
                    <w:b/>
                    <w:szCs w:val="24"/>
                    <w:lang w:eastAsia="lt-LT"/>
                  </w:rPr>
                </w:pPr>
              </w:p>
            </w:tc>
            <w:tc>
              <w:tcPr>
                <w:tcW w:w="7087" w:type="dxa"/>
              </w:tcPr>
              <w:p w14:paraId="08FBA1C6" w14:textId="77777777">
                <w:pPr>
                  <w:jc w:val="both"/>
                  <w:rPr>
                    <w:szCs w:val="24"/>
                    <w:lang w:eastAsia="lt-LT"/>
                  </w:rPr>
                </w:pPr>
              </w:p>
            </w:tc>
          </w:tr>
        </w:tbl>
        <w:p w14:paraId="348824C9" w14:textId="77777777">
          <w:pPr>
            <w:rPr>
              <w:szCs w:val="24"/>
              <w:lang w:eastAsia="lt-LT"/>
            </w:rPr>
          </w:pPr>
        </w:p>
        <w:tbl>
          <w:tblPr>
            <w:tblW w:w="9322" w:type="dxa"/>
            <w:tblLook w:val="00A0" w:firstRow="1" w:lastRow="0" w:firstColumn="1" w:lastColumn="0" w:noHBand="0" w:noVBand="0"/>
          </w:tblPr>
          <w:tblGrid>
            <w:gridCol w:w="2235"/>
            <w:gridCol w:w="7087"/>
          </w:tblGrid>
          <w:tr w14:paraId="75325BE5" w14:textId="77777777">
            <w:tc>
              <w:tcPr>
                <w:tcW w:w="2235" w:type="dxa"/>
                <w:shd w:val="clear" w:color="auto" w:fill="DBE5F1"/>
                <w:hideMark/>
              </w:tcPr>
              <w:p w14:paraId="65F7F52E" w14:textId="77777777">
                <w:pPr>
                  <w:rPr>
                    <w:b/>
                    <w:szCs w:val="24"/>
                    <w:lang w:eastAsia="lt-LT"/>
                  </w:rPr>
                </w:pPr>
                <w:r>
                  <w:rPr>
                    <w:b/>
                    <w:szCs w:val="24"/>
                    <w:lang w:eastAsia="lt-LT"/>
                  </w:rPr>
                  <w:t xml:space="preserve">Poveikis </w:t>
                </w:r>
              </w:p>
              <w:p w14:paraId="7485CE75" w14:textId="77777777">
                <w:pPr>
                  <w:rPr>
                    <w:b/>
                    <w:szCs w:val="24"/>
                    <w:lang w:eastAsia="lt-LT"/>
                  </w:rPr>
                </w:pPr>
                <w:r>
                  <w:rPr>
                    <w:b/>
                    <w:szCs w:val="24"/>
                    <w:lang w:eastAsia="lt-LT"/>
                  </w:rPr>
                  <w:t>klimato kaitai</w:t>
                </w:r>
              </w:p>
            </w:tc>
            <w:tc>
              <w:tcPr>
                <w:tcW w:w="7087" w:type="dxa"/>
                <w:hideMark/>
              </w:tcPr>
              <w:p w14:paraId="4C4E5C29" w14:textId="3A192A4C">
                <w:pPr>
                  <w:jc w:val="both"/>
                  <w:rPr>
                    <w:szCs w:val="24"/>
                    <w:lang w:eastAsia="lt-LT"/>
                  </w:rPr>
                </w:pPr>
                <w:r>
                  <w:rPr>
                    <w:color w:val="000000"/>
                    <w:shd w:val="clear" w:color="auto" w:fill="FFFFFF"/>
                  </w:rPr>
                  <w:t xml:space="preserve">Tikimasi, kad fiziniai asmenys baigę atestavimo, sertifikavimo ir kvalifikacijos tobulinimo programas gebės savarankiškai, tinkamai ir saugiai vykdyti įrangos montavimo, techninės priežiūros, nuotėkio patikros ir </w:t>
                </w:r>
                <w:r>
                  <w:rPr>
                    <w:rFonts w:eastAsia="Andale Sans UI" w:cs="Tahoma"/>
                    <w:lang w:bidi="en-US"/>
                  </w:rPr>
                  <w:t>eksploatacijos</w:t>
                </w:r>
                <w:r>
                  <w:rPr>
                    <w:color w:val="000000"/>
                    <w:shd w:val="clear" w:color="auto" w:fill="FFFFFF"/>
                  </w:rPr>
                  <w:t xml:space="preserve"> nutraukimo darbus. Darbuotojų, dirbančių su F-dujomis ir OAM bei jų turinčia įranga atestavimo, setrifikavimo ir kvalifikacijos tobulinimo programos papildytos įtraukiant informaciją apie natūralių aušalų naudojimą, fiziniai asmenys supažindinami su Europos Sąjungos ir nacionaliniais teisės aktais reglamentuojančiai F-dujų ir ozono sluoksnį ardančiomis naudojimą.</w:t>
                </w:r>
              </w:p>
            </w:tc>
          </w:tr>
          <w:tr w14:paraId="3F7A2920" w14:textId="77777777">
            <w:trPr>
              <w:trHeight w:val="95"/>
            </w:trPr>
            <w:tc>
              <w:tcPr>
                <w:tcW w:w="2235" w:type="dxa"/>
                <w:shd w:val="clear" w:color="auto" w:fill="DBE5F1"/>
              </w:tcPr>
              <w:p w14:paraId="27FC5994" w14:textId="77777777">
                <w:pPr>
                  <w:rPr>
                    <w:b/>
                    <w:szCs w:val="24"/>
                    <w:lang w:eastAsia="lt-LT"/>
                  </w:rPr>
                </w:pPr>
              </w:p>
            </w:tc>
            <w:tc>
              <w:tcPr>
                <w:tcW w:w="7087" w:type="dxa"/>
              </w:tcPr>
              <w:p w14:paraId="17054022" w14:textId="77777777">
                <w:pPr>
                  <w:jc w:val="both"/>
                  <w:rPr>
                    <w:szCs w:val="24"/>
                    <w:lang w:eastAsia="lt-LT"/>
                  </w:rPr>
                </w:pPr>
              </w:p>
            </w:tc>
          </w:tr>
        </w:tbl>
        <w:p w14:paraId="4C88831F" w14:textId="77777777">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95"/>
            <w:gridCol w:w="6876"/>
          </w:tblGrid>
          <w:tr w14:paraId="71E3340D" w14:textId="77777777">
            <w:tc>
              <w:tcPr>
                <w:tcW w:w="2210" w:type="dxa"/>
                <w:tcBorders>
                  <w:top w:val="nil"/>
                  <w:left w:val="nil"/>
                  <w:bottom w:val="nil"/>
                  <w:right w:val="nil"/>
                </w:tcBorders>
                <w:shd w:val="clear" w:color="auto" w:fill="DBE5F1"/>
              </w:tcPr>
              <w:p w14:paraId="2C1B1594" w14:textId="77777777">
                <w:pPr>
                  <w:shd w:val="clear" w:color="auto" w:fill="DBE5F1"/>
                  <w:rPr>
                    <w:b/>
                    <w:szCs w:val="24"/>
                    <w:lang w:eastAsia="lt-LT"/>
                  </w:rPr>
                </w:pPr>
                <w:r>
                  <w:rPr>
                    <w:b/>
                    <w:szCs w:val="24"/>
                    <w:lang w:eastAsia="lt-LT"/>
                  </w:rPr>
                  <w:t>Poveikis administracinei naštai</w:t>
                </w:r>
              </w:p>
            </w:tc>
            <w:tc>
              <w:tcPr>
                <w:tcW w:w="7077" w:type="dxa"/>
                <w:tcBorders>
                  <w:top w:val="nil"/>
                  <w:left w:val="nil"/>
                  <w:bottom w:val="nil"/>
                  <w:right w:val="nil"/>
                </w:tcBorders>
                <w:hideMark/>
              </w:tcPr>
              <w:p w14:paraId="598B54FC" w14:textId="77777777">
                <w:pPr>
                  <w:jc w:val="both"/>
                </w:pPr>
                <w:r>
                  <w:rPr>
                    <w:szCs w:val="24"/>
                    <w:lang w:eastAsia="lt-LT"/>
                  </w:rPr>
                  <w:t xml:space="preserve">Tvarkos aprašu </w:t>
                </w:r>
                <w:r>
                  <w:t xml:space="preserve">AAA pavedamos naujos funkcijos, susijusios su įmonių, įstaigų ar organizacijų paraiškų nagrinėjimu, mokymų teikėjui suteikiamo leidimo vykdyti veiklą išdavimu, jo stabdymu, stabdymo nutraukimu ar panaikinimu, mokymų teikėjo veiklos priežiūra, pažymėjimų blankų išdavimu, pažymėjimų duomenų bazės tvarkymu. </w:t>
                </w:r>
              </w:p>
              <w:p w14:paraId="26179606" w14:textId="0A5C7303">
                <w:pPr>
                  <w:jc w:val="both"/>
                  <w:rPr>
                    <w:szCs w:val="24"/>
                    <w:lang w:eastAsia="lt-LT"/>
                  </w:rPr>
                </w:pPr>
                <w:r>
                  <w:rPr>
                    <w:szCs w:val="24"/>
                  </w:rPr>
                  <w:t>Administracinė našta nevertinta pinigine išraiška, nes atlikus pirminį vertinimą, ji mažareikšmė, t. y. jis aktualus ne daugiau kaip 20 įmonių, įstaigų ar organizacijų.</w:t>
                </w:r>
              </w:p>
            </w:tc>
          </w:tr>
          <w:tr w14:paraId="40A47998"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6"/>
            </w:trPr>
            <w:tc>
              <w:tcPr>
                <w:tcW w:w="9287" w:type="dxa"/>
                <w:gridSpan w:val="2"/>
                <w:vMerge w:val="restart"/>
                <w:shd w:val="clear" w:color="auto" w:fill="DBE5F1"/>
                <w:hideMark/>
              </w:tcPr>
              <w:p w14:paraId="3450C8B1" w14:textId="77777777">
                <w:pPr>
                  <w:rPr>
                    <w:b/>
                    <w:szCs w:val="24"/>
                    <w:lang w:eastAsia="lt-LT"/>
                  </w:rPr>
                </w:pPr>
              </w:p>
              <w:p w14:paraId="1A2FEC6B" w14:textId="77777777">
                <w:pPr>
                  <w:rPr>
                    <w:b/>
                    <w:szCs w:val="24"/>
                    <w:lang w:eastAsia="lt-LT"/>
                  </w:rPr>
                </w:pPr>
                <w:r>
                  <w:rPr>
                    <w:b/>
                    <w:szCs w:val="24"/>
                    <w:lang w:eastAsia="lt-LT"/>
                  </w:rPr>
                  <w:t xml:space="preserve">Kita svarbi </w:t>
                </w:r>
              </w:p>
              <w:p w14:paraId="3B8D8E9A" w14:textId="77777777">
                <w:pPr>
                  <w:rPr>
                    <w:b/>
                    <w:szCs w:val="24"/>
                    <w:lang w:eastAsia="lt-LT"/>
                  </w:rPr>
                </w:pPr>
                <w:r>
                  <w:rPr>
                    <w:b/>
                    <w:szCs w:val="24"/>
                    <w:lang w:eastAsia="lt-LT"/>
                  </w:rPr>
                  <w:t xml:space="preserve">informacija                   </w:t>
                </w:r>
                <w:r>
                  <w:rPr>
                    <w:szCs w:val="24"/>
                    <w:lang w:eastAsia="lt-LT"/>
                  </w:rPr>
                  <w:t>Nėra.</w:t>
                </w:r>
              </w:p>
            </w:tc>
          </w:tr>
          <w:tr w14:paraId="36DA2990"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trPr>
            <w:tc>
              <w:tcPr>
                <w:tcW w:w="0" w:type="auto"/>
                <w:gridSpan w:val="2"/>
                <w:vMerge/>
                <w:vAlign w:val="center"/>
                <w:hideMark/>
              </w:tcPr>
              <w:p w14:paraId="00D99949" w14:textId="77777777">
                <w:pPr>
                  <w:rPr>
                    <w:b/>
                    <w:sz w:val="23"/>
                    <w:szCs w:val="23"/>
                    <w:lang w:eastAsia="lt-LT"/>
                  </w:rPr>
                </w:pPr>
              </w:p>
            </w:tc>
          </w:tr>
          <w:tr w14:paraId="47D76613"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trPr>
            <w:tc>
              <w:tcPr>
                <w:tcW w:w="0" w:type="auto"/>
                <w:gridSpan w:val="2"/>
                <w:vMerge/>
                <w:vAlign w:val="center"/>
                <w:hideMark/>
              </w:tcPr>
              <w:p w14:paraId="6A793AF3" w14:textId="77777777">
                <w:pPr>
                  <w:rPr>
                    <w:b/>
                    <w:sz w:val="23"/>
                    <w:szCs w:val="23"/>
                    <w:lang w:eastAsia="lt-LT"/>
                  </w:rPr>
                </w:pPr>
              </w:p>
            </w:tc>
          </w:tr>
        </w:tbl>
        <w:p w14:paraId="2D73D306" w14:textId="77777777">
          <w:pPr>
            <w:jc w:val="both"/>
            <w:rPr>
              <w:b/>
              <w:sz w:val="23"/>
              <w:szCs w:val="23"/>
            </w:rPr>
          </w:pPr>
        </w:p>
        <w:sdt>
          <w:sdtPr>
            <w:alias w:val="lentele"/>
            <w:tag w:val="part_c781de8b89904cb0a2533fb54f480c78"/>
            <w:lock w:val="sdtLocked"/>
            <w:richText/>
          </w:sdtPr>
          <w:sdtContent>
            <w:p w14:paraId="4F736B24" w14:textId="77777777">
              <w:pPr>
                <w:jc w:val="both"/>
                <w:rPr>
                  <w:b/>
                  <w:sz w:val="22"/>
                  <w:szCs w:val="22"/>
                </w:rPr>
              </w:pPr>
              <w:sdt>
                <w:sdtPr>
                  <w:alias w:val="Pavadinimas"/>
                  <w:tag w:val="title_c781de8b89904cb0a2533fb54f480c78"/>
                  <w:lock w:val="sdtLocked"/>
                  <w:richText/>
                </w:sdtPr>
                <w:sdtContent>
                  <w:r>
                    <w:rPr>
                      <w:b/>
                      <w:sz w:val="22"/>
                      <w:szCs w:val="22"/>
                    </w:rPr>
                    <w:t>Informacija apie asmenį ir instituciją, atsakingą už poveikio vertinimą</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06"/>
                <w:gridCol w:w="6455"/>
              </w:tblGrid>
              <w:tr w14:paraId="666E61D9" w14:textId="77777777">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19E21561" w14:textId="77777777">
                    <w:pPr>
                      <w:rPr>
                        <w:sz w:val="22"/>
                        <w:szCs w:val="22"/>
                      </w:rPr>
                    </w:pPr>
                    <w:r>
                      <w:rPr>
                        <w:sz w:val="22"/>
                        <w:szCs w:val="22"/>
                      </w:rPr>
                      <w:t>Vardas ir pavardė</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14:paraId="115AE0CA" w14:textId="3B5C77E6">
                    <w:pPr>
                      <w:rPr>
                        <w:sz w:val="22"/>
                        <w:szCs w:val="22"/>
                      </w:rPr>
                    </w:pPr>
                    <w:r>
                      <w:rPr>
                        <w:sz w:val="22"/>
                        <w:szCs w:val="22"/>
                      </w:rPr>
                      <w:t>Paulius Zvicevičius</w:t>
                    </w:r>
                  </w:p>
                </w:tc>
              </w:tr>
              <w:tr w14:paraId="24DA703B" w14:textId="77777777">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33ACB213" w14:textId="77777777">
                    <w:pPr>
                      <w:rPr>
                        <w:b/>
                        <w:sz w:val="22"/>
                        <w:szCs w:val="22"/>
                      </w:rPr>
                    </w:pPr>
                    <w:r>
                      <w:rPr>
                        <w:sz w:val="22"/>
                        <w:szCs w:val="22"/>
                      </w:rPr>
                      <w:t>Pareigos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14:paraId="0338607E" w14:textId="657078FC">
                    <w:pPr>
                      <w:rPr>
                        <w:sz w:val="22"/>
                        <w:szCs w:val="22"/>
                      </w:rPr>
                    </w:pPr>
                    <w:r>
                      <w:rPr>
                        <w:sz w:val="22"/>
                        <w:szCs w:val="22"/>
                      </w:rPr>
                      <w:t>Patarėjas</w:t>
                    </w:r>
                  </w:p>
                </w:tc>
              </w:tr>
              <w:tr w14:paraId="044500A4" w14:textId="77777777">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6B105296" w14:textId="77777777">
                    <w:pPr>
                      <w:rPr>
                        <w:b/>
                        <w:sz w:val="22"/>
                        <w:szCs w:val="22"/>
                      </w:rPr>
                    </w:pPr>
                    <w:r>
                      <w:rPr>
                        <w:sz w:val="22"/>
                        <w:szCs w:val="22"/>
                      </w:rPr>
                      <w:t>Institucija (padalinys)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14:paraId="6C3D3C73" w14:textId="77777777">
                    <w:pPr>
                      <w:rPr>
                        <w:sz w:val="22"/>
                        <w:szCs w:val="22"/>
                        <w:highlight w:val="yellow"/>
                      </w:rPr>
                    </w:pPr>
                    <w:r>
                      <w:rPr>
                        <w:sz w:val="22"/>
                        <w:szCs w:val="22"/>
                      </w:rPr>
                      <w:t xml:space="preserve">Aplinkos ministerijos Klimato politikos grupė </w:t>
                    </w:r>
                  </w:p>
                </w:tc>
              </w:tr>
              <w:tr w14:paraId="5CB33185" w14:textId="77777777">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6636469A" w14:textId="77777777">
                    <w:pPr>
                      <w:rPr>
                        <w:sz w:val="22"/>
                        <w:szCs w:val="22"/>
                      </w:rPr>
                    </w:pPr>
                    <w:r>
                      <w:rPr>
                        <w:sz w:val="22"/>
                        <w:szCs w:val="22"/>
                      </w:rPr>
                      <w:t>Telefono numeris ir elektroninio pašto adresas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14:paraId="4B3F7689" w14:textId="5EFC4B72">
                    <w:pPr>
                      <w:rPr>
                        <w:sz w:val="22"/>
                        <w:szCs w:val="22"/>
                      </w:rPr>
                    </w:pPr>
                    <w:r>
                      <w:rPr>
                        <w:sz w:val="22"/>
                        <w:szCs w:val="22"/>
                      </w:rPr>
                      <w:t>Tel. 8 672 71381, el. p. paulius.zvicevicius@am.lt</w:t>
                    </w:r>
                  </w:p>
                </w:tc>
              </w:tr>
            </w:tbl>
            <w:p w14:paraId="7A35E6E9" w14:textId="77777777">
              <w:pPr>
                <w:tabs>
                  <w:tab w:val="left" w:pos="6237"/>
                </w:tabs>
                <w:spacing w:line="360" w:lineRule="atLeast"/>
                <w:rPr>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993" w:right="1134" w:bottom="1134" w:left="1701"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7D37D1" w14:textId="77777777">
      <w:pPr>
        <w:rPr>
          <w:lang w:eastAsia="lt-LT"/>
        </w:rPr>
      </w:pPr>
      <w:r>
        <w:rPr>
          <w:lang w:eastAsia="lt-LT"/>
        </w:rPr>
        <w:separator/>
      </w:r>
    </w:p>
  </w:endnote>
  <w:endnote w:type="continuationSeparator" w:id="0">
    <w:p w14:paraId="20E183BD"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B42179" w14:textId="77777777">
    <w:pPr>
      <w:tabs>
        <w:tab w:val="center" w:pos="4986"/>
        <w:tab w:val="right" w:pos="9972"/>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9BA336" w14:textId="77777777">
    <w:pPr>
      <w:tabs>
        <w:tab w:val="center" w:pos="4986"/>
        <w:tab w:val="right" w:pos="9972"/>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E9C216" w14:textId="77777777">
    <w:pPr>
      <w:tabs>
        <w:tab w:val="center" w:pos="4986"/>
        <w:tab w:val="right" w:pos="9972"/>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E87388" w14:textId="77777777">
      <w:pPr>
        <w:rPr>
          <w:lang w:eastAsia="lt-LT"/>
        </w:rPr>
      </w:pPr>
      <w:r>
        <w:rPr>
          <w:lang w:eastAsia="lt-LT"/>
        </w:rPr>
        <w:separator/>
      </w:r>
    </w:p>
  </w:footnote>
  <w:footnote w:type="continuationSeparator" w:id="0">
    <w:p w14:paraId="7EF34603" w14:textId="77777777">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97EBDE" w14:textId="77777777">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5DECA9" w14:textId="77777777">
    <w:pPr>
      <w:tabs>
        <w:tab w:val="center" w:pos="4153"/>
        <w:tab w:val="right" w:pos="8306"/>
      </w:tab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9CFE1D"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22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211C81"/>
  <w15:docId w15:val="{DCF7EA88-3757-40D0-9110-FFC086525C7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2349702">
      <w:bodyDiv w:val="1"/>
      <w:marLeft w:val="0"/>
      <w:marRight w:val="0"/>
      <w:marTop w:val="0"/>
      <w:marBottom w:val="0"/>
      <w:divBdr>
        <w:top w:val="none" w:sz="0" w:space="0" w:color="auto"/>
        <w:left w:val="none" w:sz="0" w:space="0" w:color="auto"/>
        <w:bottom w:val="none" w:sz="0" w:space="0" w:color="auto"/>
        <w:right w:val="none" w:sz="0" w:space="0" w:color="auto"/>
      </w:divBdr>
    </w:div>
    <w:div w:id="233707626">
      <w:bodyDiv w:val="1"/>
      <w:marLeft w:val="0"/>
      <w:marRight w:val="0"/>
      <w:marTop w:val="0"/>
      <w:marBottom w:val="0"/>
      <w:divBdr>
        <w:top w:val="none" w:sz="0" w:space="0" w:color="auto"/>
        <w:left w:val="none" w:sz="0" w:space="0" w:color="auto"/>
        <w:bottom w:val="none" w:sz="0" w:space="0" w:color="auto"/>
        <w:right w:val="none" w:sz="0" w:space="0" w:color="auto"/>
      </w:divBdr>
    </w:div>
    <w:div w:id="1312521640">
      <w:bodyDiv w:val="1"/>
      <w:marLeft w:val="0"/>
      <w:marRight w:val="0"/>
      <w:marTop w:val="0"/>
      <w:marBottom w:val="0"/>
      <w:divBdr>
        <w:top w:val="none" w:sz="0" w:space="0" w:color="auto"/>
        <w:left w:val="none" w:sz="0" w:space="0" w:color="auto"/>
        <w:bottom w:val="none" w:sz="0" w:space="0" w:color="auto"/>
        <w:right w:val="none" w:sz="0" w:space="0" w:color="auto"/>
      </w:divBdr>
    </w:div>
    <w:div w:id="1571040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c12148af7534f32b3dc66a55631c2e4" PartId="c4bd843d4131465f80e55bbee307019f">
    <Part Type="lentele" Title="Informacija apie asmenį ir instituciją, atsakingą už poveikio vertinimą" DocPartId="183cb5ab258143e099b1e069febb0694" PartId="c781de8b89904cb0a2533fb54f480c78"/>
  </Part>
</Parts>
</file>

<file path=customXml/itemProps1.xml><?xml version="1.0" encoding="utf-8"?>
<ds:datastoreItem xmlns:ds="http://schemas.openxmlformats.org/officeDocument/2006/customXml" ds:itemID="{8B25C9C7-FAED-4A26-ABD0-DB33C5FDEE4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640</Words>
  <Characters>4911</Characters>
  <Application>Microsoft Office Word</Application>
  <DocSecurity>4</DocSecurity>
  <Lines>132</Lines>
  <Paragraphs>42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5509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2023-10-24T06:16:00Z</dcterms:created>
  <dc:creator>l.stumbriene</dc:creator>
  <lastModifiedBy>adlibuser</lastModifiedBy>
  <dcterms:modified xsi:type="dcterms:W3CDTF">2023-10-24T06:16:00Z</dcterms:modified>
  <revision>2</revision>
</coreProperties>
</file>