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cbeafdd29f3465db8977022ef2092af"/>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5F91ADD3" wp14:editId="72C6614C">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22 252,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ind w:firstLine="62"/>
                  <w:textAlignment w:val="baseline"/>
                  <w:rPr>
                    <w:rFonts w:ascii="Segoe UI" w:hAnsi="Segoe UI" w:cs="Segoe UI"/>
                    <w:sz w:val="18"/>
                    <w:szCs w:val="18"/>
                    <w:lang w:eastAsia="lt-LT"/>
                  </w:rPr>
                </w:pPr>
                <w:r>
                  <w:rPr>
                    <w:szCs w:val="24"/>
                    <w:lang w:eastAsia="lt-LT"/>
                  </w:rPr>
                  <w:t>Adresatams pagal sąrašą </w:t>
                </w:r>
              </w:p>
              <w:p>
                <w:pPr>
                  <w:ind w:firstLine="62"/>
                  <w:textAlignment w:val="baseline"/>
                  <w:rPr>
                    <w:rFonts w:ascii="Segoe UI" w:hAnsi="Segoe UI" w:cs="Segoe UI"/>
                    <w:sz w:val="18"/>
                    <w:szCs w:val="18"/>
                    <w:lang w:eastAsia="lt-LT"/>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r>
                  <w:rPr>
                    <w:rFonts w:eastAsia="Andale Sans UI" w:cs="Tahoma"/>
                    <w:szCs w:val="24"/>
                    <w:lang w:bidi="en-US"/>
                  </w:rPr>
                  <w:t>2023-</w:t>
                </w: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cs="Tahoma"/>
                    <w:b/>
                    <w:bCs/>
                    <w:szCs w:val="24"/>
                    <w:lang w:bidi="en-US"/>
                  </w:rPr>
                </w:pPr>
                <w:r>
                  <w:rPr>
                    <w:rFonts w:eastAsia="Andale Sans UI" w:cs="Tahoma"/>
                    <w:b/>
                    <w:bCs/>
                    <w:szCs w:val="24"/>
                    <w:shd w:val="clear" w:color="auto" w:fill="FFFFFF"/>
                    <w:lang w:bidi="en-US"/>
                  </w:rPr>
                  <w:t xml:space="preserve">DĖL </w:t>
                </w:r>
                <w:r>
                  <w:rPr>
                    <w:rFonts w:eastAsia="Andale Sans UI" w:cs="Tahoma"/>
                    <w:b/>
                    <w:bCs/>
                    <w:caps/>
                    <w:color w:val="000000"/>
                    <w:szCs w:val="24"/>
                    <w:lang w:bidi="en-US"/>
                  </w:rPr>
                  <w:t>ĮSAKYMO PROJEKTO DERINIMO</w:t>
                </w:r>
              </w:p>
            </w:tc>
          </w:tr>
        </w:tbl>
        <w:p>
          <w:pPr>
            <w:spacing w:line="276" w:lineRule="auto"/>
            <w:jc w:val="both"/>
            <w:rPr>
              <w:rFonts w:eastAsia="Andale Sans UI" w:cs="Tahoma"/>
              <w:szCs w:val="24"/>
              <w:lang w:bidi="en-US"/>
            </w:rPr>
          </w:pPr>
        </w:p>
      </w:sdtContent>
    </w:sdt>
    <w:sdt>
      <w:sdtPr>
        <w:alias w:val="pastraipa"/>
        <w:tag w:val="part_b2575fc0a1884fe4b1dc3c41b6b3e204"/>
        <w:lock w:val="sdtLocked"/>
        <w:richText/>
      </w:sdtPr>
      <w:sdtContent>
        <w:p>
          <w:pPr>
            <w:suppressAutoHyphens/>
            <w:spacing w:line="276" w:lineRule="auto"/>
            <w:ind w:firstLine="620"/>
            <w:jc w:val="both"/>
            <w:textAlignment w:val="baseline"/>
            <w:rPr>
              <w:rFonts w:eastAsia="Andale Sans UI" w:cs="Tahoma"/>
              <w:szCs w:val="24"/>
              <w:lang w:bidi="en-US"/>
            </w:rPr>
          </w:pPr>
          <w:r>
            <w:rPr>
              <w:rFonts w:eastAsia="Andale Sans UI" w:cs="Tahoma"/>
              <w:szCs w:val="24"/>
              <w:lang w:bidi="en-US"/>
            </w:rPr>
            <w:t xml:space="preserve">Parengėme ir teikiame derinti Lietuvos Respublikos aplinkos ministro įsakymo „Dėl Darbuotojų, dirbančių su fluorintomis šiltnamio efektą sukeliančiomis dujomis ir ozono sluoksnį ardančiomis medžiagomis bei jų turinčia įranga, atestavimo, sertifikavimo ir kvalifikacijos tobulinimo programų vykdymo tvarkos aprašo ir programų patvirtinimo“ projektą (toliau – Projektas). </w:t>
          </w:r>
        </w:p>
      </w:sdtContent>
    </w:sdt>
    <w:sdt>
      <w:sdtPr>
        <w:alias w:val="pastraipa"/>
        <w:tag w:val="part_a0248da4a9cd4ca9848f9f5c333921fe"/>
        <w:lock w:val="sdtLocked"/>
        <w:richText/>
      </w:sdtPr>
      <w:sdtContent>
        <w:p>
          <w:pPr>
            <w:suppressAutoHyphens/>
            <w:spacing w:line="276" w:lineRule="auto"/>
            <w:ind w:firstLine="620"/>
            <w:jc w:val="both"/>
            <w:textAlignment w:val="baseline"/>
            <w:rPr>
              <w:rFonts w:eastAsia="Andale Sans UI" w:cs="Tahoma"/>
              <w:szCs w:val="24"/>
              <w:lang w:bidi="en-US"/>
            </w:rPr>
          </w:pPr>
          <w:r>
            <w:rPr>
              <w:rFonts w:eastAsia="Andale Sans UI" w:cs="Tahoma"/>
              <w:szCs w:val="24"/>
              <w:lang w:bidi="en-US"/>
            </w:rPr>
            <w:t xml:space="preserve">Projektas parengtas siekiant užtikrinti 2014 m. balandžio 16 d. Europos Parlamento ir Tarybos reglamento </w:t>
          </w:r>
          <w:fldSimple w:instr="HYPERLINK http://eur-lex.europa.eu/legal-content/LIT/TXT/?uri=CELEX:32014R0517&amp;locale=lt \t _blank">
            <w:r>
              <w:rPr>
                <w:rFonts w:eastAsia="Andale Sans UI" w:cs="Tahoma"/>
                <w:szCs w:val="24"/>
                <w:lang w:bidi="en-US"/>
                <w:u w:val="single"/>
                <w:color w:val="0000FF" w:themeColor="hyperlink"/>
              </w:rPr>
              <w:t>(ES) Nr. 517/2014</w:t>
            </w:r>
          </w:fldSimple>
          <w:r>
            <w:rPr>
              <w:rFonts w:eastAsia="Andale Sans UI" w:cs="Tahoma"/>
              <w:szCs w:val="24"/>
              <w:lang w:bidi="en-US"/>
            </w:rPr>
            <w:t xml:space="preserve"> dėl fluorintų šiltnamio efektą sukeliančių dujų, kuriuo panaikinamas Reglamentas </w:t>
          </w:r>
          <w:fldSimple w:instr="HYPERLINK http://eur-lex.europa.eu/legal-content/LIT/TXT/?uri=CELEX:32006R0842&amp;locale=lt \t _blank">
            <w:r>
              <w:rPr>
                <w:rFonts w:eastAsia="Andale Sans UI" w:cs="Tahoma"/>
                <w:szCs w:val="24"/>
                <w:lang w:bidi="en-US"/>
                <w:u w:val="single"/>
                <w:color w:val="0000FF" w:themeColor="hyperlink"/>
              </w:rPr>
              <w:t>(EB) Nr. 842/2006</w:t>
            </w:r>
          </w:fldSimple>
          <w:r>
            <w:rPr>
              <w:rFonts w:eastAsia="Andale Sans UI" w:cs="Tahoma"/>
              <w:szCs w:val="24"/>
              <w:lang w:bidi="en-US"/>
            </w:rPr>
            <w:t xml:space="preserve"> (toliau –  Reglamentas 517/2014) ir 2009 m. rugsėjo 16 d. Europos Parlamento ir Tarybos reglamento </w:t>
          </w:r>
          <w:fldSimple w:instr="HYPERLINK http://eur-lex.europa.eu/legal-content/LIT/TXT/?uri=CELEX:32009R1005&amp;locale=lt \t _blank">
            <w:r>
              <w:rPr>
                <w:rFonts w:eastAsia="Andale Sans UI" w:cs="Tahoma"/>
                <w:szCs w:val="24"/>
                <w:lang w:bidi="en-US"/>
                <w:u w:val="single"/>
                <w:color w:val="0000FF" w:themeColor="hyperlink"/>
              </w:rPr>
              <w:t>(EB) Nr. 1005/2009</w:t>
            </w:r>
          </w:fldSimple>
          <w:r>
            <w:rPr>
              <w:rFonts w:eastAsia="Andale Sans UI" w:cs="Tahoma"/>
              <w:szCs w:val="24"/>
              <w:lang w:bidi="en-US"/>
            </w:rPr>
            <w:t xml:space="preserve"> dėl ozono sluoksnį ardančių medžiagų (toliau – Reglamentas 1005/2009) reikalavimų įgyvendinimą. Projektu tvirtinamas Darbuotojų, dirbančių su fluorintomis šiltnamio efektą sukeliančiomis dujomis ir ozono sluoksnį ardančiomis medžiagomis bei jų turinčia įranga, atestavimo, sertifikavimo ir kvalifikacijos tobulinimo programų vykdymo tvarkos aprašas (toliau – Tvarkos aprašas), kuriuo siūloma nustatyti reikalavimus įmonėms, įstaigoms ar organizacijoms, norinčioms gauti leidimą vykdyti darbuotojų, dirbančių su fluotintomis šiltnamio efektą sukeliančiomis medžiagomis ir ozono sluoksnį ardančiomis medžiagomis bei jų turinčia įranga, atestavimo, sertifikavimo ir kvalifikacijos tobulinimo programas (toliau – leidimas vykdyti veiklą). Mokymų teikėjai, vadovaudamiesi Tvarkos aprašu, vykdys fizinių asmenų įgūdžių bei žinių tikrinimą, pažymėjimų išdavimą ir informacijos apie išduotus pažymėjimus teikimą Aplinkos apsaugos agentūrai (toliau – AAA) iki tol, kol pradės veikti pažymėjimų duomenų bazė. Tvarkos aprašu AAA pavedamos funkcijos, susijusios su įmonių, įstaigų ar organizacijų paraiškų vertinimu, mokymų teikėjui suteikiamo leidimo vykdyti veiklą išdavimu, jo stabdymu, stabdymo nutraukimu ar panaikinimu, mokymų teikėjo vykdomų programų veiklos priežiūra, pažymėjimų blankų išdavimu, pažymėjimų duomenų bazės tvarkymu.</w:t>
          </w:r>
        </w:p>
      </w:sdtContent>
    </w:sdt>
    <w:sdt>
      <w:sdtPr>
        <w:alias w:val="pastraipa"/>
        <w:tag w:val="part_3d5f4328518d432c9c298e1202c49457"/>
        <w:lock w:val="sdtLocked"/>
        <w:richText/>
      </w:sdtPr>
      <w:sdtContent>
        <w:p>
          <w:pPr>
            <w:suppressAutoHyphens/>
            <w:spacing w:line="276" w:lineRule="auto"/>
            <w:ind w:firstLine="620"/>
            <w:jc w:val="both"/>
            <w:textAlignment w:val="baseline"/>
            <w:rPr>
              <w:rFonts w:eastAsia="Andale Sans UI" w:cs="Tahoma"/>
              <w:szCs w:val="24"/>
              <w:lang w:bidi="en-US"/>
            </w:rPr>
          </w:pPr>
          <w:r>
            <w:rPr>
              <w:rFonts w:eastAsia="Andale Sans UI" w:cs="Tahoma"/>
              <w:szCs w:val="24"/>
              <w:lang w:bidi="en-US"/>
            </w:rPr>
            <w:t xml:space="preserve">Projektu tvirtinamos keturios atestavimo, sertifikavimo ir kvalifikacijos tobulinimo programos, parengtos vadovaujantis Europos Komisijos deleguotaisiais teisės aktais ir reglamentais, susijusiais su darbuotojų, dirbančių su fluorintomis šiltnamio efektą sukeliančiomis dujomis (toliau - F-dujos) bei įranga užpildyta jomis, mokymo programomis bei pažymėjimų abipusio pripažinimo sąlygomis. Atestavimo, sertifikavimo ir kvalifikacijos tobulinimo programose pateikiama ši informacija:  programos aktualumas, anotacija, tikslai ir uždaviniai, trukmė ir apimtis, tikslinės dalyvių grupės ir jų skaičius, minimalūs reikalavimai fiziniams asmenims, norintiems įgyti ar tobulinti kvalifikaciją, programos turinys ir minimali trukmė atitinkamų žinių ir įgūdžių suteikimui, reikalavimai mokymų teikėjui vykdyti mokymus ir mokymų organizavimui reikalingos priemonės.</w:t>
          </w:r>
        </w:p>
      </w:sdtContent>
    </w:sdt>
    <w:sdt>
      <w:sdtPr>
        <w:alias w:val="pastraipa"/>
        <w:tag w:val="part_d4c7bd0c543f47ecbfe0d26d5c80f3b4"/>
        <w:lock w:val="sdtLocked"/>
        <w:richText/>
      </w:sdtPr>
      <w:sdtContent>
        <w:p>
          <w:pPr>
            <w:suppressAutoHyphens/>
            <w:spacing w:line="276" w:lineRule="auto"/>
            <w:ind w:firstLine="620"/>
            <w:jc w:val="both"/>
            <w:textAlignment w:val="baseline"/>
            <w:rPr>
              <w:rFonts w:eastAsia="Andale Sans UI" w:cs="Tahoma"/>
              <w:szCs w:val="24"/>
              <w:lang w:bidi="en-US"/>
            </w:rPr>
          </w:pPr>
          <w:r>
            <w:rPr>
              <w:rFonts w:eastAsia="Andale Sans UI" w:cs="Tahoma"/>
              <w:szCs w:val="24"/>
              <w:lang w:bidi="en-US"/>
            </w:rPr>
            <w:t>Projektu tvirtinamos šios mokymų programos:</w:t>
          </w:r>
        </w:p>
        <w:sdt>
          <w:sdtPr>
            <w:alias w:val="1 p."/>
            <w:tag w:val="part_b2d1e78b864c4f52b9a18e07fe498a4c"/>
            <w:lock w:val="sdtLocked"/>
            <w:richText/>
          </w:sdtPr>
          <w:sdtContent>
            <w:p>
              <w:pPr>
                <w:suppressAutoHyphens/>
                <w:spacing w:line="276" w:lineRule="auto"/>
                <w:ind w:firstLine="567"/>
                <w:jc w:val="both"/>
                <w:textAlignment w:val="baseline"/>
                <w:rPr>
                  <w:rFonts w:eastAsia="Andale Sans UI" w:cs="Tahoma"/>
                  <w:szCs w:val="24"/>
                  <w:lang w:eastAsia="lt-LT" w:bidi="en-US"/>
                </w:rPr>
              </w:pPr>
              <w:sdt>
                <w:sdtPr>
                  <w:alias w:val="Numeris"/>
                  <w:tag w:val="nr_b2d1e78b864c4f52b9a18e07fe498a4c"/>
                  <w:lock w:val="sdtLocked"/>
                  <w:richText/>
                </w:sdtPr>
                <w:sdtContent>
                  <w:r>
                    <w:rPr>
                      <w:rFonts w:eastAsia="Andale Sans UI" w:cs="Tahoma"/>
                      <w:szCs w:val="24"/>
                      <w:lang w:bidi="en-US"/>
                    </w:rPr>
                    <w:t>1</w:t>
                  </w:r>
                </w:sdtContent>
              </w:sdt>
              <w:r>
                <w:rPr>
                  <w:rFonts w:eastAsia="Andale Sans UI" w:cs="Tahoma"/>
                  <w:szCs w:val="24"/>
                  <w:lang w:bidi="en-US"/>
                </w:rPr>
                <w:t xml:space="preserve">. Darbuotojų, dirbančių su elektros skirstomaisiais įrenginiais, kuriuose yra fluorintų šiltnamio efektą sukeliančių dujų, sertifikavimo ir kvalifikacijos tobulinimo programa, skirta </w:t>
              </w:r>
              <w:r>
                <w:rPr>
                  <w:rFonts w:eastAsia="Andale Sans UI" w:cs="Tahoma"/>
                  <w:szCs w:val="24"/>
                  <w:lang w:eastAsia="lt-LT" w:bidi="en-US"/>
                </w:rPr>
                <w:t>parengti kvalifikuotus darbuotojus arba atnaujinti darbuotojų žinias, gebant montuoti, atlikti</w:t>
              </w:r>
              <w:r>
                <w:rPr>
                  <w:rFonts w:eastAsia="Andale Sans UI" w:cs="Tahoma"/>
                  <w:i/>
                  <w:iCs/>
                  <w:szCs w:val="24"/>
                  <w:lang w:eastAsia="lt-LT" w:bidi="en-US"/>
                </w:rPr>
                <w:t xml:space="preserve"> </w:t>
              </w:r>
              <w:r>
                <w:rPr>
                  <w:rFonts w:eastAsia="Andale Sans UI" w:cs="Tahoma"/>
                  <w:szCs w:val="24"/>
                  <w:lang w:eastAsia="lt-LT" w:bidi="en-US"/>
                </w:rPr>
                <w:t>techninę priežiūrą, remontą ar eksploatacijos nutraukimą, nuotėkio patikrą, surinkimą iš elektros skirstomųjų įrenginių, kuriuose yra fluorintų šiltnamio efektą sukeliančių dujų (toliau – F-dujų);</w:t>
              </w:r>
            </w:p>
          </w:sdtContent>
        </w:sdt>
        <w:sdt>
          <w:sdtPr>
            <w:alias w:val="2 p."/>
            <w:tag w:val="part_5c5fccfac08a40bf965b2b2bafc1e80d"/>
            <w:lock w:val="sdtLocked"/>
            <w:richText/>
          </w:sdtPr>
          <w:sdtContent>
            <w:p>
              <w:pPr>
                <w:suppressAutoHyphens/>
                <w:spacing w:line="276" w:lineRule="auto"/>
                <w:ind w:firstLine="567"/>
                <w:jc w:val="both"/>
                <w:textAlignment w:val="baseline"/>
                <w:rPr>
                  <w:rFonts w:eastAsia="Andale Sans UI" w:cs="Tahoma"/>
                  <w:iCs/>
                  <w:szCs w:val="24"/>
                  <w:lang w:eastAsia="lt-LT" w:bidi="en-US"/>
                </w:rPr>
              </w:pPr>
              <w:sdt>
                <w:sdtPr>
                  <w:alias w:val="Numeris"/>
                  <w:tag w:val="nr_5c5fccfac08a40bf965b2b2bafc1e80d"/>
                  <w:lock w:val="sdtLocked"/>
                  <w:richText/>
                </w:sdtPr>
                <w:sdtContent>
                  <w:r>
                    <w:rPr>
                      <w:rFonts w:eastAsia="Andale Sans UI" w:cs="Tahoma"/>
                      <w:szCs w:val="24"/>
                      <w:lang w:bidi="en-US"/>
                    </w:rPr>
                    <w:t>2</w:t>
                  </w:r>
                </w:sdtContent>
              </w:sdt>
              <w:r>
                <w:rPr>
                  <w:rFonts w:eastAsia="Andale Sans UI" w:cs="Tahoma"/>
                  <w:szCs w:val="24"/>
                  <w:lang w:bidi="en-US"/>
                </w:rPr>
                <w:t xml:space="preserve">. Darbuotojų, dirbančių su stacionariomis priešgaisrinėmis sistemomis ir gesintuvais, kuriuose yra fluorintų šiltnamio efektą sukeliančių dujų ar ozono sluoksnį ardančių medžiagų, sertifikavimo ir kvalifikacijos tobulinimo programa, skirta </w:t>
              </w:r>
              <w:r>
                <w:rPr>
                  <w:rFonts w:eastAsia="Andale Sans UI" w:cs="Tahoma"/>
                  <w:iCs/>
                  <w:szCs w:val="24"/>
                  <w:lang w:eastAsia="lt-LT" w:bidi="en-US"/>
                </w:rPr>
                <w:t>parengti kvalifikuotus darbuotojus arba atnaujinti darbuotojų žinias kvalifikacijos tobulinimo kursuose, kad asmenys gebėtų tinkamai ir laikantis visų saugos reikalavimų montuoti, aptarnauti, atlikti techninę priežiūrą ir nuotėkių tikrinimą, remontą ar eksploatacijos nutraukimą, F-dujų surinkimą iš stacionarios gaisro gesinimo įrangos;</w:t>
              </w:r>
            </w:p>
          </w:sdtContent>
        </w:sdt>
        <w:sdt>
          <w:sdtPr>
            <w:alias w:val="3 p."/>
            <w:tag w:val="part_c1adf67958934c439cb4469f6d9d54fa"/>
            <w:lock w:val="sdtLocked"/>
            <w:richText/>
          </w:sdtPr>
          <w:sdtContent>
            <w:p>
              <w:pPr>
                <w:suppressAutoHyphens/>
                <w:spacing w:line="276" w:lineRule="auto"/>
                <w:ind w:firstLine="567"/>
                <w:jc w:val="both"/>
                <w:textAlignment w:val="baseline"/>
                <w:rPr>
                  <w:rFonts w:eastAsia="Andale Sans UI" w:cs="Tahoma"/>
                  <w:iCs/>
                  <w:szCs w:val="24"/>
                  <w:lang w:eastAsia="lt-LT" w:bidi="en-US"/>
                </w:rPr>
              </w:pPr>
              <w:sdt>
                <w:sdtPr>
                  <w:alias w:val="Numeris"/>
                  <w:tag w:val="nr_c1adf67958934c439cb4469f6d9d54fa"/>
                  <w:lock w:val="sdtLocked"/>
                  <w:richText/>
                </w:sdtPr>
                <w:sdtContent>
                  <w:r>
                    <w:rPr>
                      <w:rFonts w:eastAsia="Andale Sans UI" w:cs="Tahoma"/>
                      <w:szCs w:val="24"/>
                      <w:lang w:bidi="en-US"/>
                    </w:rPr>
                    <w:t>3</w:t>
                  </w:r>
                </w:sdtContent>
              </w:sdt>
              <w:r>
                <w:rPr>
                  <w:rFonts w:eastAsia="Andale Sans UI" w:cs="Tahoma"/>
                  <w:szCs w:val="24"/>
                  <w:lang w:bidi="en-US"/>
                </w:rPr>
                <w:t xml:space="preserve">. Darbuotojų, dirbančių su motorinių transporto priemonių oro kondicionavimo sistemomis, kuriose yra fluorintų šiltnamio efektą sukeliančių dujų, atestavimo ir kvalifikacijos tobulinimo programa, skirta </w:t>
              </w:r>
              <w:r>
                <w:rPr>
                  <w:rFonts w:eastAsia="Andale Sans UI" w:cs="Tahoma"/>
                  <w:iCs/>
                  <w:szCs w:val="24"/>
                  <w:lang w:eastAsia="lt-LT" w:bidi="en-US"/>
                </w:rPr>
                <w:t>parengti kvalifikuotus darbuotojus arba atnaujinti darbuotojų žinias kvalifikacijos tobulinimo kursuose, kad asmenys gebėtų tinkamai ir laikantis visų saugos reikalavimų montuoti, aptarnauti, atlikti techninę priežiūrą ir nuotėkių tikrinimą, remontą ar eksploatacijos nutraukimą, F</w:t>
                <w:noBreakHyphen/>
                <w:t>dujų surinkimą iš motorinių transporto priemonių oro kondicionavimo ar kitų sistemų;</w:t>
              </w:r>
            </w:p>
          </w:sdtContent>
        </w:sdt>
        <w:sdt>
          <w:sdtPr>
            <w:alias w:val="4 p."/>
            <w:tag w:val="part_b01dca96df4a4becb3c264b35de30061"/>
            <w:lock w:val="sdtLocked"/>
            <w:richText/>
          </w:sdtPr>
          <w:sdtContent>
            <w:p>
              <w:pPr>
                <w:suppressAutoHyphens/>
                <w:spacing w:line="276" w:lineRule="auto"/>
                <w:ind w:firstLine="567"/>
                <w:jc w:val="both"/>
                <w:textAlignment w:val="baseline"/>
                <w:rPr>
                  <w:rFonts w:eastAsia="Andale Sans UI" w:cs="Tahoma"/>
                  <w:szCs w:val="24"/>
                  <w:lang w:bidi="en-US"/>
                </w:rPr>
              </w:pPr>
              <w:sdt>
                <w:sdtPr>
                  <w:alias w:val="Numeris"/>
                  <w:tag w:val="nr_b01dca96df4a4becb3c264b35de30061"/>
                  <w:lock w:val="sdtLocked"/>
                  <w:richText/>
                </w:sdtPr>
                <w:sdtContent>
                  <w:r>
                    <w:rPr>
                      <w:rFonts w:eastAsia="Andale Sans UI" w:cs="Tahoma"/>
                      <w:szCs w:val="24"/>
                      <w:lang w:bidi="en-US"/>
                    </w:rPr>
                    <w:t>4</w:t>
                  </w:r>
                </w:sdtContent>
              </w:sdt>
              <w:r>
                <w:rPr>
                  <w:rFonts w:eastAsia="Andale Sans UI" w:cs="Tahoma"/>
                  <w:szCs w:val="24"/>
                  <w:lang w:bidi="en-US"/>
                </w:rPr>
                <w:t xml:space="preserve">. Darbuotojų, dirbančių su stacionaria </w:t>
              </w:r>
              <w:r>
                <w:rPr>
                  <w:rFonts w:eastAsia="Andale Sans UI" w:cs="Tahoma"/>
                  <w:color w:val="000000"/>
                  <w:szCs w:val="24"/>
                  <w:lang w:eastAsia="lt-LT" w:bidi="en-US"/>
                </w:rPr>
                <w:t xml:space="preserve">šaldymo, oro kondicionavimo, šilumos siurblių įranga, kuriuose yra ozono sluoksnį ardančių medžiagų ar fluorintų šiltnamio efektą sukeliančių dujų, ir izoterminių sunkvežimių ir šaldymo priekabų įrenginių, kuriuose yra </w:t>
              </w:r>
              <w:r>
                <w:rPr>
                  <w:rFonts w:eastAsia="Andale Sans UI" w:cs="Tahoma"/>
                  <w:szCs w:val="24"/>
                  <w:lang w:bidi="en-US"/>
                </w:rPr>
                <w:t xml:space="preserve">fluorintų šiltnamio efektą sukeliančių dujų aptarnavimo, kvalifikacijos tobulinimo ir mokymo programa, skirta </w:t>
              </w:r>
              <w:r>
                <w:rPr>
                  <w:rFonts w:eastAsia="Andale Sans UI" w:cs="Tahoma"/>
                  <w:szCs w:val="24"/>
                  <w:lang w:eastAsia="lt-LT" w:bidi="en-US"/>
                </w:rPr>
                <w:t>parengti kvalifikuotus darbuotojus arba atnaujinti jų žinias kvalifikacijos tobulinimo kursuose, kad asmenys gebėtų tinkamai ir laikantis visų saugos reikalavimų dirbdami su stacionaria šaldymo, oro kondicionavimo šilumos siurblių įrangos ir izoterminių sunkvežimių ir priekabų šaldymo įrenginių, turinčių F-dujų ar natūraliais šaldymo agentais užpildytų įrenginių montavimą, aptarnavimą, techninę priežiūrą ir nuotėkių tikrinimą, remontą ar eksploatacijos nutraukimą, F-dujų ir OAM surinkimą iš įrenginių.</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Projektu neįgyvendinamos Lietuvos Respublikos Vyriausybės programos nuostatos.</w:t>
              </w:r>
            </w:p>
            <w:p>
              <w:pPr>
                <w:ind w:firstLine="567"/>
                <w:jc w:val="both"/>
                <w:rPr>
                  <w:rFonts w:eastAsia="Andale Sans UI"/>
                  <w:color w:val="000000"/>
                  <w:szCs w:val="24"/>
                  <w:lang w:eastAsia="lt-LT" w:bidi="en-US"/>
                </w:rPr>
              </w:pPr>
              <w:r>
                <w:rPr>
                  <w:rFonts w:eastAsia="Andale Sans UI"/>
                  <w:color w:val="000000"/>
                  <w:szCs w:val="24"/>
                  <w:lang w:eastAsia="lt-LT" w:bidi="en-US"/>
                </w:rPr>
                <w:t>Priėmus įsakymą, bus užtikrinamas tinkamas Reglamento 517/2014 ir Reglamento 1005/2009 įgyvendinimas Lietuvoje.</w:t>
              </w:r>
            </w:p>
            <w:p>
              <w:pPr>
                <w:shd w:val="clear" w:color="auto" w:fill="FFFFFF"/>
                <w:ind w:firstLine="567"/>
                <w:jc w:val="both"/>
                <w:textAlignment w:val="center"/>
                <w:rPr>
                  <w:rFonts w:eastAsia="Andale Sans UI" w:cs="Tahoma"/>
                  <w:szCs w:val="24"/>
                  <w:lang w:bidi="en-US"/>
                </w:rPr>
              </w:pPr>
              <w:r>
                <w:rPr>
                  <w:rFonts w:eastAsia="Andale Sans UI" w:cs="Tahoma"/>
                  <w:szCs w:val="24"/>
                  <w:lang w:bidi="en-US"/>
                </w:rPr>
                <w:t>Priėmus įsakymą, keisti ar priimti naujų teisės aktų nereikės.</w:t>
              </w:r>
            </w:p>
            <w:p>
              <w:pPr>
                <w:widowControl w:val="0"/>
                <w:suppressAutoHyphens/>
                <w:spacing w:line="276" w:lineRule="auto"/>
                <w:ind w:firstLine="567"/>
                <w:jc w:val="both"/>
                <w:rPr>
                  <w:rFonts w:eastAsia="Andale Sans UI"/>
                  <w:szCs w:val="24"/>
                  <w:lang w:bidi="en-US"/>
                </w:rPr>
              </w:pPr>
              <w:r>
                <w:rPr>
                  <w:rFonts w:eastAsia="Andale Sans UI"/>
                  <w:szCs w:val="24"/>
                  <w:lang w:bidi="en-US"/>
                </w:rPr>
                <w:t>Projektas</w:t>
              </w:r>
              <w:r>
                <w:rPr>
                  <w:szCs w:val="24"/>
                  <w:lang w:bidi="en-US"/>
                </w:rPr>
                <w:t xml:space="preserve"> </w:t>
              </w:r>
              <w:r>
                <w:rPr>
                  <w:rFonts w:eastAsia="Andale Sans UI"/>
                  <w:szCs w:val="24"/>
                  <w:lang w:bidi="en-US"/>
                </w:rPr>
                <w:t xml:space="preserve">nenotifikuotinas Europos Komisijai pagal Informacijos apie techninius reglamentus ir atitikties įvertinimo procedūras teikimo taisyklių, patvirtintų Lietuvos Respublikos Vyriausybės 1999 m. gegužės 20 d. nutarimu Nr. 617 „Dėl </w:t>
              </w:r>
              <w:r>
                <w:rPr>
                  <w:rFonts w:eastAsia="Andale Sans UI" w:cs="Tahoma"/>
                  <w:szCs w:val="24"/>
                  <w:lang w:eastAsia="lt-LT" w:bidi="en-US"/>
                </w:rPr>
                <w:t>Informacijos apie techninius reglamentus ir atitikties įvertinimo procedūras teikimo taisyklių patvirtinimo“</w:t>
              </w:r>
              <w:r>
                <w:rPr>
                  <w:rFonts w:eastAsia="Andale Sans UI"/>
                  <w:szCs w:val="24"/>
                  <w:lang w:bidi="en-US"/>
                </w:rPr>
                <w:t xml:space="preserve">, reikalavimus. </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Priėmus projektą, neigiamų pasekmių nenumatoma.</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 xml:space="preserve">Priimtas projektas neturės įtakos kriminogeninei situacijai ir korupcijai. </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Projektas parengtas laikantis Lietuvos Respublikos valstybinės kalbos, Lietuvos Respublikos teisėkūros pagrindų įstatymų nuostatų ir atitinka bendrines lietuvių kalbos normas.</w:t>
              </w:r>
            </w:p>
            <w:p>
              <w:pPr>
                <w:ind w:firstLine="567"/>
                <w:jc w:val="both"/>
                <w:rPr>
                  <w:rFonts w:eastAsia="Andale Sans UI" w:cs="Tahoma"/>
                  <w:szCs w:val="24"/>
                  <w:lang w:bidi="en-US"/>
                </w:rPr>
              </w:pPr>
              <w:r>
                <w:rPr>
                  <w:rFonts w:eastAsia="Andale Sans UI" w:cs="Tahoma"/>
                  <w:szCs w:val="24"/>
                  <w:lang w:eastAsia="en-GB" w:bidi="en-US"/>
                </w:rPr>
                <w:t xml:space="preserve">Projektas skelbiamas Lietuvos Respublikos Seimo kanceliarijos Teisės aktų informacinėje sistemoje (TAIS) susipažinti suinteresuotoms institucijoms ir visuomenei. Papildomo konsultavimosi su visuomene nenumatoma. Prašome pastabas ir pasiūlymus Projektui pateikti </w:t>
              </w:r>
              <w:r>
                <w:rPr>
                  <w:rFonts w:eastAsia="Andale Sans UI" w:cs="Tahoma"/>
                  <w:b/>
                  <w:bCs/>
                  <w:szCs w:val="24"/>
                  <w:lang w:eastAsia="en-GB" w:bidi="en-US"/>
                </w:rPr>
                <w:t>per 10 darbo dienų</w:t>
              </w:r>
              <w:r>
                <w:rPr>
                  <w:rFonts w:eastAsia="Andale Sans UI" w:cs="Tahoma"/>
                  <w:szCs w:val="24"/>
                  <w:lang w:eastAsia="en-GB" w:bidi="en-US"/>
                </w:rPr>
                <w:t xml:space="preserve"> nuo jo paskelbimo TAIS. </w:t>
              </w:r>
              <w:r>
                <w:rPr>
                  <w:rFonts w:eastAsia="Andale Sans UI" w:cs="Tahoma"/>
                  <w:szCs w:val="24"/>
                  <w:lang w:bidi="en-US"/>
                </w:rPr>
                <w:t>Per nustatytą laiką negavę pastabų ir pasiūlymų, laikysime, kad pastabų ir pasiūlymų Projektui neturite.</w:t>
              </w:r>
            </w:p>
            <w:p>
              <w:pPr>
                <w:widowControl w:val="0"/>
                <w:suppressLineNumbers/>
                <w:tabs>
                  <w:tab w:val="left" w:pos="709"/>
                </w:tabs>
                <w:suppressAutoHyphens/>
                <w:spacing w:line="276" w:lineRule="auto"/>
                <w:ind w:firstLine="567"/>
                <w:jc w:val="both"/>
                <w:rPr>
                  <w:rFonts w:eastAsia="Andale Sans UI" w:cs="Tahoma"/>
                  <w:color w:val="000000"/>
                  <w:szCs w:val="24"/>
                  <w:shd w:val="clear" w:color="auto" w:fill="FFFFFF"/>
                  <w:lang w:bidi="en-US"/>
                </w:rPr>
              </w:pPr>
              <w:r>
                <w:rPr>
                  <w:rFonts w:eastAsia="Andale Sans UI" w:cs="Tahoma"/>
                  <w:color w:val="000000"/>
                  <w:szCs w:val="24"/>
                  <w:shd w:val="clear" w:color="auto" w:fill="FFFFFF"/>
                  <w:lang w:bidi="en-US"/>
                </w:rPr>
                <w:t xml:space="preserve">Projektą parengė Aplinkos ministerijos Klimato politikos grupės (grupės vadovė Vilija Augutavičienė, tel. 8 686 17484, vilija.augutaviciene@am.lt) patarėjas  Paulius Zvicevičius, tel. 8 672 71 381, </w:t>
              </w:r>
              <w:r>
                <w:rPr>
                  <w:rFonts w:eastAsia="Andale Sans UI" w:cs="Tahoma"/>
                  <w:szCs w:val="24"/>
                  <w:shd w:val="clear" w:color="auto" w:fill="FFFFFF"/>
                  <w:lang w:bidi="en-US"/>
                </w:rPr>
                <w:t>paulius.zvicevicius@am.lt</w:t>
              </w:r>
              <w:r>
                <w:rPr>
                  <w:rFonts w:eastAsia="Andale Sans UI" w:cs="Tahoma"/>
                  <w:color w:val="000000"/>
                  <w:szCs w:val="24"/>
                  <w:shd w:val="clear" w:color="auto" w:fill="FFFFFF"/>
                  <w:lang w:bidi="en-US"/>
                </w:rPr>
                <w:t xml:space="preserve"> ir Taršos prevencijos grupės </w:t>
              </w:r>
              <w:r>
                <w:rPr>
                  <w:rFonts w:eastAsia="Andale Sans UI"/>
                  <w:szCs w:val="24"/>
                  <w:lang w:bidi="en-US"/>
                </w:rPr>
                <w:t xml:space="preserve">(grupės vadovas Vitalijus Auglys, tel. 8 686 46087, vyresnioji patarėja Donata Pipiraitė-Vališkienė, tel. 8 687 25786) </w:t>
              </w:r>
              <w:r>
                <w:rPr>
                  <w:rFonts w:eastAsia="Andale Sans UI" w:cs="Tahoma"/>
                  <w:color w:val="000000"/>
                  <w:szCs w:val="24"/>
                  <w:shd w:val="clear" w:color="auto" w:fill="FFFFFF"/>
                  <w:lang w:bidi="en-US"/>
                </w:rPr>
                <w:t xml:space="preserve"> patarėja Ingrida Varžgalienė, tel. 8 618 60873, </w:t>
              </w:r>
              <w:r>
                <w:rPr>
                  <w:rFonts w:eastAsia="Andale Sans UI" w:cs="Tahoma"/>
                  <w:color w:val="000000"/>
                  <w:szCs w:val="24"/>
                  <w:shd w:val="clear" w:color="auto" w:fill="FFFFFF"/>
                  <w:lang w:bidi="en-US"/>
                </w:rPr>
                <w:t>ingrida.varzgaliene@am.lt</w:t>
              </w:r>
              <w:r>
                <w:rPr>
                  <w:rFonts w:eastAsia="Andale Sans UI" w:cs="Tahoma"/>
                  <w:color w:val="000000"/>
                  <w:szCs w:val="24"/>
                  <w:shd w:val="clear" w:color="auto" w:fill="FFFFFF"/>
                  <w:lang w:bidi="en-US"/>
                </w:rPr>
                <w:t>.</w:t>
              </w:r>
            </w:p>
            <w:p>
              <w:pPr>
                <w:widowControl w:val="0"/>
                <w:suppressAutoHyphens/>
                <w:spacing w:line="276" w:lineRule="auto"/>
                <w:ind w:firstLine="567"/>
                <w:jc w:val="both"/>
                <w:rPr>
                  <w:rFonts w:eastAsia="Andale Sans UI" w:cs="Tahoma"/>
                  <w:szCs w:val="24"/>
                  <w:lang w:bidi="en-US"/>
                </w:rPr>
              </w:pPr>
              <w:r>
                <w:rPr>
                  <w:rFonts w:eastAsia="Andale Sans UI" w:cs="Tahoma"/>
                  <w:szCs w:val="24"/>
                  <w:lang w:bidi="en-US"/>
                </w:rPr>
                <w:t>PRIDEDAMA:</w:t>
              </w:r>
            </w:p>
          </w:sdtContent>
        </w:sdt>
        <w:sdt>
          <w:sdtPr>
            <w:alias w:val="1 p."/>
            <w:tag w:val="part_433304d1d9694896bdd3d0ca5d44c38e"/>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433304d1d9694896bdd3d0ca5d44c38e"/>
                  <w:lock w:val="sdtLocked"/>
                  <w:richText/>
                </w:sdtPr>
                <w:sdtContent>
                  <w:r>
                    <w:rPr>
                      <w:rFonts w:eastAsia="Andale Sans UI" w:cs="Tahoma"/>
                      <w:szCs w:val="24"/>
                      <w:lang w:bidi="en-US"/>
                    </w:rPr>
                    <w:t>1</w:t>
                  </w:r>
                </w:sdtContent>
              </w:sdt>
              <w:r>
                <w:rPr>
                  <w:rFonts w:eastAsia="Andale Sans UI" w:cs="Tahoma"/>
                  <w:szCs w:val="24"/>
                  <w:lang w:bidi="en-US"/>
                </w:rPr>
                <w:t xml:space="preserve">. Įsakymo dėl darbuotojų, dirbančių su fluorintomis šiltnamio efektą sukeliančiomis dujomis ir ozono sluoksnį ardančiomis medžiagomis bei jų turinčia įranga, atestavimo, sertifikavimo ir kvalifikacijos tobulinimo programų vykdymo tvarkos aprašo ir programų patvirtinimo projektas, 45 lapai. </w:t>
              </w:r>
            </w:p>
          </w:sdtContent>
        </w:sdt>
        <w:sdt>
          <w:sdtPr>
            <w:alias w:val="2 p."/>
            <w:tag w:val="part_563f5c90c4d34a569a2d1a6c6ec00436"/>
            <w:lock w:val="sdtLocked"/>
            <w:richText/>
          </w:sdtPr>
          <w:sdtContent>
            <w:p>
              <w:pPr>
                <w:widowControl w:val="0"/>
                <w:suppressAutoHyphens/>
                <w:spacing w:line="276" w:lineRule="auto"/>
                <w:ind w:firstLine="567"/>
                <w:jc w:val="both"/>
                <w:rPr>
                  <w:rFonts w:eastAsia="Andale Sans UI" w:cs="Tahoma"/>
                  <w:szCs w:val="24"/>
                  <w:lang w:bidi="en-US"/>
                </w:rPr>
              </w:pPr>
              <w:sdt>
                <w:sdtPr>
                  <w:alias w:val="Numeris"/>
                  <w:tag w:val="nr_563f5c90c4d34a569a2d1a6c6ec00436"/>
                  <w:lock w:val="sdtLocked"/>
                  <w:richText/>
                </w:sdtPr>
                <w:sdtContent>
                  <w:r>
                    <w:rPr>
                      <w:rFonts w:eastAsia="Andale Sans UI" w:cs="Tahoma"/>
                      <w:szCs w:val="24"/>
                      <w:lang w:bidi="en-US"/>
                    </w:rPr>
                    <w:t>2</w:t>
                  </w:r>
                </w:sdtContent>
              </w:sdt>
              <w:r>
                <w:rPr>
                  <w:rFonts w:eastAsia="Andale Sans UI" w:cs="Tahoma"/>
                  <w:szCs w:val="24"/>
                  <w:lang w:bidi="en-US"/>
                </w:rPr>
                <w:t>. Numatomo teisinio reguliavimo poveikio vertinimo pažyma, 3 lapai.</w:t>
              </w:r>
            </w:p>
          </w:sdtContent>
        </w:sdt>
        <w:sdt>
          <w:sdtPr>
            <w:alias w:val="3 p."/>
            <w:tag w:val="part_a2af326530bc4cef8a4b05b018e29ccf"/>
            <w:lock w:val="sdtLocked"/>
            <w:richText/>
          </w:sdtPr>
          <w:sdtContent>
            <w:p>
              <w:pPr>
                <w:widowControl w:val="0"/>
                <w:suppressLineNumbers/>
                <w:suppressAutoHyphens/>
                <w:spacing w:line="276" w:lineRule="auto"/>
                <w:ind w:firstLine="567"/>
                <w:jc w:val="both"/>
                <w:rPr>
                  <w:rFonts w:eastAsia="Andale Sans UI" w:cs="Tahoma"/>
                  <w:szCs w:val="24"/>
                  <w:lang w:bidi="en-US"/>
                </w:rPr>
              </w:pPr>
              <w:sdt>
                <w:sdtPr>
                  <w:alias w:val="Numeris"/>
                  <w:tag w:val="nr_a2af326530bc4cef8a4b05b018e29ccf"/>
                  <w:lock w:val="sdtLocked"/>
                  <w:richText/>
                </w:sdtPr>
                <w:sdtContent>
                  <w:r>
                    <w:rPr>
                      <w:rFonts w:eastAsia="Andale Sans UI" w:cs="Tahoma"/>
                      <w:szCs w:val="24"/>
                      <w:lang w:bidi="en-US"/>
                    </w:rPr>
                    <w:t>3</w:t>
                  </w:r>
                </w:sdtContent>
              </w:sdt>
              <w:r>
                <w:rPr>
                  <w:rFonts w:eastAsia="Andale Sans UI" w:cs="Tahoma"/>
                  <w:szCs w:val="24"/>
                  <w:lang w:bidi="en-US"/>
                </w:rPr>
                <w:t>. Antikorupcinio vertinimo pažyma, 5 lapai.</w:t>
              </w:r>
            </w:p>
          </w:sdtContent>
        </w:sdt>
        <w:sdt>
          <w:sdtPr>
            <w:alias w:val="4 p."/>
            <w:tag w:val="part_f592fc38e015469888f8224760459a6c"/>
            <w:lock w:val="sdtLocked"/>
            <w:richText/>
          </w:sdtPr>
          <w:sdtContent>
            <w:p>
              <w:pPr>
                <w:widowControl w:val="0"/>
                <w:suppressLineNumbers/>
                <w:suppressAutoHyphens/>
                <w:spacing w:line="276" w:lineRule="auto"/>
                <w:ind w:firstLine="567"/>
                <w:jc w:val="both"/>
                <w:rPr>
                  <w:rFonts w:eastAsia="Andale Sans UI" w:cs="Tahoma"/>
                  <w:szCs w:val="24"/>
                  <w:lang w:bidi="en-US"/>
                </w:rPr>
              </w:pPr>
              <w:sdt>
                <w:sdtPr>
                  <w:alias w:val="Numeris"/>
                  <w:tag w:val="nr_f592fc38e015469888f8224760459a6c"/>
                  <w:lock w:val="sdtLocked"/>
                  <w:richText/>
                </w:sdtPr>
                <w:sdtContent>
                  <w:r>
                    <w:rPr>
                      <w:rFonts w:eastAsia="Andale Sans UI" w:cs="Tahoma"/>
                      <w:szCs w:val="24"/>
                      <w:lang w:bidi="en-US"/>
                    </w:rPr>
                    <w:t>4</w:t>
                  </w:r>
                </w:sdtContent>
              </w:sdt>
              <w:r>
                <w:rPr>
                  <w:rFonts w:eastAsia="Andale Sans UI" w:cs="Tahoma"/>
                  <w:szCs w:val="24"/>
                  <w:lang w:bidi="en-US"/>
                </w:rPr>
                <w:t xml:space="preserve">. Reglamento </w:t>
              </w:r>
              <w:fldSimple w:instr="HYPERLINK http://eur-lex.europa.eu/legal-content/LIT/TXT/?uri=CELEX:32014R0517&amp;locale=lt \t _blank">
                <w:r>
                  <w:rPr>
                    <w:rFonts w:eastAsia="Andale Sans UI" w:cs="Tahoma"/>
                    <w:szCs w:val="24"/>
                    <w:lang w:bidi="en-US"/>
                    <w:u w:val="single"/>
                    <w:color w:val="0000FF" w:themeColor="hyperlink"/>
                  </w:rPr>
                  <w:t>(ES) Nr. 517/2014</w:t>
                </w:r>
              </w:fldSimple>
              <w:r>
                <w:rPr>
                  <w:rFonts w:eastAsia="Andale Sans UI" w:cs="Tahoma"/>
                  <w:szCs w:val="24"/>
                  <w:lang w:bidi="en-US"/>
                </w:rPr>
                <w:t xml:space="preserve"> ir Lietuvos Respublikos aplinkos ministro įsakymo dėl darbuotojų, dirbančių su fluorintomis šiltnamio efektą sukeliančiomis dujomis ir ozono sluoksnį ardančiomis medžiagomis bei jų turinčia įranga, atestavimo, sertifikavimo ir kvalifikacijos tobulinimo programų ir mokymų teikėjų kontrolės tvarkos aprašo patvirtinimo projekto atitikties lentelė, </w:t>
              </w:r>
              <w:r>
                <w:rPr>
                  <w:rFonts w:eastAsia="Andale Sans UI" w:cs="Tahoma"/>
                  <w:color w:val="000000"/>
                  <w:szCs w:val="24"/>
                  <w:lang w:bidi="en-US"/>
                </w:rPr>
                <w:t>7</w:t>
              </w:r>
              <w:r>
                <w:rPr>
                  <w:rFonts w:eastAsia="Andale Sans UI" w:cs="Tahoma"/>
                  <w:szCs w:val="24"/>
                  <w:lang w:bidi="en-US"/>
                </w:rPr>
                <w:t xml:space="preserve"> lapai.</w:t>
              </w:r>
            </w:p>
          </w:sdtContent>
        </w:sdt>
        <w:sdt>
          <w:sdtPr>
            <w:alias w:val="5 p."/>
            <w:tag w:val="part_d829948fbe5546eabd05a40cb9b07d2c"/>
            <w:lock w:val="sdtLocked"/>
            <w:richText/>
          </w:sdtPr>
          <w:sdtContent>
            <w:p>
              <w:pPr>
                <w:widowControl w:val="0"/>
                <w:suppressLineNumbers/>
                <w:suppressAutoHyphens/>
                <w:spacing w:line="276" w:lineRule="auto"/>
                <w:ind w:firstLine="567"/>
                <w:jc w:val="both"/>
                <w:rPr>
                  <w:rFonts w:eastAsia="Andale Sans UI" w:cs="Tahoma"/>
                  <w:szCs w:val="24"/>
                  <w:lang w:bidi="en-US"/>
                </w:rPr>
              </w:pPr>
              <w:sdt>
                <w:sdtPr>
                  <w:alias w:val="Numeris"/>
                  <w:tag w:val="nr_d829948fbe5546eabd05a40cb9b07d2c"/>
                  <w:lock w:val="sdtLocked"/>
                  <w:richText/>
                </w:sdtPr>
                <w:sdtContent>
                  <w:r>
                    <w:rPr>
                      <w:rFonts w:eastAsia="Andale Sans UI" w:cs="Tahoma"/>
                      <w:szCs w:val="24"/>
                      <w:lang w:bidi="en-US"/>
                    </w:rPr>
                    <w:t>5</w:t>
                  </w:r>
                </w:sdtContent>
              </w:sdt>
              <w:r>
                <w:rPr>
                  <w:rFonts w:eastAsia="Andale Sans UI" w:cs="Tahoma"/>
                  <w:szCs w:val="24"/>
                  <w:lang w:bidi="en-US"/>
                </w:rPr>
                <w:t xml:space="preserve">. Reglamento </w:t>
              </w:r>
              <w:fldSimple w:instr="HYPERLINK http://eur-lex.europa.eu/legal-content/LIT/TXT/?uri=CELEX:32009R1005&amp;locale=lt \t _blank">
                <w:r>
                  <w:rPr>
                    <w:rFonts w:eastAsia="Andale Sans UI" w:cs="Tahoma"/>
                    <w:szCs w:val="24"/>
                    <w:lang w:bidi="en-US"/>
                    <w:u w:val="single"/>
                    <w:color w:val="0000FF" w:themeColor="hyperlink"/>
                  </w:rPr>
                  <w:t>(ES) Nr. 1005/2009</w:t>
                </w:r>
              </w:fldSimple>
              <w:r>
                <w:rPr>
                  <w:rFonts w:eastAsia="Andale Sans UI" w:cs="Tahoma"/>
                  <w:szCs w:val="24"/>
                  <w:lang w:bidi="en-US"/>
                </w:rPr>
                <w:t xml:space="preserve"> ir Lietuvos Respublikos aplinkos ministro įsakymo dėl darbuotojų, dirbančių su fluorintomis šiltnamio efektą sukeliančiomis dujomis ir ozono sluoksnį ardančiomis medžiagomis bei jų turinčia įranga, atestavimo, sertifikavimo ir kvalifikacijos tobulinimo programų ir mokymų teikėjų kontrolės tvarkos aprašo patvirtinimo projekto atitikties lentelė, </w:t>
              </w:r>
              <w:r>
                <w:rPr>
                  <w:rFonts w:eastAsia="Andale Sans UI" w:cs="Tahoma"/>
                  <w:color w:val="000000"/>
                  <w:szCs w:val="24"/>
                  <w:lang w:bidi="en-US"/>
                </w:rPr>
                <w:t>2</w:t>
              </w:r>
              <w:r>
                <w:rPr>
                  <w:rFonts w:eastAsia="Andale Sans UI" w:cs="Tahoma"/>
                  <w:szCs w:val="24"/>
                  <w:lang w:bidi="en-US"/>
                </w:rPr>
                <w:t xml:space="preserve"> lapai.</w:t>
              </w:r>
            </w:p>
            <w:p>
              <w:pPr>
                <w:suppressLineNumbers/>
                <w:spacing w:line="276" w:lineRule="auto"/>
                <w:jc w:val="both"/>
                <w:rPr>
                  <w:rFonts w:eastAsia="Andale Sans UI" w:cs="Tahoma"/>
                  <w:bCs/>
                  <w:szCs w:val="24"/>
                  <w:lang w:bidi="en-US"/>
                </w:rPr>
              </w:pPr>
            </w:p>
            <w:p>
              <w:pPr>
                <w:suppressLineNumbers/>
                <w:spacing w:line="276" w:lineRule="auto"/>
                <w:jc w:val="both"/>
                <w:rPr>
                  <w:rFonts w:eastAsia="Andale Sans UI" w:cs="Tahoma"/>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cs="Tahoma"/>
                        <w:szCs w:val="24"/>
                        <w:lang w:bidi="en-US"/>
                      </w:rPr>
                      <w:t>Aplinkos viceministras</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Kęstutis Šetkus</w:t>
                    </w:r>
                  </w:p>
                </w:tc>
              </w:tr>
            </w:tbl>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rPr>
                  <w:rFonts w:eastAsia="Andale Sans UI" w:cs="Tahoma"/>
                  <w:szCs w:val="24"/>
                  <w:lang w:bidi="en-US"/>
                </w:rPr>
              </w:pPr>
            </w:p>
            <w:p>
              <w:pPr>
                <w:suppressLineNumbers/>
                <w:jc w:val="both"/>
                <w:rPr>
                  <w:rFonts w:eastAsia="Andale Sans UI" w:cs="Tahoma"/>
                  <w:szCs w:val="24"/>
                  <w:lang w:bidi="en-US"/>
                </w:rPr>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1134" w:right="567" w:bottom="1134" w:left="1701" w:header="567" w:footer="232" w:gutter="0"/>
                  <w:cols w:space="1296"/>
                  <w:titlePg/>
                </w:sectPr>
              </w:pPr>
              <w:r>
                <w:rPr>
                  <w:rFonts w:eastAsia="Andale Sans UI" w:cs="Tahoma"/>
                  <w:szCs w:val="24"/>
                  <w:lang w:bidi="en-US"/>
                </w:rPr>
                <w:t xml:space="preserve">P. Zvicevičius tel.  8 672 71 381, el. p. paulius.zvicevicius@am.lt</w:t>
              </w:r>
            </w:p>
            <w:p>
              <w:pPr>
                <w:suppressLineNumbers/>
                <w:tabs>
                  <w:tab w:val="center" w:pos="4800"/>
                  <w:tab w:val="right" w:pos="9601"/>
                </w:tabs>
                <w:jc w:val="both"/>
                <w:rPr>
                  <w:rFonts w:eastAsia="Andale Sans UI" w:cs="Tahoma"/>
                  <w:szCs w:val="24"/>
                  <w:lang w:bidi="en-US"/>
                </w:rPr>
              </w:pPr>
            </w:p>
            <w:p>
              <w:pPr>
                <w:rPr>
                  <w:rFonts w:eastAsia="Andale Sans UI" w:cs="Tahoma"/>
                  <w:szCs w:val="24"/>
                  <w:lang w:bidi="en-US"/>
                </w:rPr>
              </w:pPr>
            </w:p>
            <w:p>
              <w:pPr>
                <w:spacing w:line="360" w:lineRule="auto"/>
                <w:jc w:val="center"/>
                <w:rPr>
                  <w:rFonts w:eastAsia="Andale Sans UI" w:cs="Tahoma"/>
                  <w:b/>
                  <w:bCs/>
                  <w:szCs w:val="24"/>
                  <w:lang w:bidi="en-US"/>
                </w:rPr>
              </w:pPr>
              <w:r>
                <w:rPr>
                  <w:rFonts w:eastAsia="Andale Sans UI" w:cs="Tahoma"/>
                  <w:b/>
                  <w:bCs/>
                  <w:szCs w:val="24"/>
                  <w:lang w:bidi="en-US"/>
                </w:rPr>
                <w:t>Adresatų sąrašas</w:t>
              </w:r>
            </w:p>
          </w:sdtContent>
        </w:sdt>
        <w:sdt>
          <w:sdtPr>
            <w:alias w:val="1 p."/>
            <w:tag w:val="part_a6d0ac95f44e42f8be798954c7c38b1d"/>
            <w:lock w:val="sdtLocked"/>
            <w:richText/>
          </w:sdtPr>
          <w:sdtContent>
            <w:p>
              <w:pPr>
                <w:spacing w:line="360" w:lineRule="auto"/>
                <w:ind w:left="720" w:hanging="360"/>
                <w:rPr>
                  <w:rFonts w:eastAsia="Andale Sans UI" w:cs="Tahoma"/>
                  <w:szCs w:val="24"/>
                  <w:lang w:bidi="en-US"/>
                </w:rPr>
              </w:pPr>
              <w:sdt>
                <w:sdtPr>
                  <w:alias w:val="Numeris"/>
                  <w:tag w:val="nr_a6d0ac95f44e42f8be798954c7c38b1d"/>
                  <w:lock w:val="sdtLocked"/>
                  <w:richText/>
                </w:sdtPr>
                <w:sdtContent>
                  <w:r>
                    <w:rPr>
                      <w:rFonts w:eastAsia="Andale Sans UI" w:cs="Tahoma"/>
                      <w:szCs w:val="24"/>
                      <w:lang w:bidi="en-US"/>
                    </w:rPr>
                    <w:t>1</w:t>
                  </w:r>
                </w:sdtContent>
              </w:sdt>
              <w:r>
                <w:rPr>
                  <w:rFonts w:eastAsia="Andale Sans UI" w:cs="Tahoma"/>
                  <w:szCs w:val="24"/>
                  <w:lang w:bidi="en-US"/>
                </w:rPr>
                <w:t>.</w:t>
                <w:tab/>
                <w:t>Aplinkos apsaugos agentūra;</w:t>
              </w:r>
            </w:p>
          </w:sdtContent>
        </w:sdt>
        <w:sdt>
          <w:sdtPr>
            <w:alias w:val="2 p."/>
            <w:tag w:val="part_4a61b898ca8649e992ff17812075d276"/>
            <w:lock w:val="sdtLocked"/>
            <w:richText/>
          </w:sdtPr>
          <w:sdtContent>
            <w:p>
              <w:pPr>
                <w:spacing w:line="360" w:lineRule="auto"/>
                <w:ind w:left="720" w:hanging="360"/>
                <w:rPr>
                  <w:rFonts w:eastAsia="Andale Sans UI" w:cs="Tahoma"/>
                  <w:szCs w:val="24"/>
                  <w:lang w:bidi="en-US"/>
                </w:rPr>
              </w:pPr>
              <w:sdt>
                <w:sdtPr>
                  <w:alias w:val="Numeris"/>
                  <w:tag w:val="nr_4a61b898ca8649e992ff17812075d276"/>
                  <w:lock w:val="sdtLocked"/>
                  <w:richText/>
                </w:sdtPr>
                <w:sdtContent>
                  <w:r>
                    <w:rPr>
                      <w:rFonts w:eastAsia="Andale Sans UI" w:cs="Tahoma"/>
                      <w:szCs w:val="24"/>
                      <w:lang w:bidi="en-US"/>
                    </w:rPr>
                    <w:t>2</w:t>
                  </w:r>
                </w:sdtContent>
              </w:sdt>
              <w:r>
                <w:rPr>
                  <w:rFonts w:eastAsia="Andale Sans UI" w:cs="Tahoma"/>
                  <w:szCs w:val="24"/>
                  <w:lang w:bidi="en-US"/>
                </w:rPr>
                <w:t>.</w:t>
                <w:tab/>
                <w:t>Aplinkos apsaugos departamentas prie Aplinkos ministerijos;</w:t>
              </w:r>
            </w:p>
          </w:sdtContent>
        </w:sdt>
        <w:sdt>
          <w:sdtPr>
            <w:alias w:val="3 p."/>
            <w:tag w:val="part_525af5edd701487b90a0bf7d1667753e"/>
            <w:lock w:val="sdtLocked"/>
            <w:richText/>
          </w:sdtPr>
          <w:sdtContent>
            <w:p>
              <w:pPr>
                <w:spacing w:line="360" w:lineRule="auto"/>
                <w:ind w:left="720" w:hanging="360"/>
                <w:rPr>
                  <w:rFonts w:eastAsia="Andale Sans UI" w:cs="Tahoma"/>
                  <w:szCs w:val="24"/>
                  <w:lang w:bidi="en-US"/>
                </w:rPr>
              </w:pPr>
              <w:sdt>
                <w:sdtPr>
                  <w:alias w:val="Numeris"/>
                  <w:tag w:val="nr_525af5edd701487b90a0bf7d1667753e"/>
                  <w:lock w:val="sdtLocked"/>
                  <w:richText/>
                </w:sdtPr>
                <w:sdtContent>
                  <w:r>
                    <w:rPr>
                      <w:rFonts w:eastAsia="Andale Sans UI" w:cs="Tahoma"/>
                      <w:szCs w:val="24"/>
                      <w:lang w:bidi="en-US"/>
                    </w:rPr>
                    <w:t>3</w:t>
                  </w:r>
                </w:sdtContent>
              </w:sdt>
              <w:r>
                <w:rPr>
                  <w:rFonts w:eastAsia="Andale Sans UI" w:cs="Tahoma"/>
                  <w:szCs w:val="24"/>
                  <w:lang w:bidi="en-US"/>
                </w:rPr>
                <w:t>.</w:t>
                <w:tab/>
                <w:t>Nacionalinė šaltininkų asociacija;</w:t>
              </w:r>
            </w:p>
          </w:sdtContent>
        </w:sdt>
        <w:sdt>
          <w:sdtPr>
            <w:alias w:val="4 p."/>
            <w:tag w:val="part_90008f2287254d288859668a0f68341b"/>
            <w:lock w:val="sdtLocked"/>
            <w:richText/>
          </w:sdtPr>
          <w:sdtContent>
            <w:p>
              <w:pPr>
                <w:spacing w:line="360" w:lineRule="auto"/>
                <w:ind w:left="720" w:hanging="360"/>
                <w:rPr>
                  <w:rFonts w:eastAsia="Andale Sans UI" w:cs="Tahoma"/>
                  <w:szCs w:val="24"/>
                  <w:lang w:bidi="en-US"/>
                </w:rPr>
              </w:pPr>
              <w:sdt>
                <w:sdtPr>
                  <w:alias w:val="Numeris"/>
                  <w:tag w:val="nr_90008f2287254d288859668a0f68341b"/>
                  <w:lock w:val="sdtLocked"/>
                  <w:richText/>
                </w:sdtPr>
                <w:sdtContent>
                  <w:r>
                    <w:rPr>
                      <w:rFonts w:eastAsia="Andale Sans UI" w:cs="Tahoma"/>
                      <w:szCs w:val="24"/>
                      <w:lang w:bidi="en-US"/>
                    </w:rPr>
                    <w:t>4</w:t>
                  </w:r>
                </w:sdtContent>
              </w:sdt>
              <w:r>
                <w:rPr>
                  <w:rFonts w:eastAsia="Andale Sans UI" w:cs="Tahoma"/>
                  <w:szCs w:val="24"/>
                  <w:lang w:bidi="en-US"/>
                </w:rPr>
                <w:t>.</w:t>
                <w:tab/>
                <w:t>UAB „SOTERUS“;</w:t>
              </w:r>
            </w:p>
          </w:sdtContent>
        </w:sdt>
        <w:sdt>
          <w:sdtPr>
            <w:alias w:val="5 p."/>
            <w:tag w:val="part_81b30e03c31643c9903172a2b1805568"/>
            <w:lock w:val="sdtLocked"/>
            <w:richText/>
          </w:sdtPr>
          <w:sdtContent>
            <w:p>
              <w:pPr>
                <w:spacing w:line="360" w:lineRule="auto"/>
                <w:ind w:left="720" w:hanging="360"/>
                <w:rPr>
                  <w:rFonts w:eastAsia="Andale Sans UI" w:cs="Tahoma"/>
                  <w:szCs w:val="24"/>
                  <w:lang w:bidi="en-US"/>
                </w:rPr>
              </w:pPr>
              <w:sdt>
                <w:sdtPr>
                  <w:alias w:val="Numeris"/>
                  <w:tag w:val="nr_81b30e03c31643c9903172a2b1805568"/>
                  <w:lock w:val="sdtLocked"/>
                  <w:richText/>
                </w:sdtPr>
                <w:sdtContent>
                  <w:r>
                    <w:rPr>
                      <w:rFonts w:eastAsia="Andale Sans UI" w:cs="Tahoma"/>
                      <w:szCs w:val="24"/>
                      <w:lang w:bidi="en-US"/>
                    </w:rPr>
                    <w:t>5</w:t>
                  </w:r>
                </w:sdtContent>
              </w:sdt>
              <w:r>
                <w:rPr>
                  <w:rFonts w:eastAsia="Andale Sans UI" w:cs="Tahoma"/>
                  <w:szCs w:val="24"/>
                  <w:lang w:bidi="en-US"/>
                </w:rPr>
                <w:t>.</w:t>
                <w:tab/>
                <w:t>Vilniaus technologijų ir inžinerijos mokymo centras;</w:t>
              </w:r>
            </w:p>
          </w:sdtContent>
        </w:sdt>
        <w:sdt>
          <w:sdtPr>
            <w:alias w:val="6 p."/>
            <w:tag w:val="part_43ce68de20f7497982c660346e65bd0e"/>
            <w:lock w:val="sdtLocked"/>
            <w:richText/>
          </w:sdtPr>
          <w:sdtContent>
            <w:p>
              <w:pPr>
                <w:spacing w:line="360" w:lineRule="auto"/>
                <w:ind w:left="720" w:hanging="360"/>
                <w:rPr>
                  <w:rFonts w:eastAsia="Andale Sans UI" w:cs="Tahoma"/>
                  <w:szCs w:val="24"/>
                  <w:lang w:bidi="en-US"/>
                </w:rPr>
              </w:pPr>
              <w:sdt>
                <w:sdtPr>
                  <w:alias w:val="Numeris"/>
                  <w:tag w:val="nr_43ce68de20f7497982c660346e65bd0e"/>
                  <w:lock w:val="sdtLocked"/>
                  <w:richText/>
                </w:sdtPr>
                <w:sdtContent>
                  <w:r>
                    <w:rPr>
                      <w:rFonts w:eastAsia="Andale Sans UI" w:cs="Tahoma"/>
                      <w:szCs w:val="24"/>
                      <w:lang w:bidi="en-US"/>
                    </w:rPr>
                    <w:t>6</w:t>
                  </w:r>
                </w:sdtContent>
              </w:sdt>
              <w:r>
                <w:rPr>
                  <w:rFonts w:eastAsia="Andale Sans UI" w:cs="Tahoma"/>
                  <w:szCs w:val="24"/>
                  <w:lang w:bidi="en-US"/>
                </w:rPr>
                <w:t>.</w:t>
                <w:tab/>
                <w:t>Kvalifikacijų ir profesinio mokymo plėtros centras;</w:t>
              </w:r>
            </w:p>
          </w:sdtContent>
        </w:sdt>
        <w:sdt>
          <w:sdtPr>
            <w:alias w:val="7 p."/>
            <w:tag w:val="part_445fd9501d21488f9fccaf4d4ec3d4f7"/>
            <w:lock w:val="sdtLocked"/>
            <w:richText/>
          </w:sdtPr>
          <w:sdtContent>
            <w:p>
              <w:pPr>
                <w:spacing w:line="360" w:lineRule="auto"/>
                <w:ind w:left="720" w:hanging="360"/>
                <w:rPr>
                  <w:rFonts w:eastAsia="Andale Sans UI" w:cs="Tahoma"/>
                  <w:szCs w:val="24"/>
                  <w:lang w:bidi="en-US"/>
                </w:rPr>
              </w:pPr>
              <w:sdt>
                <w:sdtPr>
                  <w:alias w:val="Numeris"/>
                  <w:tag w:val="nr_445fd9501d21488f9fccaf4d4ec3d4f7"/>
                  <w:lock w:val="sdtLocked"/>
                  <w:richText/>
                </w:sdtPr>
                <w:sdtContent>
                  <w:r>
                    <w:rPr>
                      <w:rFonts w:eastAsia="Andale Sans UI" w:cs="Tahoma"/>
                      <w:szCs w:val="24"/>
                      <w:lang w:bidi="en-US"/>
                    </w:rPr>
                    <w:t>7</w:t>
                  </w:r>
                </w:sdtContent>
              </w:sdt>
              <w:r>
                <w:rPr>
                  <w:rFonts w:eastAsia="Andale Sans UI" w:cs="Tahoma"/>
                  <w:szCs w:val="24"/>
                  <w:lang w:bidi="en-US"/>
                </w:rPr>
                <w:t>.</w:t>
                <w:tab/>
                <w:t>Nacionalinė švietimo agentūra;</w:t>
              </w:r>
            </w:p>
          </w:sdtContent>
        </w:sdt>
        <w:sdt>
          <w:sdtPr>
            <w:alias w:val="8 p."/>
            <w:tag w:val="part_8c8724203c0047bfb1abd3794df2ebba"/>
            <w:lock w:val="sdtLocked"/>
            <w:richText/>
          </w:sdtPr>
          <w:sdtContent>
            <w:p>
              <w:pPr>
                <w:spacing w:line="360" w:lineRule="auto"/>
                <w:ind w:left="720" w:hanging="360"/>
                <w:rPr>
                  <w:rFonts w:eastAsia="Andale Sans UI" w:cs="Tahoma"/>
                  <w:szCs w:val="24"/>
                  <w:lang w:bidi="en-US"/>
                </w:rPr>
              </w:pPr>
              <w:sdt>
                <w:sdtPr>
                  <w:alias w:val="Numeris"/>
                  <w:tag w:val="nr_8c8724203c0047bfb1abd3794df2ebba"/>
                  <w:lock w:val="sdtLocked"/>
                  <w:richText/>
                </w:sdtPr>
                <w:sdtContent>
                  <w:r>
                    <w:rPr>
                      <w:rFonts w:eastAsia="Andale Sans UI" w:cs="Tahoma"/>
                      <w:szCs w:val="24"/>
                      <w:lang w:bidi="en-US"/>
                    </w:rPr>
                    <w:t>8</w:t>
                  </w:r>
                </w:sdtContent>
              </w:sdt>
              <w:r>
                <w:rPr>
                  <w:rFonts w:eastAsia="Andale Sans UI" w:cs="Tahoma"/>
                  <w:szCs w:val="24"/>
                  <w:lang w:bidi="en-US"/>
                </w:rPr>
                <w:t>.</w:t>
                <w:tab/>
                <w:t>Nacionalinis akreditacijos biuras;</w:t>
              </w:r>
            </w:p>
          </w:sdtContent>
        </w:sdt>
        <w:sdt>
          <w:sdtPr>
            <w:alias w:val="9 p."/>
            <w:tag w:val="part_e36fa2b920e2451aaeeecd7853b400f7"/>
            <w:lock w:val="sdtLocked"/>
            <w:richText/>
          </w:sdtPr>
          <w:sdtContent>
            <w:p>
              <w:pPr>
                <w:spacing w:line="360" w:lineRule="auto"/>
                <w:ind w:left="720" w:hanging="360"/>
                <w:rPr>
                  <w:rFonts w:eastAsia="Andale Sans UI" w:cs="Tahoma"/>
                  <w:szCs w:val="24"/>
                  <w:lang w:bidi="en-US"/>
                </w:rPr>
              </w:pPr>
              <w:sdt>
                <w:sdtPr>
                  <w:alias w:val="Numeris"/>
                  <w:tag w:val="nr_e36fa2b920e2451aaeeecd7853b400f7"/>
                  <w:lock w:val="sdtLocked"/>
                  <w:richText/>
                </w:sdtPr>
                <w:sdtContent>
                  <w:r>
                    <w:rPr>
                      <w:rFonts w:eastAsia="Andale Sans UI" w:cs="Tahoma"/>
                      <w:szCs w:val="24"/>
                      <w:lang w:bidi="en-US"/>
                    </w:rPr>
                    <w:t>9</w:t>
                  </w:r>
                </w:sdtContent>
              </w:sdt>
              <w:r>
                <w:rPr>
                  <w:rFonts w:eastAsia="Andale Sans UI" w:cs="Tahoma"/>
                  <w:szCs w:val="24"/>
                  <w:lang w:bidi="en-US"/>
                </w:rPr>
                <w:t>.</w:t>
                <w:tab/>
                <w:t>Valstybės dokumentų technologinės apsaugos tarnyba;</w:t>
              </w:r>
            </w:p>
          </w:sdtContent>
        </w:sdt>
        <w:sdt>
          <w:sdtPr>
            <w:alias w:val="10 p."/>
            <w:tag w:val="part_6f302b5a12704f5e8295034ef7f1a915"/>
            <w:lock w:val="sdtLocked"/>
            <w:richText/>
          </w:sdtPr>
          <w:sdtContent>
            <w:p>
              <w:pPr>
                <w:spacing w:line="360" w:lineRule="auto"/>
                <w:ind w:left="720" w:hanging="360"/>
                <w:rPr>
                  <w:rFonts w:eastAsia="Andale Sans UI" w:cs="Tahoma"/>
                  <w:szCs w:val="24"/>
                  <w:lang w:bidi="en-US"/>
                </w:rPr>
              </w:pPr>
              <w:sdt>
                <w:sdtPr>
                  <w:alias w:val="Numeris"/>
                  <w:tag w:val="nr_6f302b5a12704f5e8295034ef7f1a915"/>
                  <w:lock w:val="sdtLocked"/>
                  <w:richText/>
                </w:sdtPr>
                <w:sdtContent>
                  <w:r>
                    <w:rPr>
                      <w:rFonts w:eastAsia="Andale Sans UI" w:cs="Tahoma"/>
                      <w:szCs w:val="24"/>
                      <w:lang w:bidi="en-US"/>
                    </w:rPr>
                    <w:t>10</w:t>
                  </w:r>
                </w:sdtContent>
              </w:sdt>
              <w:r>
                <w:rPr>
                  <w:rFonts w:eastAsia="Andale Sans UI" w:cs="Tahoma"/>
                  <w:szCs w:val="24"/>
                  <w:lang w:bidi="en-US"/>
                </w:rPr>
                <w:t>.</w:t>
                <w:tab/>
                <w:t>Elektros skirstymo operatorius;</w:t>
              </w:r>
            </w:p>
          </w:sdtContent>
        </w:sdt>
        <w:sdt>
          <w:sdtPr>
            <w:alias w:val="11 p."/>
            <w:tag w:val="part_ed2f8fda85194e6ea85ac96ab0f393a6"/>
            <w:lock w:val="sdtLocked"/>
            <w:richText/>
          </w:sdtPr>
          <w:sdtContent>
            <w:p>
              <w:pPr>
                <w:spacing w:line="360" w:lineRule="auto"/>
                <w:ind w:left="720" w:hanging="360"/>
                <w:rPr>
                  <w:rFonts w:eastAsia="Andale Sans UI" w:cs="Tahoma"/>
                  <w:szCs w:val="24"/>
                  <w:lang w:bidi="en-US"/>
                </w:rPr>
              </w:pPr>
              <w:sdt>
                <w:sdtPr>
                  <w:alias w:val="Numeris"/>
                  <w:tag w:val="nr_ed2f8fda85194e6ea85ac96ab0f393a6"/>
                  <w:lock w:val="sdtLocked"/>
                  <w:richText/>
                </w:sdtPr>
                <w:sdtContent>
                  <w:r>
                    <w:rPr>
                      <w:rFonts w:eastAsia="Andale Sans UI" w:cs="Tahoma"/>
                      <w:szCs w:val="24"/>
                      <w:lang w:bidi="en-US"/>
                    </w:rPr>
                    <w:t>11</w:t>
                  </w:r>
                </w:sdtContent>
              </w:sdt>
              <w:r>
                <w:rPr>
                  <w:rFonts w:eastAsia="Andale Sans UI" w:cs="Tahoma"/>
                  <w:szCs w:val="24"/>
                  <w:lang w:bidi="en-US"/>
                </w:rPr>
                <w:t>.</w:t>
                <w:tab/>
                <w:t>Litgrid;</w:t>
              </w:r>
            </w:p>
          </w:sdtContent>
        </w:sdt>
        <w:sdt>
          <w:sdtPr>
            <w:alias w:val="12 p."/>
            <w:tag w:val="part_7c5406f1a05e4c60bf92a993e251d3a3"/>
            <w:lock w:val="sdtLocked"/>
            <w:richText/>
          </w:sdtPr>
          <w:sdtContent>
            <w:p>
              <w:pPr>
                <w:spacing w:line="360" w:lineRule="auto"/>
                <w:ind w:left="720" w:hanging="360"/>
                <w:rPr>
                  <w:rFonts w:eastAsia="Andale Sans UI" w:cs="Tahoma"/>
                  <w:szCs w:val="24"/>
                  <w:lang w:bidi="en-US"/>
                </w:rPr>
              </w:pPr>
              <w:sdt>
                <w:sdtPr>
                  <w:alias w:val="Numeris"/>
                  <w:tag w:val="nr_7c5406f1a05e4c60bf92a993e251d3a3"/>
                  <w:lock w:val="sdtLocked"/>
                  <w:richText/>
                </w:sdtPr>
                <w:sdtContent>
                  <w:r>
                    <w:rPr>
                      <w:rFonts w:eastAsia="Andale Sans UI" w:cs="Tahoma"/>
                      <w:szCs w:val="24"/>
                      <w:lang w:bidi="en-US"/>
                    </w:rPr>
                    <w:t>12</w:t>
                  </w:r>
                </w:sdtContent>
              </w:sdt>
              <w:r>
                <w:rPr>
                  <w:rFonts w:eastAsia="Andale Sans UI" w:cs="Tahoma"/>
                  <w:szCs w:val="24"/>
                  <w:lang w:bidi="en-US"/>
                </w:rPr>
                <w:t>.</w:t>
                <w:tab/>
                <w:t>Priešgaisrinės apsaugos ir gelbėjimo departamentas prie Vidaus reikalų ministerijos;</w:t>
              </w:r>
            </w:p>
          </w:sdtContent>
        </w:sdt>
        <w:sdt>
          <w:sdtPr>
            <w:alias w:val="13 p."/>
            <w:tag w:val="part_7af8f19b20e048b1a10f35cc99a3d1c7"/>
            <w:lock w:val="sdtLocked"/>
            <w:richText/>
          </w:sdtPr>
          <w:sdtContent>
            <w:p>
              <w:pPr>
                <w:spacing w:line="360" w:lineRule="auto"/>
                <w:ind w:left="720" w:hanging="360"/>
                <w:rPr>
                  <w:rFonts w:eastAsia="Andale Sans UI" w:cs="Tahoma"/>
                  <w:szCs w:val="24"/>
                  <w:lang w:bidi="en-US"/>
                </w:rPr>
              </w:pPr>
              <w:sdt>
                <w:sdtPr>
                  <w:alias w:val="Numeris"/>
                  <w:tag w:val="nr_7af8f19b20e048b1a10f35cc99a3d1c7"/>
                  <w:lock w:val="sdtLocked"/>
                  <w:richText/>
                </w:sdtPr>
                <w:sdtContent>
                  <w:r>
                    <w:rPr>
                      <w:rFonts w:eastAsia="Andale Sans UI" w:cs="Tahoma"/>
                      <w:szCs w:val="24"/>
                      <w:lang w:bidi="en-US"/>
                    </w:rPr>
                    <w:t>13</w:t>
                  </w:r>
                </w:sdtContent>
              </w:sdt>
              <w:r>
                <w:rPr>
                  <w:rFonts w:eastAsia="Andale Sans UI" w:cs="Tahoma"/>
                  <w:szCs w:val="24"/>
                  <w:lang w:bidi="en-US"/>
                </w:rPr>
                <w:t>.</w:t>
                <w:tab/>
                <w:t>Ugniagesių gelbėtojų mokykla;</w:t>
              </w:r>
            </w:p>
          </w:sdtContent>
        </w:sdt>
        <w:sdt>
          <w:sdtPr>
            <w:alias w:val="14 p."/>
            <w:tag w:val="part_49026af377de4ba1bc1d65c708c03b4a"/>
            <w:lock w:val="sdtLocked"/>
            <w:richText/>
          </w:sdtPr>
          <w:sdtContent>
            <w:p>
              <w:pPr>
                <w:spacing w:line="360" w:lineRule="auto"/>
                <w:ind w:left="720" w:hanging="360"/>
                <w:rPr>
                  <w:rFonts w:eastAsia="Andale Sans UI" w:cs="Tahoma"/>
                  <w:szCs w:val="24"/>
                  <w:lang w:bidi="en-US"/>
                </w:rPr>
              </w:pPr>
              <w:sdt>
                <w:sdtPr>
                  <w:alias w:val="Numeris"/>
                  <w:tag w:val="nr_49026af377de4ba1bc1d65c708c03b4a"/>
                  <w:lock w:val="sdtLocked"/>
                  <w:richText/>
                </w:sdtPr>
                <w:sdtContent>
                  <w:r>
                    <w:rPr>
                      <w:rFonts w:eastAsia="Andale Sans UI" w:cs="Tahoma"/>
                      <w:szCs w:val="24"/>
                      <w:lang w:bidi="en-US"/>
                    </w:rPr>
                    <w:t>14</w:t>
                  </w:r>
                </w:sdtContent>
              </w:sdt>
              <w:r>
                <w:rPr>
                  <w:rFonts w:eastAsia="Andale Sans UI" w:cs="Tahoma"/>
                  <w:szCs w:val="24"/>
                  <w:lang w:bidi="en-US"/>
                </w:rPr>
                <w:t>.</w:t>
                <w:tab/>
                <w:t>Šilumos siurblių ir vėdinimo asociacija;</w:t>
              </w:r>
            </w:p>
          </w:sdtContent>
        </w:sdt>
        <w:sdt>
          <w:sdtPr>
            <w:alias w:val="15 p."/>
            <w:tag w:val="part_d8e6d4f8816a4b7093e9c23661ba81b2"/>
            <w:lock w:val="sdtLocked"/>
            <w:richText/>
          </w:sdtPr>
          <w:sdtContent>
            <w:p>
              <w:pPr>
                <w:spacing w:line="360" w:lineRule="auto"/>
                <w:ind w:left="720" w:hanging="360"/>
                <w:rPr>
                  <w:rFonts w:eastAsia="Andale Sans UI" w:cs="Tahoma"/>
                  <w:szCs w:val="24"/>
                  <w:lang w:bidi="en-US"/>
                </w:rPr>
              </w:pPr>
              <w:sdt>
                <w:sdtPr>
                  <w:alias w:val="Numeris"/>
                  <w:tag w:val="nr_d8e6d4f8816a4b7093e9c23661ba81b2"/>
                  <w:lock w:val="sdtLocked"/>
                  <w:richText/>
                </w:sdtPr>
                <w:sdtContent>
                  <w:r>
                    <w:rPr>
                      <w:rFonts w:eastAsia="Andale Sans UI" w:cs="Tahoma"/>
                      <w:szCs w:val="24"/>
                      <w:lang w:bidi="en-US"/>
                    </w:rPr>
                    <w:t>15</w:t>
                  </w:r>
                </w:sdtContent>
              </w:sdt>
              <w:r>
                <w:rPr>
                  <w:rFonts w:eastAsia="Andale Sans UI" w:cs="Tahoma"/>
                  <w:szCs w:val="24"/>
                  <w:lang w:bidi="en-US"/>
                </w:rPr>
                <w:t>.</w:t>
                <w:tab/>
                <w:t>UAB „Fima“;</w:t>
              </w:r>
            </w:p>
          </w:sdtContent>
        </w:sdt>
        <w:sdt>
          <w:sdtPr>
            <w:alias w:val="16 p."/>
            <w:tag w:val="part_53a36f5c66fd4b90b4ff584f6c52018f"/>
            <w:lock w:val="sdtLocked"/>
            <w:richText/>
          </w:sdtPr>
          <w:sdtContent>
            <w:p>
              <w:pPr>
                <w:spacing w:line="360" w:lineRule="auto"/>
                <w:ind w:left="720" w:hanging="360"/>
                <w:rPr>
                  <w:rFonts w:eastAsia="Andale Sans UI" w:cs="Tahoma"/>
                  <w:szCs w:val="24"/>
                  <w:lang w:bidi="en-US"/>
                </w:rPr>
              </w:pPr>
              <w:sdt>
                <w:sdtPr>
                  <w:alias w:val="Numeris"/>
                  <w:tag w:val="nr_53a36f5c66fd4b90b4ff584f6c52018f"/>
                  <w:lock w:val="sdtLocked"/>
                  <w:richText/>
                </w:sdtPr>
                <w:sdtContent>
                  <w:r>
                    <w:rPr>
                      <w:rFonts w:eastAsia="Andale Sans UI" w:cs="Tahoma"/>
                      <w:szCs w:val="24"/>
                      <w:lang w:bidi="en-US"/>
                    </w:rPr>
                    <w:t>16</w:t>
                  </w:r>
                </w:sdtContent>
              </w:sdt>
              <w:r>
                <w:rPr>
                  <w:rFonts w:eastAsia="Andale Sans UI" w:cs="Tahoma"/>
                  <w:szCs w:val="24"/>
                  <w:lang w:bidi="en-US"/>
                </w:rPr>
                <w:t>.</w:t>
                <w:tab/>
                <w:t>UAB „Gevirda“;</w:t>
              </w:r>
            </w:p>
          </w:sdtContent>
        </w:sdt>
        <w:sdt>
          <w:sdtPr>
            <w:alias w:val="17 p."/>
            <w:tag w:val="part_71a2587fd1bb420d8782102c0feaa68d"/>
            <w:lock w:val="sdtLocked"/>
            <w:richText/>
          </w:sdtPr>
          <w:sdtContent>
            <w:p>
              <w:pPr>
                <w:spacing w:line="360" w:lineRule="auto"/>
                <w:ind w:left="720" w:hanging="360"/>
                <w:rPr>
                  <w:rFonts w:eastAsia="Andale Sans UI" w:cs="Tahoma"/>
                  <w:szCs w:val="24"/>
                  <w:lang w:bidi="en-US"/>
                </w:rPr>
              </w:pPr>
              <w:sdt>
                <w:sdtPr>
                  <w:alias w:val="Numeris"/>
                  <w:tag w:val="nr_71a2587fd1bb420d8782102c0feaa68d"/>
                  <w:lock w:val="sdtLocked"/>
                  <w:richText/>
                </w:sdtPr>
                <w:sdtContent>
                  <w:r>
                    <w:rPr>
                      <w:rFonts w:eastAsia="Andale Sans UI" w:cs="Tahoma"/>
                      <w:szCs w:val="24"/>
                      <w:lang w:bidi="en-US"/>
                    </w:rPr>
                    <w:t>17</w:t>
                  </w:r>
                </w:sdtContent>
              </w:sdt>
              <w:r>
                <w:rPr>
                  <w:rFonts w:eastAsia="Andale Sans UI" w:cs="Tahoma"/>
                  <w:szCs w:val="24"/>
                  <w:lang w:bidi="en-US"/>
                </w:rPr>
                <w:t>.</w:t>
                <w:tab/>
                <w:t>UAB „Tuvlita“;</w:t>
              </w:r>
            </w:p>
          </w:sdtContent>
        </w:sdt>
        <w:sdt>
          <w:sdtPr>
            <w:alias w:val="18 p."/>
            <w:tag w:val="part_7b2036cd553f4bd19bb0fb13bd00504b"/>
            <w:lock w:val="sdtLocked"/>
            <w:richText/>
          </w:sdtPr>
          <w:sdtContent>
            <w:p>
              <w:pPr>
                <w:spacing w:line="360" w:lineRule="auto"/>
                <w:ind w:left="720" w:hanging="360"/>
                <w:rPr>
                  <w:rFonts w:eastAsia="Andale Sans UI" w:cs="Tahoma"/>
                  <w:szCs w:val="24"/>
                  <w:lang w:bidi="en-US"/>
                </w:rPr>
              </w:pPr>
              <w:sdt>
                <w:sdtPr>
                  <w:alias w:val="Numeris"/>
                  <w:tag w:val="nr_7b2036cd553f4bd19bb0fb13bd00504b"/>
                  <w:lock w:val="sdtLocked"/>
                  <w:richText/>
                </w:sdtPr>
                <w:sdtContent>
                  <w:r>
                    <w:rPr>
                      <w:rFonts w:eastAsia="Andale Sans UI" w:cs="Tahoma"/>
                      <w:szCs w:val="24"/>
                      <w:lang w:bidi="en-US"/>
                    </w:rPr>
                    <w:t>18</w:t>
                  </w:r>
                </w:sdtContent>
              </w:sdt>
              <w:r>
                <w:rPr>
                  <w:rFonts w:eastAsia="Andale Sans UI" w:cs="Tahoma"/>
                  <w:szCs w:val="24"/>
                  <w:lang w:bidi="en-US"/>
                </w:rPr>
                <w:t>.</w:t>
                <w:tab/>
                <w:t>Konkurencijos taryba;</w:t>
              </w:r>
            </w:p>
          </w:sdtContent>
        </w:sdt>
        <w:sdt>
          <w:sdtPr>
            <w:alias w:val="19 p."/>
            <w:tag w:val="part_1d9d1047be5d49c1889edc20d06811af"/>
            <w:lock w:val="sdtLocked"/>
            <w:richText/>
          </w:sdtPr>
          <w:sdtContent>
            <w:p>
              <w:pPr>
                <w:spacing w:line="360" w:lineRule="auto"/>
                <w:ind w:left="720" w:hanging="360"/>
                <w:rPr>
                  <w:rFonts w:eastAsia="Andale Sans UI" w:cs="Tahoma"/>
                  <w:szCs w:val="24"/>
                  <w:lang w:bidi="en-US"/>
                </w:rPr>
              </w:pPr>
              <w:sdt>
                <w:sdtPr>
                  <w:alias w:val="Numeris"/>
                  <w:tag w:val="nr_1d9d1047be5d49c1889edc20d06811af"/>
                  <w:lock w:val="sdtLocked"/>
                  <w:richText/>
                </w:sdtPr>
                <w:sdtContent>
                  <w:r>
                    <w:rPr>
                      <w:rFonts w:eastAsia="Andale Sans UI" w:cs="Tahoma"/>
                      <w:szCs w:val="24"/>
                      <w:lang w:bidi="en-US"/>
                    </w:rPr>
                    <w:t>19</w:t>
                  </w:r>
                </w:sdtContent>
              </w:sdt>
              <w:r>
                <w:rPr>
                  <w:rFonts w:eastAsia="Andale Sans UI" w:cs="Tahoma"/>
                  <w:szCs w:val="24"/>
                  <w:lang w:bidi="en-US"/>
                </w:rPr>
                <w:t>.</w:t>
                <w:tab/>
                <w:t>Lietuvos pramonininkų konfederacija;</w:t>
              </w:r>
            </w:p>
          </w:sdtContent>
        </w:sdt>
        <w:sdt>
          <w:sdtPr>
            <w:alias w:val="20 p."/>
            <w:tag w:val="part_e6280dfa3a06477995c4dfcceb48552c"/>
            <w:lock w:val="sdtLocked"/>
            <w:richText/>
          </w:sdtPr>
          <w:sdtContent>
            <w:p>
              <w:pPr>
                <w:spacing w:line="360" w:lineRule="auto"/>
                <w:ind w:left="720" w:hanging="360"/>
                <w:rPr>
                  <w:rFonts w:eastAsia="Andale Sans UI" w:cs="Tahoma"/>
                  <w:szCs w:val="24"/>
                  <w:lang w:bidi="en-US"/>
                </w:rPr>
              </w:pPr>
              <w:sdt>
                <w:sdtPr>
                  <w:alias w:val="Numeris"/>
                  <w:tag w:val="nr_e6280dfa3a06477995c4dfcceb48552c"/>
                  <w:lock w:val="sdtLocked"/>
                  <w:richText/>
                </w:sdtPr>
                <w:sdtContent>
                  <w:r>
                    <w:rPr>
                      <w:rFonts w:eastAsia="Andale Sans UI" w:cs="Tahoma"/>
                      <w:szCs w:val="24"/>
                      <w:lang w:bidi="en-US"/>
                    </w:rPr>
                    <w:t>20</w:t>
                  </w:r>
                </w:sdtContent>
              </w:sdt>
              <w:r>
                <w:rPr>
                  <w:rFonts w:eastAsia="Andale Sans UI" w:cs="Tahoma"/>
                  <w:szCs w:val="24"/>
                  <w:lang w:bidi="en-US"/>
                </w:rPr>
                <w:t>.</w:t>
                <w:tab/>
                <w:t>Lietuvos chemijos pramonės įmonių asociacija;</w:t>
              </w:r>
            </w:p>
          </w:sdtContent>
        </w:sdt>
        <w:sdt>
          <w:sdtPr>
            <w:alias w:val="21 p."/>
            <w:tag w:val="part_677d726ce9a846df96f45f93d4d237e8"/>
            <w:lock w:val="sdtLocked"/>
            <w:richText/>
          </w:sdtPr>
          <w:sdtContent>
            <w:p>
              <w:pPr>
                <w:spacing w:line="360" w:lineRule="auto"/>
                <w:ind w:left="720" w:hanging="360"/>
                <w:rPr>
                  <w:rFonts w:eastAsia="Andale Sans UI" w:cs="Tahoma"/>
                  <w:szCs w:val="24"/>
                  <w:lang w:bidi="en-US"/>
                </w:rPr>
              </w:pPr>
              <w:sdt>
                <w:sdtPr>
                  <w:alias w:val="Numeris"/>
                  <w:tag w:val="nr_677d726ce9a846df96f45f93d4d237e8"/>
                  <w:lock w:val="sdtLocked"/>
                  <w:richText/>
                </w:sdtPr>
                <w:sdtContent>
                  <w:r>
                    <w:rPr>
                      <w:rFonts w:eastAsia="Andale Sans UI" w:cs="Tahoma"/>
                      <w:szCs w:val="24"/>
                      <w:lang w:bidi="en-US"/>
                    </w:rPr>
                    <w:t>21</w:t>
                  </w:r>
                </w:sdtContent>
              </w:sdt>
              <w:r>
                <w:rPr>
                  <w:rFonts w:eastAsia="Andale Sans UI" w:cs="Tahoma"/>
                  <w:szCs w:val="24"/>
                  <w:lang w:bidi="en-US"/>
                </w:rPr>
                <w:t>.</w:t>
                <w:tab/>
                <w:t>Švietimo, mokslo ir sporto ministerija;</w:t>
              </w:r>
            </w:p>
          </w:sdtContent>
        </w:sdt>
        <w:sdt>
          <w:sdtPr>
            <w:alias w:val="22 p."/>
            <w:tag w:val="part_baad02a4bdff46f499f2cbebe22951c0"/>
            <w:lock w:val="sdtLocked"/>
            <w:richText/>
          </w:sdtPr>
          <w:sdtContent>
            <w:p>
              <w:pPr>
                <w:spacing w:line="360" w:lineRule="auto"/>
                <w:ind w:left="720" w:hanging="360"/>
                <w:rPr>
                  <w:rFonts w:eastAsia="Andale Sans UI" w:cs="Tahoma"/>
                  <w:szCs w:val="24"/>
                  <w:lang w:bidi="en-US"/>
                </w:rPr>
              </w:pPr>
              <w:sdt>
                <w:sdtPr>
                  <w:alias w:val="Numeris"/>
                  <w:tag w:val="nr_baad02a4bdff46f499f2cbebe22951c0"/>
                  <w:lock w:val="sdtLocked"/>
                  <w:richText/>
                </w:sdtPr>
                <w:sdtContent>
                  <w:r>
                    <w:rPr>
                      <w:rFonts w:eastAsia="Andale Sans UI" w:cs="Tahoma"/>
                      <w:szCs w:val="24"/>
                      <w:lang w:bidi="en-US"/>
                    </w:rPr>
                    <w:t>22</w:t>
                  </w:r>
                </w:sdtContent>
              </w:sdt>
              <w:r>
                <w:rPr>
                  <w:rFonts w:eastAsia="Andale Sans UI" w:cs="Tahoma"/>
                  <w:szCs w:val="24"/>
                  <w:lang w:bidi="en-US"/>
                </w:rPr>
                <w:t>.</w:t>
                <w:tab/>
                <w:t>Energetikos ministerija;</w:t>
              </w:r>
            </w:p>
          </w:sdtContent>
        </w:sdt>
        <w:sdt>
          <w:sdtPr>
            <w:alias w:val="23 p."/>
            <w:tag w:val="part_d3f675858f874b2184f22f76a8d84514"/>
            <w:lock w:val="sdtLocked"/>
            <w:richText/>
          </w:sdtPr>
          <w:sdtContent>
            <w:p>
              <w:pPr>
                <w:spacing w:line="360" w:lineRule="auto"/>
                <w:ind w:left="720" w:hanging="360"/>
                <w:rPr>
                  <w:rFonts w:eastAsia="Andale Sans UI" w:cs="Tahoma"/>
                  <w:szCs w:val="24"/>
                  <w:lang w:bidi="en-US"/>
                </w:rPr>
              </w:pPr>
              <w:sdt>
                <w:sdtPr>
                  <w:alias w:val="Numeris"/>
                  <w:tag w:val="nr_d3f675858f874b2184f22f76a8d84514"/>
                  <w:lock w:val="sdtLocked"/>
                  <w:richText/>
                </w:sdtPr>
                <w:sdtContent>
                  <w:r>
                    <w:rPr>
                      <w:rFonts w:eastAsia="Andale Sans UI" w:cs="Tahoma"/>
                      <w:szCs w:val="24"/>
                      <w:lang w:bidi="en-US"/>
                    </w:rPr>
                    <w:t>23</w:t>
                  </w:r>
                </w:sdtContent>
              </w:sdt>
              <w:r>
                <w:rPr>
                  <w:rFonts w:eastAsia="Andale Sans UI" w:cs="Tahoma"/>
                  <w:szCs w:val="24"/>
                  <w:lang w:bidi="en-US"/>
                </w:rPr>
                <w:t>.</w:t>
                <w:tab/>
                <w:t>Ekonomikos ir inovacijų ministerija;</w:t>
              </w:r>
            </w:p>
          </w:sdtContent>
        </w:sdt>
        <w:sdt>
          <w:sdtPr>
            <w:alias w:val="24 p."/>
            <w:tag w:val="part_9c08a5320b164947b96b23c10029d439"/>
            <w:lock w:val="sdtLocked"/>
            <w:richText/>
          </w:sdtPr>
          <w:sdtContent>
            <w:p>
              <w:pPr>
                <w:spacing w:line="360" w:lineRule="auto"/>
                <w:ind w:left="720" w:hanging="360"/>
                <w:rPr>
                  <w:rFonts w:eastAsia="Andale Sans UI" w:cs="Tahoma"/>
                  <w:szCs w:val="24"/>
                  <w:lang w:bidi="en-US"/>
                </w:rPr>
              </w:pPr>
              <w:sdt>
                <w:sdtPr>
                  <w:alias w:val="Numeris"/>
                  <w:tag w:val="nr_9c08a5320b164947b96b23c10029d439"/>
                  <w:lock w:val="sdtLocked"/>
                  <w:richText/>
                </w:sdtPr>
                <w:sdtContent>
                  <w:r>
                    <w:rPr>
                      <w:rFonts w:eastAsia="Andale Sans UI" w:cs="Tahoma"/>
                      <w:szCs w:val="24"/>
                      <w:lang w:bidi="en-US"/>
                    </w:rPr>
                    <w:t>24</w:t>
                  </w:r>
                </w:sdtContent>
              </w:sdt>
              <w:r>
                <w:rPr>
                  <w:rFonts w:eastAsia="Andale Sans UI" w:cs="Tahoma"/>
                  <w:szCs w:val="24"/>
                  <w:lang w:bidi="en-US"/>
                </w:rPr>
                <w:t>.</w:t>
                <w:tab/>
                <w:t>Socialinės apsaugos ir darbo ministerija;</w:t>
              </w:r>
            </w:p>
          </w:sdtContent>
        </w:sdt>
        <w:sdt>
          <w:sdtPr>
            <w:alias w:val="25 p."/>
            <w:tag w:val="part_5920955d493e4f84b56abf30fc35b3bb"/>
            <w:lock w:val="sdtLocked"/>
            <w:richText/>
          </w:sdtPr>
          <w:sdtContent>
            <w:p>
              <w:pPr>
                <w:spacing w:line="360" w:lineRule="auto"/>
                <w:ind w:left="720" w:hanging="360"/>
                <w:rPr>
                  <w:rFonts w:eastAsia="Andale Sans UI" w:cs="Tahoma"/>
                  <w:szCs w:val="24"/>
                  <w:lang w:bidi="en-US"/>
                </w:rPr>
              </w:pPr>
              <w:sdt>
                <w:sdtPr>
                  <w:alias w:val="Numeris"/>
                  <w:tag w:val="nr_5920955d493e4f84b56abf30fc35b3bb"/>
                  <w:lock w:val="sdtLocked"/>
                  <w:richText/>
                </w:sdtPr>
                <w:sdtContent>
                  <w:r>
                    <w:rPr>
                      <w:rFonts w:eastAsia="Andale Sans UI" w:cs="Tahoma"/>
                      <w:szCs w:val="24"/>
                      <w:lang w:bidi="en-US"/>
                    </w:rPr>
                    <w:t>25</w:t>
                  </w:r>
                </w:sdtContent>
              </w:sdt>
              <w:r>
                <w:rPr>
                  <w:rFonts w:eastAsia="Andale Sans UI" w:cs="Tahoma"/>
                  <w:szCs w:val="24"/>
                  <w:lang w:bidi="en-US"/>
                </w:rPr>
                <w:t>.</w:t>
                <w:tab/>
                <w:t>Krašto apsaugos ministerija;</w:t>
              </w:r>
            </w:p>
          </w:sdtContent>
        </w:sdt>
        <w:sdt>
          <w:sdtPr>
            <w:alias w:val="26 p."/>
            <w:tag w:val="part_1c55c290dc89476a9fbaf16e73985180"/>
            <w:lock w:val="sdtLocked"/>
            <w:richText/>
          </w:sdtPr>
          <w:sdtContent>
            <w:p>
              <w:pPr>
                <w:spacing w:line="360" w:lineRule="auto"/>
                <w:ind w:left="720" w:hanging="360"/>
                <w:rPr>
                  <w:rFonts w:eastAsia="Andale Sans UI" w:cs="Tahoma"/>
                  <w:szCs w:val="24"/>
                  <w:lang w:bidi="en-US"/>
                </w:rPr>
              </w:pPr>
              <w:sdt>
                <w:sdtPr>
                  <w:alias w:val="Numeris"/>
                  <w:tag w:val="nr_1c55c290dc89476a9fbaf16e73985180"/>
                  <w:lock w:val="sdtLocked"/>
                  <w:richText/>
                </w:sdtPr>
                <w:sdtContent>
                  <w:r>
                    <w:rPr>
                      <w:rFonts w:eastAsia="Andale Sans UI" w:cs="Tahoma"/>
                      <w:szCs w:val="24"/>
                      <w:lang w:bidi="en-US"/>
                    </w:rPr>
                    <w:t>26</w:t>
                  </w:r>
                </w:sdtContent>
              </w:sdt>
              <w:r>
                <w:rPr>
                  <w:rFonts w:eastAsia="Andale Sans UI" w:cs="Tahoma"/>
                  <w:szCs w:val="24"/>
                  <w:lang w:bidi="en-US"/>
                </w:rPr>
                <w:t>.</w:t>
                <w:tab/>
                <w:t>Teisingumo ministerija;</w:t>
              </w:r>
            </w:p>
          </w:sdtContent>
        </w:sdt>
        <w:sdt>
          <w:sdtPr>
            <w:alias w:val="27 p."/>
            <w:tag w:val="part_de265844ced642778b9d0c3e2a9c1375"/>
            <w:lock w:val="sdtLocked"/>
            <w:richText/>
          </w:sdtPr>
          <w:sdtContent>
            <w:p>
              <w:pPr>
                <w:spacing w:line="360" w:lineRule="auto"/>
                <w:ind w:left="720" w:hanging="360"/>
                <w:rPr>
                  <w:rFonts w:eastAsia="Andale Sans UI" w:cs="Tahoma"/>
                  <w:szCs w:val="24"/>
                  <w:lang w:bidi="en-US"/>
                </w:rPr>
              </w:pPr>
              <w:sdt>
                <w:sdtPr>
                  <w:alias w:val="Numeris"/>
                  <w:tag w:val="nr_de265844ced642778b9d0c3e2a9c1375"/>
                  <w:lock w:val="sdtLocked"/>
                  <w:richText/>
                </w:sdtPr>
                <w:sdtContent>
                  <w:r>
                    <w:rPr>
                      <w:rFonts w:eastAsia="Andale Sans UI" w:cs="Tahoma"/>
                      <w:szCs w:val="24"/>
                      <w:lang w:bidi="en-US"/>
                    </w:rPr>
                    <w:t>27</w:t>
                  </w:r>
                </w:sdtContent>
              </w:sdt>
              <w:r>
                <w:rPr>
                  <w:rFonts w:eastAsia="Andale Sans UI" w:cs="Tahoma"/>
                  <w:szCs w:val="24"/>
                  <w:lang w:bidi="en-US"/>
                </w:rPr>
                <w:t>.</w:t>
                <w:tab/>
                <w:t>Specialiųjų tyrimų tarnyba;</w:t>
              </w:r>
            </w:p>
          </w:sdtContent>
        </w:sdt>
        <w:sdt>
          <w:sdtPr>
            <w:alias w:val="28 p."/>
            <w:tag w:val="part_45706ef46240466c8efd86784d7dd9ba"/>
            <w:lock w:val="sdtLocked"/>
            <w:richText/>
          </w:sdtPr>
          <w:sdtContent>
            <w:p>
              <w:pPr>
                <w:spacing w:line="360" w:lineRule="auto"/>
                <w:ind w:left="720" w:hanging="360"/>
                <w:rPr>
                  <w:rFonts w:eastAsia="Andale Sans UI" w:cs="Tahoma"/>
                  <w:szCs w:val="24"/>
                  <w:lang w:bidi="en-US"/>
                </w:rPr>
              </w:pPr>
              <w:sdt>
                <w:sdtPr>
                  <w:alias w:val="Numeris"/>
                  <w:tag w:val="nr_45706ef46240466c8efd86784d7dd9ba"/>
                  <w:lock w:val="sdtLocked"/>
                  <w:richText/>
                </w:sdtPr>
                <w:sdtContent>
                  <w:r>
                    <w:rPr>
                      <w:rFonts w:eastAsia="Andale Sans UI" w:cs="Tahoma"/>
                      <w:szCs w:val="24"/>
                      <w:lang w:bidi="en-US"/>
                    </w:rPr>
                    <w:t>28</w:t>
                  </w:r>
                </w:sdtContent>
              </w:sdt>
              <w:r>
                <w:rPr>
                  <w:rFonts w:eastAsia="Andale Sans UI" w:cs="Tahoma"/>
                  <w:szCs w:val="24"/>
                  <w:lang w:bidi="en-US"/>
                </w:rPr>
                <w:t>.</w:t>
                <w:tab/>
                <w:t>Valstybinė duomenų apsaugos inspekcija;</w:t>
              </w:r>
            </w:p>
          </w:sdtContent>
        </w:sdt>
        <w:sdt>
          <w:sdtPr>
            <w:alias w:val="29 p."/>
            <w:tag w:val="part_b1e33dd749da4832ad2ded278b303b95"/>
            <w:lock w:val="sdtLocked"/>
            <w:richText/>
          </w:sdtPr>
          <w:sdtContent>
            <w:p>
              <w:pPr>
                <w:spacing w:line="360" w:lineRule="auto"/>
                <w:ind w:left="720" w:hanging="360"/>
                <w:rPr>
                  <w:rFonts w:eastAsia="Andale Sans UI" w:cs="Tahoma"/>
                  <w:szCs w:val="24"/>
                  <w:lang w:bidi="en-US"/>
                </w:rPr>
              </w:pPr>
              <w:sdt>
                <w:sdtPr>
                  <w:alias w:val="Numeris"/>
                  <w:tag w:val="nr_b1e33dd749da4832ad2ded278b303b95"/>
                  <w:lock w:val="sdtLocked"/>
                  <w:richText/>
                </w:sdtPr>
                <w:sdtContent>
                  <w:r>
                    <w:rPr>
                      <w:rFonts w:eastAsia="Andale Sans UI" w:cs="Tahoma"/>
                      <w:szCs w:val="24"/>
                      <w:lang w:bidi="en-US"/>
                    </w:rPr>
                    <w:t>29</w:t>
                  </w:r>
                </w:sdtContent>
              </w:sdt>
              <w:r>
                <w:rPr>
                  <w:rFonts w:eastAsia="Andale Sans UI" w:cs="Tahoma"/>
                  <w:szCs w:val="24"/>
                  <w:lang w:bidi="en-US"/>
                </w:rPr>
                <w:t>.</w:t>
                <w:tab/>
                <w:t>VšĮ „Transporto kompetencijų agentūra“;</w:t>
              </w:r>
            </w:p>
          </w:sdtContent>
        </w:sdt>
        <w:sdt>
          <w:sdtPr>
            <w:alias w:val="30 p."/>
            <w:tag w:val="part_c6922640d0604ed59aa20d6507502218"/>
            <w:lock w:val="sdtLocked"/>
            <w:richText/>
          </w:sdtPr>
          <w:sdtContent>
            <w:p>
              <w:pPr>
                <w:spacing w:line="360" w:lineRule="auto"/>
                <w:ind w:left="720" w:hanging="360"/>
                <w:rPr>
                  <w:rFonts w:eastAsia="Andale Sans UI" w:cs="Tahoma"/>
                  <w:szCs w:val="24"/>
                  <w:lang w:bidi="en-US"/>
                </w:rPr>
              </w:pPr>
              <w:sdt>
                <w:sdtPr>
                  <w:alias w:val="Numeris"/>
                  <w:tag w:val="nr_c6922640d0604ed59aa20d6507502218"/>
                  <w:lock w:val="sdtLocked"/>
                  <w:richText/>
                </w:sdtPr>
                <w:sdtContent>
                  <w:r>
                    <w:rPr>
                      <w:rFonts w:eastAsia="Andale Sans UI" w:cs="Tahoma"/>
                      <w:szCs w:val="24"/>
                      <w:lang w:bidi="en-US"/>
                    </w:rPr>
                    <w:t>30</w:t>
                  </w:r>
                </w:sdtContent>
              </w:sdt>
              <w:r>
                <w:rPr>
                  <w:rFonts w:eastAsia="Andale Sans UI" w:cs="Tahoma"/>
                  <w:szCs w:val="24"/>
                  <w:lang w:bidi="en-US"/>
                </w:rPr>
                <w:t>.</w:t>
                <w:tab/>
                <w:t>Lietuvos transporto saugos administracija.</w:t>
              </w:r>
            </w:p>
          </w:sdtContent>
        </w:sdt>
      </w:sdtContent>
    </w:sdt>
    <w:sectPr>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r>
      <w:rPr>
        <w:rFonts w:ascii="Arial" w:eastAsia="Andale Sans UI" w:hAnsi="Arial" w:cs="Tahoma"/>
        <w:spacing w:val="16"/>
        <w:sz w:val="10"/>
        <w:szCs w:val="24"/>
        <w:lang w:val="en-US" w:bidi="en-US"/>
      </w:rPr>
      <w:t xml:space="preserve">Dokumento paieškos nuoroda:  </w:t>
    </w:r>
    <w:r>
      <w:rPr>
        <w:rFonts w:eastAsia="Andale Sans UI" w:cs="Tahoma"/>
        <w:spacing w:val="16"/>
        <w:sz w:val="10"/>
        <w:szCs w:val="24"/>
        <w:lang w:val="en-US" w:bidi="en-US"/>
      </w:rPr>
      <w:t>Document1</w: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5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5288842">
      <w:bodyDiv w:val="1"/>
      <w:marLeft w:val="0"/>
      <w:marRight w:val="0"/>
      <w:marTop w:val="0"/>
      <w:marBottom w:val="0"/>
      <w:divBdr>
        <w:top w:val="none" w:sz="0" w:space="0" w:color="auto"/>
        <w:left w:val="none" w:sz="0" w:space="0" w:color="auto"/>
        <w:bottom w:val="none" w:sz="0" w:space="0" w:color="auto"/>
        <w:right w:val="none" w:sz="0" w:space="0" w:color="auto"/>
      </w:divBdr>
    </w:div>
    <w:div w:id="305279658">
      <w:bodyDiv w:val="1"/>
      <w:marLeft w:val="0"/>
      <w:marRight w:val="0"/>
      <w:marTop w:val="0"/>
      <w:marBottom w:val="0"/>
      <w:divBdr>
        <w:top w:val="none" w:sz="0" w:space="0" w:color="auto"/>
        <w:left w:val="none" w:sz="0" w:space="0" w:color="auto"/>
        <w:bottom w:val="none" w:sz="0" w:space="0" w:color="auto"/>
        <w:right w:val="none" w:sz="0" w:space="0" w:color="auto"/>
      </w:divBdr>
    </w:div>
    <w:div w:id="1183788762">
      <w:bodyDiv w:val="1"/>
      <w:marLeft w:val="0"/>
      <w:marRight w:val="0"/>
      <w:marTop w:val="0"/>
      <w:marBottom w:val="0"/>
      <w:divBdr>
        <w:top w:val="none" w:sz="0" w:space="0" w:color="auto"/>
        <w:left w:val="none" w:sz="0" w:space="0" w:color="auto"/>
        <w:bottom w:val="none" w:sz="0" w:space="0" w:color="auto"/>
        <w:right w:val="none" w:sz="0" w:space="0" w:color="auto"/>
      </w:divBdr>
    </w:div>
    <w:div w:id="1260867198">
      <w:bodyDiv w:val="1"/>
      <w:marLeft w:val="0"/>
      <w:marRight w:val="0"/>
      <w:marTop w:val="0"/>
      <w:marBottom w:val="0"/>
      <w:divBdr>
        <w:top w:val="none" w:sz="0" w:space="0" w:color="auto"/>
        <w:left w:val="none" w:sz="0" w:space="0" w:color="auto"/>
        <w:bottom w:val="none" w:sz="0" w:space="0" w:color="auto"/>
        <w:right w:val="none" w:sz="0" w:space="0" w:color="auto"/>
      </w:divBdr>
    </w:div>
    <w:div w:id="1427076575">
      <w:bodyDiv w:val="1"/>
      <w:marLeft w:val="0"/>
      <w:marRight w:val="0"/>
      <w:marTop w:val="0"/>
      <w:marBottom w:val="0"/>
      <w:divBdr>
        <w:top w:val="none" w:sz="0" w:space="0" w:color="auto"/>
        <w:left w:val="none" w:sz="0" w:space="0" w:color="auto"/>
        <w:bottom w:val="none" w:sz="0" w:space="0" w:color="auto"/>
        <w:right w:val="none" w:sz="0" w:space="0" w:color="auto"/>
      </w:divBdr>
    </w:div>
    <w:div w:id="194079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8" ma:contentTypeDescription="Create a new document." ma:contentTypeScope="" ma:versionID="c40857f3cf86a7d4f083e4d38bdca69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010680e02a51ec9a08751f8e6c19e373"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hidden="true"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hidden="true" ma:internalName="MediaServiceOCR" ma:readOnly="true">
      <xsd:simpleType>
        <xsd:restriction base="dms:Note"/>
      </xsd:simpleType>
    </xsd:element>
    <xsd:element name="MediaServiceLocation" ma:index="19" nillable="true" ma:displayName="Location" ma:hidden="true" ma:internalName="MediaServiceLocation" ma:readOnly="true">
      <xsd:simpleType>
        <xsd:restriction base="dms:Text"/>
      </xsd:simpleType>
    </xsd:element>
    <xsd:element name="MediaLengthInSeconds" ma:index="20" nillable="true" ma:displayName="Length (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hidden="true" ma:internalName="SharedWithDetails" ma:readOnly="true">
      <xsd:simpleType>
        <xsd:restriction base="dms:Note"/>
      </xsd:simpleType>
    </xsd:element>
    <xsd:element name="TaxCatchAll" ma:index="23" nillable="true" ma:displayName="Taxonomy Catch All Column" ma:hidden="true" ma:list="{dde36950-9db2-4bd5-ad22-c7fd61453dde}" ma:internalName="TaxCatchAll" ma:readOnly="false"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ee11fc0e2958461f85c471182b899c9c" PartId="1cbeafdd29f3465db8977022ef2092af"/>
  <Part Type="pastraipa" DocPartId="14bce1150c164ed0824902cb286f6a0d" PartId="b2575fc0a1884fe4b1dc3c41b6b3e204"/>
  <Part Type="pastraipa" DocPartId="623cae1cecf0435a8e3b43194c5cec76" PartId="a0248da4a9cd4ca9848f9f5c333921fe"/>
  <Part Type="pastraipa" DocPartId="833efbb76dcd46c7bdb65ab8a6afa637" PartId="3d5f4328518d432c9c298e1202c49457"/>
  <Part Type="pastraipa" DocPartId="0a6176ce26714bf2be9306e931debba3" PartId="d4c7bd0c543f47ecbfe0d26d5c80f3b4">
    <Part Type="punktas" Nr="1" Abbr="1 p." DocPartId="98fb8c8d30564e53a0de5afdbb76ff1d" PartId="b2d1e78b864c4f52b9a18e07fe498a4c"/>
    <Part Type="punktas" Nr="2" Abbr="2 p." DocPartId="b725d581a1df45d68d425844ddae1c79" PartId="5c5fccfac08a40bf965b2b2bafc1e80d"/>
    <Part Type="punktas" Nr="3" Abbr="3 p." DocPartId="f56c1cc2a06540629edfac25790f9038" PartId="c1adf67958934c439cb4469f6d9d54fa"/>
    <Part Type="punktas" Nr="4" Abbr="4 p." DocPartId="b347998d7d5a4ec9bcc56f3f845e20e7" PartId="b01dca96df4a4becb3c264b35de30061"/>
    <Part Type="punktas" Nr="1" Abbr="1 p." Notes="Numeris ne iš eilės. Trūksta dalių? [DocDalys]" DocPartId="5bf43f967ec1404580d952bc71a46625" PartId="433304d1d9694896bdd3d0ca5d44c38e"/>
    <Part Type="punktas" Nr="2" Abbr="2 p." DocPartId="757e9976bac845b7b446ff9376c8d320" PartId="563f5c90c4d34a569a2d1a6c6ec00436"/>
    <Part Type="punktas" Nr="3" Abbr="3 p." DocPartId="989ffc7e1e064ae49391df7e1415d09f" PartId="a2af326530bc4cef8a4b05b018e29ccf"/>
    <Part Type="punktas" Nr="4" Abbr="4 p." DocPartId="10f30017c0b446f1b661436f95c8652b" PartId="f592fc38e015469888f8224760459a6c"/>
    <Part Type="punktas" Nr="5" Abbr="5 p." DocPartId="46bc83366a5348bb85768cc48a78abde" PartId="d829948fbe5546eabd05a40cb9b07d2c"/>
    <Part Type="punktas" Nr="1" Abbr="1 p." Notes="Numeris ne iš eilės. Trūksta dalių? [DocDalys]" DocPartId="f470aa99174442548b1f32a10637640e" PartId="a6d0ac95f44e42f8be798954c7c38b1d"/>
    <Part Type="punktas" Nr="2" Abbr="2 p." DocPartId="c4787b3eaad44becafd79847d68c7626" PartId="4a61b898ca8649e992ff17812075d276"/>
    <Part Type="punktas" Nr="3" Abbr="3 p." DocPartId="fe620c03bb7b46369728f51ab55daa12" PartId="525af5edd701487b90a0bf7d1667753e"/>
    <Part Type="punktas" Nr="4" Abbr="4 p." DocPartId="90734bb8200b4676af284bc6fb26af62" PartId="90008f2287254d288859668a0f68341b"/>
    <Part Type="punktas" Nr="5" Abbr="5 p." DocPartId="a84103b028a74f66a4188e8612f3f1b1" PartId="81b30e03c31643c9903172a2b1805568"/>
    <Part Type="punktas" Nr="6" Abbr="6 p." DocPartId="cbe074263eb645fab6ab8991861be967" PartId="43ce68de20f7497982c660346e65bd0e"/>
    <Part Type="punktas" Nr="7" Abbr="7 p." DocPartId="2b56fd38e05645f99572bdc8df45935d" PartId="445fd9501d21488f9fccaf4d4ec3d4f7"/>
    <Part Type="punktas" Nr="8" Abbr="8 p." DocPartId="a67e479635544a5ba94958d30ebed82d" PartId="8c8724203c0047bfb1abd3794df2ebba"/>
    <Part Type="punktas" Nr="9" Abbr="9 p." DocPartId="42d5f73fb82d4f5a9f9c50deb51ed014" PartId="e36fa2b920e2451aaeeecd7853b400f7"/>
    <Part Type="punktas" Nr="10" Abbr="10 p." DocPartId="3465d8edf6084b349685052f6c1d9dd2" PartId="6f302b5a12704f5e8295034ef7f1a915"/>
    <Part Type="punktas" Nr="11" Abbr="11 p." DocPartId="84d42921f3e147659a844d28f6521f1e" PartId="ed2f8fda85194e6ea85ac96ab0f393a6"/>
    <Part Type="punktas" Nr="12" Abbr="12 p." DocPartId="c653d6e70ff442a5afc75f2a56c757f8" PartId="7c5406f1a05e4c60bf92a993e251d3a3"/>
    <Part Type="punktas" Nr="13" Abbr="13 p." DocPartId="3adc2f26405349e097f029cded0abd76" PartId="7af8f19b20e048b1a10f35cc99a3d1c7"/>
    <Part Type="punktas" Nr="14" Abbr="14 p." DocPartId="fb70decb478a44cd892a75a5956d18e4" PartId="49026af377de4ba1bc1d65c708c03b4a"/>
    <Part Type="punktas" Nr="15" Abbr="15 p." DocPartId="70a90d6dad2145708a52cf7377b86cc8" PartId="d8e6d4f8816a4b7093e9c23661ba81b2"/>
    <Part Type="punktas" Nr="16" Abbr="16 p." DocPartId="b91f5bff46244a26b784fcee48c8e27b" PartId="53a36f5c66fd4b90b4ff584f6c52018f"/>
    <Part Type="punktas" Nr="17" Abbr="17 p." DocPartId="28f6bda3d346465293226c9530978524" PartId="71a2587fd1bb420d8782102c0feaa68d"/>
    <Part Type="punktas" Nr="18" Abbr="18 p." DocPartId="9dc98a9305d6447883db0044ae1276b3" PartId="7b2036cd553f4bd19bb0fb13bd00504b"/>
    <Part Type="punktas" Nr="19" Abbr="19 p." DocPartId="78e3231117a04090820943a31531247b" PartId="1d9d1047be5d49c1889edc20d06811af"/>
    <Part Type="punktas" Nr="20" Abbr="20 p." DocPartId="e290497a63e24e00931cd44a10ba4bf2" PartId="e6280dfa3a06477995c4dfcceb48552c"/>
    <Part Type="punktas" Nr="21" Abbr="21 p." DocPartId="9e8ac80184224a5a853ae856ec6f3450" PartId="677d726ce9a846df96f45f93d4d237e8"/>
    <Part Type="punktas" Nr="22" Abbr="22 p." DocPartId="ee1d00d4cd41401d8df84600250fa2da" PartId="baad02a4bdff46f499f2cbebe22951c0"/>
    <Part Type="punktas" Nr="23" Abbr="23 p." DocPartId="ba8b9a2798d3456aa23c3f9abe9d144c" PartId="d3f675858f874b2184f22f76a8d84514"/>
    <Part Type="punktas" Nr="24" Abbr="24 p." DocPartId="c12f273c20f74158b68e4740c9f2e99a" PartId="9c08a5320b164947b96b23c10029d439"/>
    <Part Type="punktas" Nr="25" Abbr="25 p." DocPartId="eecb42d00bb749a8b8306f526fd8ecea" PartId="5920955d493e4f84b56abf30fc35b3bb"/>
    <Part Type="punktas" Nr="26" Abbr="26 p." DocPartId="ee854f9e77d047ef868c12504f1c2f54" PartId="1c55c290dc89476a9fbaf16e73985180"/>
    <Part Type="punktas" Nr="27" Abbr="27 p." DocPartId="ad01cdcd502645ae834a4ce40e1d1142" PartId="de265844ced642778b9d0c3e2a9c1375"/>
    <Part Type="punktas" Nr="28" Abbr="28 p." DocPartId="98876d557c7547b6b9360f6b5d60122f" PartId="45706ef46240466c8efd86784d7dd9ba"/>
    <Part Type="punktas" Nr="29" Abbr="29 p." DocPartId="b23e3e64e9af4578b569bf07c8c6b2e0" PartId="b1e33dd749da4832ad2ded278b303b95"/>
    <Part Type="punktas" Nr="30" Abbr="30 p." DocPartId="7abac7d00d2846928f8baf00c3f1d0a0" PartId="c6922640d0604ed59aa20d6507502218"/>
  </Part>
</Parts>
</file>

<file path=customXml/itemProps1.xml><?xml version="1.0" encoding="utf-8"?>
<ds:datastoreItem xmlns:ds="http://schemas.openxmlformats.org/officeDocument/2006/customXml" ds:itemID="{766CC651-46B9-4D86-A661-D2C361907B6D}">
  <ds:schemaRefs>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www.w3.org/XML/1998/namespace"/>
    <ds:schemaRef ds:uri="http://purl.org/dc/dcmitype/"/>
  </ds:schemaRefs>
</ds:datastoreItem>
</file>

<file path=customXml/itemProps2.xml><?xml version="1.0" encoding="utf-8"?>
<ds:datastoreItem xmlns:ds="http://schemas.openxmlformats.org/officeDocument/2006/customXml" ds:itemID="{E35EB61B-BD39-4177-8CFB-B6C4C4D5B4CB}">
  <ds:schemaRefs>
    <ds:schemaRef ds:uri="http://schemas.microsoft.com/sharepoint/v3/contenttype/forms"/>
  </ds:schemaRefs>
</ds:datastoreItem>
</file>

<file path=customXml/itemProps3.xml><?xml version="1.0" encoding="utf-8"?>
<ds:datastoreItem xmlns:ds="http://schemas.openxmlformats.org/officeDocument/2006/customXml" ds:itemID="{AB4933A0-B608-42AA-B1B7-8097ABCC6C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998001-5231-4312-81C9-F0E21C852F94}">
  <ds:schemaRefs>
    <ds:schemaRef ds:uri="http://schemas.openxmlformats.org/officeDocument/2006/bibliography"/>
  </ds:schemaRefs>
</ds:datastoreItem>
</file>

<file path=customXml/itemProps5.xml><?xml version="1.0" encoding="utf-8"?>
<ds:datastoreItem xmlns:ds="http://schemas.openxmlformats.org/officeDocument/2006/customXml" ds:itemID="{C14A1D34-E953-424F-9EC7-5D8CAC7738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1188</Words>
  <Characters>8947</Characters>
  <Application>Microsoft Office Word</Application>
  <DocSecurity>4</DocSecurity>
  <Lines>182</Lines>
  <Paragraphs>74</Paragraphs>
  <ScaleCrop>false</ScaleCrop>
  <LinksUpToDate>false</LinksUpToDate>
  <CharactersWithSpaces>10061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2023-10-24T06:16:00Z</dcterms:created>
  <dcterms:modified xsi:type="dcterms:W3CDTF">2023-10-24T06:16:00Z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