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c337edd61d74cbd926fb994dfc142f9"/>
        <w:lock w:val="sdtLocked"/>
        <w:richText/>
      </w:sdtPr>
      <w:sdtContent>
        <w:tbl>
          <w:tblPr>
            <w:tblW w:w="0" w:type="auto"/>
            <w:tblLook w:val="04A0" w:firstRow="1" w:lastRow="0" w:firstColumn="1" w:lastColumn="0" w:noHBand="0" w:noVBand="1"/>
          </w:tblPr>
          <w:tblGrid>
            <w:gridCol w:w="9918"/>
            <w:gridCol w:w="4925"/>
          </w:tblGrid>
          <w:tr w14:paraId="1D21283E" w14:textId="77777777">
            <w:tc>
              <w:tcPr>
                <w:tcW w:w="9918" w:type="dxa"/>
              </w:tcPr>
              <w:p w14:paraId="505629FB" w14:textId="77777777">
                <w:pPr>
                  <w:tabs>
                    <w:tab w:val="center" w:pos="4819"/>
                    <w:tab w:val="right" w:pos="9638"/>
                  </w:tabs>
                </w:pPr>
              </w:p>
              <w:p w14:paraId="49C376C9" w14:textId="06F348DC">
                <w:pPr>
                  <w:widowControl w:val="0"/>
                  <w:suppressAutoHyphens/>
                  <w:jc w:val="both"/>
                  <w:rPr>
                    <w:color w:val="000000"/>
                  </w:rPr>
                </w:pPr>
              </w:p>
            </w:tc>
            <w:tc>
              <w:tcPr>
                <w:tcW w:w="4925" w:type="dxa"/>
              </w:tcPr>
              <w:p w14:paraId="5358633D" w14:textId="77777777">
                <w:pPr>
                  <w:widowControl w:val="0"/>
                  <w:suppressAutoHyphens/>
                  <w:jc w:val="both"/>
                  <w:rPr>
                    <w:color w:val="000000"/>
                  </w:rPr>
                </w:pPr>
                <w:r>
                  <w:rPr>
                    <w:color w:val="000000"/>
                  </w:rPr>
                  <w:t>PATVIRTINTA</w:t>
                </w:r>
              </w:p>
              <w:p w14:paraId="00E3F5AD" w14:textId="77777777">
                <w:pPr>
                  <w:widowControl w:val="0"/>
                  <w:suppressAutoHyphens/>
                  <w:jc w:val="both"/>
                  <w:rPr>
                    <w:color w:val="000000"/>
                  </w:rPr>
                </w:pPr>
                <w:r>
                  <w:rPr>
                    <w:color w:val="000000"/>
                  </w:rPr>
                  <w:t xml:space="preserve">Lietuvos Respublikos aplinkos ministro </w:t>
                </w:r>
              </w:p>
              <w:p w14:paraId="6AB0D67B" w14:textId="2353E450">
                <w:pPr>
                  <w:widowControl w:val="0"/>
                  <w:suppressAutoHyphens/>
                  <w:jc w:val="both"/>
                  <w:rPr>
                    <w:color w:val="000000"/>
                  </w:rPr>
                </w:pPr>
                <w:r>
                  <w:rPr>
                    <w:color w:val="000000"/>
                  </w:rPr>
                  <w:t xml:space="preserve">2023 m.               d. įsakymu Nr.</w:t>
                </w:r>
              </w:p>
            </w:tc>
          </w:tr>
        </w:tbl>
        <w:p w14:paraId="29BD4C0E" w14:textId="77777777">
          <w:pPr>
            <w:widowControl w:val="0"/>
            <w:suppressAutoHyphens/>
            <w:ind w:firstLine="567"/>
            <w:jc w:val="both"/>
            <w:rPr>
              <w:color w:val="000000"/>
            </w:rPr>
          </w:pPr>
        </w:p>
        <w:p w14:paraId="69C774E4" w14:textId="77777777">
          <w:pPr>
            <w:rPr>
              <w:rFonts w:eastAsia="Calibri"/>
              <w:sz w:val="22"/>
              <w:szCs w:val="22"/>
            </w:rPr>
          </w:pPr>
        </w:p>
      </w:sdtContent>
    </w:sdt>
    <w:sdt>
      <w:sdtPr>
        <w:alias w:val="lentele"/>
        <w:tag w:val="part_dace918e2d9445cf8febbb1af53698e1"/>
        <w:lock w:val="sdtLocked"/>
        <w:richText/>
      </w:sdtPr>
      <w:sdtContent>
        <w:p w14:paraId="7408B536" w14:textId="08DD9D09">
          <w:pPr>
            <w:jc w:val="center"/>
            <w:rPr>
              <w:rFonts w:eastAsia="Calibri"/>
              <w:b/>
              <w:bCs/>
              <w:szCs w:val="24"/>
            </w:rPr>
          </w:pPr>
          <w:sdt>
            <w:sdtPr>
              <w:alias w:val="Pavadinimas"/>
              <w:tag w:val="title_dace918e2d9445cf8febbb1af53698e1"/>
              <w:lock w:val="sdtLocked"/>
              <w:richText/>
            </w:sdtPr>
            <w:sdtContent>
              <w:r>
                <w:rPr>
                  <w:rFonts w:eastAsia="Calibri"/>
                  <w:b/>
                  <w:bCs/>
                  <w:szCs w:val="24"/>
                </w:rPr>
                <w:t>DARBUOTOJŲ, DIRBANČIŲ SU STACIONARIOMIS PRIEŠGAISRINĖMIS SISTEMOMIS IR GESINTUVAIS, KURIUOSE YRA FLUORINTŲ ŠILTNAMIO EFEKTĄ SUKELIANČIŲ DUJŲ AR OZONO SLUOKSNĮ ARDANČIŲ MEDŽIAGŲ, SERTIFIKAVIMO IR KVALIFIKACIJOS TOBULINIMO PROGRAMA</w:t>
              </w:r>
            </w:sdtContent>
          </w:sdt>
        </w:p>
        <w:p w14:paraId="5BA2352F" w14:textId="77777777">
          <w:pPr>
            <w:jc w:val="center"/>
            <w:rPr>
              <w:rFonts w:eastAsia="Calibri"/>
              <w:b/>
              <w:bCs/>
              <w:szCs w:val="24"/>
            </w:rPr>
          </w:pPr>
        </w:p>
        <w:tbl>
          <w:tblPr>
            <w:tblW w:w="496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5127"/>
            <w:gridCol w:w="2592"/>
            <w:gridCol w:w="1706"/>
            <w:gridCol w:w="1553"/>
            <w:gridCol w:w="1715"/>
            <w:gridCol w:w="1565"/>
          </w:tblGrid>
          <w:tr w14:paraId="26A862C2"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0D1CD873" w14:textId="71978DEC">
                <w:pPr>
                  <w:jc w:val="center"/>
                  <w:rPr>
                    <w:b/>
                    <w:szCs w:val="24"/>
                    <w:lang w:eastAsia="lt-LT"/>
                  </w:rPr>
                </w:pPr>
                <w:r>
                  <w:rPr>
                    <w:b/>
                    <w:szCs w:val="24"/>
                    <w:lang w:eastAsia="lt-LT"/>
                  </w:rPr>
                  <w:t>MOKYMO P</w:t>
                </w:r>
                <w:r>
                  <w:rPr>
                    <w:b/>
                    <w:bCs/>
                    <w:szCs w:val="24"/>
                    <w:lang w:eastAsia="lt-LT"/>
                  </w:rPr>
                  <w:t>ROGRAMOS APRAŠAS</w:t>
                </w:r>
              </w:p>
            </w:tc>
          </w:tr>
          <w:tr w14:paraId="08D23BB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7A46CA77" w14:textId="0FBB8CAB">
                <w:pPr>
                  <w:jc w:val="both"/>
                  <w:rPr>
                    <w:i/>
                    <w:szCs w:val="24"/>
                    <w:lang w:eastAsia="lt-LT"/>
                  </w:rPr>
                </w:pPr>
                <w:r>
                  <w:rPr>
                    <w:b/>
                    <w:szCs w:val="24"/>
                    <w:lang w:eastAsia="lt-LT"/>
                  </w:rPr>
                  <w:t>Bendrosios nuostatos</w:t>
                </w:r>
              </w:p>
            </w:tc>
          </w:tr>
          <w:tr w14:paraId="5E11E45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044947A1" w14:textId="77777777">
                <w:pPr>
                  <w:rPr>
                    <w:szCs w:val="24"/>
                    <w:lang w:eastAsia="lt-LT"/>
                  </w:rPr>
                </w:pPr>
                <w:r>
                  <w:rPr>
                    <w:szCs w:val="24"/>
                    <w:lang w:eastAsia="lt-LT"/>
                  </w:rPr>
                  <w:t>1.1. Programos aktualumas</w:t>
                </w:r>
              </w:p>
            </w:tc>
            <w:tc>
              <w:tcPr>
                <w:tcW w:w="3051" w:type="pct"/>
                <w:gridSpan w:val="5"/>
                <w:tcBorders>
                  <w:top w:val="single" w:sz="4" w:space="0" w:color="auto"/>
                  <w:left w:val="single" w:sz="4" w:space="0" w:color="auto"/>
                  <w:bottom w:val="single" w:sz="4" w:space="0" w:color="auto"/>
                  <w:right w:val="single" w:sz="4" w:space="0" w:color="auto"/>
                </w:tcBorders>
              </w:tcPr>
              <w:p w14:paraId="0A4D99CC" w14:textId="004A3367">
                <w:pPr>
                  <w:jc w:val="both"/>
                  <w:rPr>
                    <w:szCs w:val="24"/>
                    <w:lang w:eastAsia="lt-LT"/>
                  </w:rPr>
                </w:pPr>
                <w:r>
                  <w:rPr>
                    <w:szCs w:val="24"/>
                    <w:lang w:eastAsia="lt-LT"/>
                  </w:rPr>
                  <w:t>Lietuvoje naudojamos gaisro gesinimo sistemos su fluorintomis šiltnamio efektą sukeliančiomis dujomis (toliau – F-dujos). Norint pasiekti nacionalinius ir Europos Sąjungos klimato neutralumo tikslus, būtina užtikrinti tinkamą šių sistemų įrengimą ir sandarumą vykdant reguliarius stacionarių gaisro gesinimo sistemų, patikrinimus, siekiant sumažinti ir išvengti nuotėkių, naudoti F-dujas pakeičiančias alternatyvas.</w:t>
                </w:r>
              </w:p>
            </w:tc>
          </w:tr>
          <w:tr w14:paraId="7DAE6AF6"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6F712D59" w14:textId="77777777">
                <w:pPr>
                  <w:rPr>
                    <w:szCs w:val="24"/>
                    <w:lang w:eastAsia="lt-LT"/>
                  </w:rPr>
                </w:pPr>
                <w:r>
                  <w:rPr>
                    <w:szCs w:val="24"/>
                    <w:lang w:eastAsia="lt-LT"/>
                  </w:rPr>
                  <w:t>1.2. Tikslas ir uždaviniai</w:t>
                </w:r>
              </w:p>
            </w:tc>
            <w:tc>
              <w:tcPr>
                <w:tcW w:w="3051" w:type="pct"/>
                <w:gridSpan w:val="5"/>
                <w:tcBorders>
                  <w:top w:val="single" w:sz="4" w:space="0" w:color="auto"/>
                  <w:left w:val="single" w:sz="4" w:space="0" w:color="auto"/>
                  <w:bottom w:val="single" w:sz="4" w:space="0" w:color="auto"/>
                  <w:right w:val="single" w:sz="4" w:space="0" w:color="auto"/>
                </w:tcBorders>
              </w:tcPr>
              <w:p w14:paraId="63E5B06E" w14:textId="4B678C02">
                <w:pPr>
                  <w:jc w:val="both"/>
                  <w:rPr>
                    <w:szCs w:val="24"/>
                    <w:lang w:eastAsia="lt-LT"/>
                  </w:rPr>
                </w:pPr>
                <w:r>
                  <w:rPr>
                    <w:szCs w:val="24"/>
                    <w:lang w:eastAsia="lt-LT"/>
                  </w:rPr>
                  <w:t xml:space="preserve">Parengti kvalifikuotus darbuotojus arba atnaujinti darbuotojų žinias kvalifikacijos tobulinimo kursuose, kad asmenys gebėtų pagal visus saugos reikalavimus montuoti,  atlikti techninę priežiūrą ir nuotėkių tikrinimą, remontą ar eksploatacijos nutraukimą, F-dujų surinkimą iš stacionarios gaisro gesinimo įrangos.</w:t>
                </w:r>
              </w:p>
            </w:tc>
          </w:tr>
          <w:tr w14:paraId="78F4E4EA"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274A5B00" w14:textId="31B824D2">
                <w:pPr>
                  <w:rPr>
                    <w:szCs w:val="24"/>
                    <w:lang w:eastAsia="lt-LT"/>
                  </w:rPr>
                </w:pPr>
                <w:r>
                  <w:rPr>
                    <w:szCs w:val="24"/>
                    <w:lang w:eastAsia="lt-LT"/>
                  </w:rPr>
                  <w:t>1.3. Programos trukmė įskaitant teorinį ir praktinį mokymą</w:t>
                </w:r>
              </w:p>
            </w:tc>
            <w:tc>
              <w:tcPr>
                <w:tcW w:w="3051" w:type="pct"/>
                <w:gridSpan w:val="5"/>
                <w:tcBorders>
                  <w:top w:val="single" w:sz="4" w:space="0" w:color="auto"/>
                  <w:left w:val="single" w:sz="4" w:space="0" w:color="auto"/>
                  <w:bottom w:val="single" w:sz="4" w:space="0" w:color="auto"/>
                  <w:right w:val="single" w:sz="4" w:space="0" w:color="auto"/>
                </w:tcBorders>
              </w:tcPr>
              <w:p w14:paraId="37A96536" w14:textId="18258BE7">
                <w:pPr>
                  <w:jc w:val="both"/>
                  <w:rPr>
                    <w:szCs w:val="24"/>
                    <w:lang w:eastAsia="lt-LT"/>
                  </w:rPr>
                </w:pPr>
                <w:r>
                  <w:rPr>
                    <w:szCs w:val="24"/>
                    <w:lang w:eastAsia="lt-LT"/>
                  </w:rPr>
                  <w:t>Asmenims, norintiems įgyti kvalifikaciją, mokymo programos trukmė turi būti ne trumpesnė kaip 17 kontaktinių valandų.</w:t>
                </w:r>
              </w:p>
              <w:p w14:paraId="6A91DDBF" w14:textId="4B4C07EA">
                <w:pPr>
                  <w:jc w:val="both"/>
                  <w:rPr>
                    <w:szCs w:val="24"/>
                    <w:highlight w:val="yellow"/>
                    <w:lang w:eastAsia="lt-LT"/>
                  </w:rPr>
                </w:pPr>
                <w:r>
                  <w:rPr>
                    <w:szCs w:val="24"/>
                    <w:lang w:eastAsia="lt-LT"/>
                  </w:rPr>
                  <w:t>Darbuotojams, kas 7 metus privalantiems tobulinti kvalifikaciją, mokymo programos trukmė turi būti ne trumpesnė kaip 10,5 kontaktinių valandų.</w:t>
                </w:r>
              </w:p>
            </w:tc>
          </w:tr>
          <w:tr w14:paraId="2F88447C"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65FEE0DD" w14:textId="77777777">
                <w:pPr>
                  <w:rPr>
                    <w:szCs w:val="24"/>
                    <w:lang w:eastAsia="lt-LT"/>
                  </w:rPr>
                </w:pPr>
                <w:r>
                  <w:rPr>
                    <w:szCs w:val="24"/>
                    <w:lang w:eastAsia="lt-LT"/>
                  </w:rPr>
                  <w:t>1.4. Programos tikslinė (-ės) dalyvių grupė (grupės)</w:t>
                </w:r>
              </w:p>
            </w:tc>
            <w:tc>
              <w:tcPr>
                <w:tcW w:w="3051" w:type="pct"/>
                <w:gridSpan w:val="5"/>
                <w:tcBorders>
                  <w:top w:val="single" w:sz="4" w:space="0" w:color="auto"/>
                  <w:left w:val="single" w:sz="4" w:space="0" w:color="auto"/>
                  <w:bottom w:val="single" w:sz="4" w:space="0" w:color="auto"/>
                  <w:right w:val="single" w:sz="4" w:space="0" w:color="auto"/>
                </w:tcBorders>
              </w:tcPr>
              <w:p w14:paraId="3F40F5C6" w14:textId="7D943C1F">
                <w:pPr>
                  <w:jc w:val="both"/>
                  <w:rPr>
                    <w:szCs w:val="24"/>
                    <w:lang w:eastAsia="lt-LT"/>
                  </w:rPr>
                </w:pPr>
                <w:r>
                  <w:rPr>
                    <w:szCs w:val="24"/>
                    <w:lang w:eastAsia="lt-LT"/>
                  </w:rPr>
                  <w:t>Asmenys, norintys įgyti kvalifikaciją, – fiziniai asmenys, atitinkantys šios lentelės 1.6 papunktyje nurodytus minimalius reikalavimus, norintys gauti darbuotojų, dirbančių su F-dujomis ir ozono sluoksnį ardančiomis medžiagomis (toliau – OAM) bei jų turinčia įranga, pažymėjimus ir dirbti su stacionariomis gaisro gesinimo sistemomis.</w:t>
                </w:r>
              </w:p>
              <w:p w14:paraId="7E0561DD" w14:textId="25B0971A">
                <w:pPr>
                  <w:jc w:val="both"/>
                  <w:rPr>
                    <w:szCs w:val="24"/>
                    <w:lang w:eastAsia="lt-LT"/>
                  </w:rPr>
                </w:pPr>
                <w:r>
                  <w:rPr>
                    <w:szCs w:val="24"/>
                    <w:lang w:eastAsia="lt-LT"/>
                  </w:rPr>
                  <w:t>Asmenys, norintys tobulinti kvalifikaciją, – darbuotojai, jau įgiję darbuotojų, dirbančių su F</w:t>
                  <w:noBreakHyphen/>
                  <w:t xml:space="preserve">dujomis ir OAM, jų turinčia įranga, pažymėjimus dirbti su stacionaria gaisro gesinimo sistemomis. </w:t>
                </w:r>
              </w:p>
            </w:tc>
          </w:tr>
          <w:tr w14:paraId="1AD37ECB"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9B823CA" w14:textId="77777777">
                <w:pPr>
                  <w:rPr>
                    <w:szCs w:val="24"/>
                    <w:lang w:eastAsia="lt-LT"/>
                  </w:rPr>
                </w:pPr>
                <w:r>
                  <w:rPr>
                    <w:szCs w:val="24"/>
                    <w:lang w:eastAsia="lt-LT"/>
                  </w:rPr>
                  <w:t>1.5. Programos dalyvių skaičius</w:t>
                </w:r>
              </w:p>
            </w:tc>
            <w:tc>
              <w:tcPr>
                <w:tcW w:w="3051" w:type="pct"/>
                <w:gridSpan w:val="5"/>
                <w:tcBorders>
                  <w:top w:val="single" w:sz="4" w:space="0" w:color="auto"/>
                  <w:left w:val="single" w:sz="4" w:space="0" w:color="auto"/>
                  <w:bottom w:val="single" w:sz="4" w:space="0" w:color="auto"/>
                  <w:right w:val="single" w:sz="4" w:space="0" w:color="auto"/>
                </w:tcBorders>
              </w:tcPr>
              <w:p w14:paraId="4841AE96" w14:textId="3D2C07D7">
                <w:pPr>
                  <w:jc w:val="both"/>
                  <w:rPr>
                    <w:szCs w:val="24"/>
                    <w:lang w:eastAsia="lt-LT"/>
                  </w:rPr>
                </w:pPr>
                <w:r>
                  <w:rPr>
                    <w:szCs w:val="24"/>
                    <w:lang w:eastAsia="lt-LT"/>
                  </w:rPr>
                  <w:t>Programos dalyvių skaičius neribojamas.</w:t>
                </w:r>
              </w:p>
            </w:tc>
          </w:tr>
          <w:tr w14:paraId="24881809"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tcPr>
              <w:p w14:paraId="3EB40478" w14:textId="17108975">
                <w:pPr>
                  <w:rPr>
                    <w:szCs w:val="24"/>
                    <w:lang w:eastAsia="lt-LT"/>
                  </w:rPr>
                </w:pPr>
                <w:r>
                  <w:rPr>
                    <w:szCs w:val="24"/>
                    <w:lang w:eastAsia="lt-LT"/>
                  </w:rPr>
                  <w:t>1.6. Minimalūs reikalavimai, norint mokytis pagal programą</w:t>
                </w:r>
              </w:p>
            </w:tc>
            <w:tc>
              <w:tcPr>
                <w:tcW w:w="3051" w:type="pct"/>
                <w:gridSpan w:val="5"/>
                <w:tcBorders>
                  <w:top w:val="single" w:sz="4" w:space="0" w:color="auto"/>
                  <w:left w:val="single" w:sz="4" w:space="0" w:color="auto"/>
                  <w:bottom w:val="single" w:sz="4" w:space="0" w:color="auto"/>
                  <w:right w:val="single" w:sz="4" w:space="0" w:color="auto"/>
                </w:tcBorders>
              </w:tcPr>
              <w:p w14:paraId="1B1C3774" w14:textId="5FF2570B">
                <w:pPr>
                  <w:jc w:val="both"/>
                  <w:rPr>
                    <w:szCs w:val="24"/>
                    <w:lang w:eastAsia="lt-LT"/>
                  </w:rPr>
                </w:pPr>
                <w:r>
                  <w:rPr>
                    <w:szCs w:val="24"/>
                    <w:lang w:eastAsia="lt-LT"/>
                  </w:rPr>
                  <w:t>Asmenys, norintys įgyti kvalifikaciją, turi būti baigę gaisrinės saugos mokymus ar ugniagesybos ir gelbėjimo darbų neformaliojo profesinio mokymo programą arba pateikti 1,5 metų darbo patirtį su gaisro gesinimo įranga patvirtinantį dokumentą.</w:t>
                </w:r>
              </w:p>
            </w:tc>
          </w:tr>
          <w:tr w14:paraId="3A8E02C3" w14:textId="77777777">
            <w:trPr>
              <w:trHeight w:val="20"/>
              <w:jc w:val="center"/>
            </w:trPr>
            <w:tc>
              <w:tcPr>
                <w:tcW w:w="1949" w:type="pct"/>
                <w:gridSpan w:val="2"/>
                <w:tcBorders>
                  <w:top w:val="single" w:sz="4" w:space="0" w:color="auto"/>
                  <w:left w:val="single" w:sz="4" w:space="0" w:color="auto"/>
                  <w:bottom w:val="single" w:sz="4" w:space="0" w:color="auto"/>
                  <w:right w:val="single" w:sz="4" w:space="0" w:color="auto"/>
                </w:tcBorders>
                <w:shd w:val="clear" w:color="auto" w:fill="E6E6E6"/>
                <w:hideMark/>
              </w:tcPr>
              <w:p w14:paraId="140EE245" w14:textId="6D713608">
                <w:pPr>
                  <w:rPr>
                    <w:szCs w:val="24"/>
                    <w:lang w:eastAsia="lt-LT"/>
                  </w:rPr>
                </w:pPr>
                <w:r>
                  <w:rPr>
                    <w:szCs w:val="24"/>
                    <w:lang w:eastAsia="lt-LT"/>
                  </w:rPr>
                  <w:t>1.7. Programos anotacija</w:t>
                </w:r>
              </w:p>
            </w:tc>
            <w:tc>
              <w:tcPr>
                <w:tcW w:w="3051" w:type="pct"/>
                <w:gridSpan w:val="5"/>
                <w:tcBorders>
                  <w:top w:val="single" w:sz="4" w:space="0" w:color="auto"/>
                  <w:left w:val="single" w:sz="4" w:space="0" w:color="auto"/>
                  <w:bottom w:val="single" w:sz="4" w:space="0" w:color="auto"/>
                  <w:right w:val="single" w:sz="4" w:space="0" w:color="auto"/>
                </w:tcBorders>
              </w:tcPr>
              <w:p w14:paraId="1A0B321B" w14:textId="41227622">
                <w:pPr>
                  <w:jc w:val="both"/>
                  <w:rPr>
                    <w:szCs w:val="24"/>
                    <w:lang w:eastAsia="lt-LT"/>
                  </w:rPr>
                </w:pPr>
                <w:r>
                  <w:rPr>
                    <w:szCs w:val="24"/>
                    <w:lang w:eastAsia="lt-LT"/>
                  </w:rPr>
                  <w:t xml:space="preserve">Programa skirta stacionarios gaisro gesinimo įrangos, techninę priežiūrą ir nuotėkio patikrą, remontą ar eksploatacijos nutraukimą arba F-dujų ar OAM surinkimą atliekantiems techniniams darbuotojams ar su tokiais įrenginiais norintiems dirbti fiziniams asmenims. Mokymo programa parengta pagal 2008 m. balandžio 2 d. Europos Komisijos reglamentą </w:t>
                </w:r>
                <w:fldSimple w:instr="HYPERLINK http://eur-lex.europa.eu/legal-content/LIT/TXT/?uri=CELEX:32008R0304&amp;locale=lt \t _blank">
                  <w:r>
                    <w:rPr>
                      <w:szCs w:val="24"/>
                      <w:lang w:eastAsia="lt-LT"/>
                      <w:u w:val="single"/>
                      <w:color w:val="0000FF" w:themeColor="hyperlink"/>
                    </w:rPr>
                    <w:t>(EB) Nr. 304/2008</w:t>
                  </w:r>
                </w:fldSimple>
                <w:r>
                  <w:rPr>
                    <w:szCs w:val="24"/>
                    <w:lang w:eastAsia="lt-LT"/>
                  </w:rPr>
                  <w:t xml:space="preserve">, kuriuo pagal Europos Parlamento ir Tarybos reglamentą </w:t>
                </w:r>
                <w:fldSimple w:instr="HYPERLINK http://eur-lex.europa.eu/legal-content/LIT/TXT/?uri=CELEX:32006R0842&amp;locale=lt \t _blank">
                  <w:r>
                    <w:rPr>
                      <w:szCs w:val="24"/>
                      <w:lang w:eastAsia="lt-LT"/>
                      <w:u w:val="single"/>
                      <w:color w:val="0000FF" w:themeColor="hyperlink"/>
                    </w:rPr>
                    <w:t>(EB) Nr. 842/2006</w:t>
                  </w:r>
                </w:fldSimple>
                <w:r>
                  <w:rPr>
                    <w:szCs w:val="24"/>
                    <w:lang w:eastAsia="lt-LT"/>
                  </w:rPr>
                  <w:t xml:space="preserve">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Šią mokymo programą sėkmingai baigę asmenys savarankiškai gebės montuoti, atlikti techninę priežiūrą, remontą ar eksploatacijos nutraukimą, nuotėkio patikrinimą, F-dujų ir OAM surinkimą iš stacionarių gaisro gesinimo sistemų. </w:t>
                </w:r>
                <w:r>
                  <w:rPr>
                    <w:iCs/>
                    <w:szCs w:val="24"/>
                    <w:lang w:eastAsia="lt-LT"/>
                  </w:rPr>
                  <w:t xml:space="preserve">Teorinius ir praktinius egzaminus išlaikiusiems asmenims išduodamas </w:t>
                </w:r>
                <w:r>
                  <w:rPr>
                    <w:color w:val="000000"/>
                  </w:rPr>
                  <w:t>d</w:t>
                </w:r>
                <w:r>
                  <w:t>arbuotojo, dirbančio su fluorintomis šiltnamio efektą sukeliančiomis dujomis ir ozono sluoksnį ardančiomis medžiagomis bei jų turinčia įranga, pažymėjimas,</w:t>
                </w:r>
                <w:r>
                  <w:rPr>
                    <w:iCs/>
                    <w:color w:val="000000"/>
                    <w:szCs w:val="24"/>
                  </w:rPr>
                  <w:t xml:space="preserve"> patvirtinantys įgytą kvalifikaciją </w:t>
                </w:r>
                <w:r>
                  <w:rPr>
                    <w:iCs/>
                    <w:szCs w:val="24"/>
                  </w:rPr>
                  <w:t>dirbti</w:t>
                </w:r>
                <w:r>
                  <w:rPr>
                    <w:iCs/>
                    <w:szCs w:val="24"/>
                    <w:shd w:val="clear" w:color="auto" w:fill="FFFFFF"/>
                  </w:rPr>
                  <w:t xml:space="preserve"> su stacionariomis gaisro gesinimo sistemomis atliekant jų montavimo, nuotėkio tikrinimo, techninės priežiūros ir eksploatacijos nutraukimo darbus.</w:t>
                </w:r>
              </w:p>
            </w:tc>
          </w:tr>
          <w:tr w14:paraId="6075F5ED"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6E6E6"/>
              </w:tcPr>
              <w:p w14:paraId="519872B9" w14:textId="28D3118E">
                <w:pPr>
                  <w:rPr>
                    <w:b/>
                    <w:szCs w:val="24"/>
                    <w:lang w:eastAsia="lt-LT"/>
                  </w:rPr>
                </w:pPr>
                <w:r>
                  <w:rPr>
                    <w:b/>
                    <w:szCs w:val="24"/>
                    <w:lang w:eastAsia="lt-LT"/>
                  </w:rPr>
                  <w:t>2. Mokymo programos turinys ir minimali trukmė</w:t>
                </w:r>
              </w:p>
            </w:tc>
          </w:tr>
          <w:tr w14:paraId="2B47CD71" w14:textId="77777777">
            <w:trPr>
              <w:trHeight w:val="102"/>
              <w:jc w:val="center"/>
            </w:trPr>
            <w:tc>
              <w:tcPr>
                <w:tcW w:w="236" w:type="pct"/>
                <w:vMerge w:val="restart"/>
                <w:tcBorders>
                  <w:top w:val="single" w:sz="4" w:space="0" w:color="auto"/>
                  <w:left w:val="single" w:sz="4" w:space="0" w:color="auto"/>
                  <w:right w:val="single" w:sz="4" w:space="0" w:color="auto"/>
                </w:tcBorders>
                <w:shd w:val="clear" w:color="auto" w:fill="E7E6E6" w:themeFill="background2"/>
                <w:vAlign w:val="center"/>
              </w:tcPr>
              <w:p w14:paraId="28687352" w14:textId="77777777">
                <w:pPr>
                  <w:jc w:val="both"/>
                  <w:rPr>
                    <w:b/>
                    <w:szCs w:val="24"/>
                    <w:lang w:eastAsia="lt-LT"/>
                  </w:rPr>
                </w:pPr>
                <w:r>
                  <w:rPr>
                    <w:b/>
                    <w:szCs w:val="24"/>
                    <w:lang w:eastAsia="lt-LT"/>
                  </w:rPr>
                  <w:t>Eil. Nr.</w:t>
                </w:r>
              </w:p>
            </w:tc>
            <w:tc>
              <w:tcPr>
                <w:tcW w:w="1713" w:type="pct"/>
                <w:vMerge w:val="restart"/>
                <w:tcBorders>
                  <w:top w:val="single" w:sz="4" w:space="0" w:color="auto"/>
                  <w:left w:val="single" w:sz="4" w:space="0" w:color="auto"/>
                  <w:right w:val="single" w:sz="4" w:space="0" w:color="auto"/>
                </w:tcBorders>
                <w:shd w:val="clear" w:color="auto" w:fill="E7E6E6" w:themeFill="background2"/>
                <w:vAlign w:val="center"/>
              </w:tcPr>
              <w:p w14:paraId="4A1CCBAF" w14:textId="243D5EC9">
                <w:pPr>
                  <w:jc w:val="center"/>
                  <w:rPr>
                    <w:b/>
                    <w:szCs w:val="24"/>
                    <w:lang w:eastAsia="lt-LT"/>
                  </w:rPr>
                </w:pPr>
                <w:r>
                  <w:rPr>
                    <w:b/>
                    <w:szCs w:val="24"/>
                    <w:lang w:eastAsia="lt-LT"/>
                  </w:rPr>
                  <w:t>Būtiniausios žinios ir įgūdžiai</w:t>
                </w:r>
              </w:p>
            </w:tc>
            <w:tc>
              <w:tcPr>
                <w:tcW w:w="866" w:type="pct"/>
                <w:vMerge w:val="restart"/>
                <w:tcBorders>
                  <w:top w:val="single" w:sz="4" w:space="0" w:color="auto"/>
                  <w:left w:val="single" w:sz="4" w:space="0" w:color="auto"/>
                  <w:right w:val="single" w:sz="4" w:space="0" w:color="auto"/>
                </w:tcBorders>
                <w:shd w:val="clear" w:color="auto" w:fill="E7E6E6" w:themeFill="background2"/>
              </w:tcPr>
              <w:p w14:paraId="4973DE50" w14:textId="77777777">
                <w:pPr>
                  <w:jc w:val="center"/>
                  <w:rPr>
                    <w:b/>
                    <w:szCs w:val="24"/>
                    <w:lang w:eastAsia="lt-LT"/>
                  </w:rPr>
                </w:pPr>
              </w:p>
            </w:tc>
            <w:tc>
              <w:tcPr>
                <w:tcW w:w="2185" w:type="pct"/>
                <w:gridSpan w:val="4"/>
                <w:tcBorders>
                  <w:top w:val="single" w:sz="4" w:space="0" w:color="auto"/>
                  <w:left w:val="single" w:sz="4" w:space="0" w:color="auto"/>
                  <w:right w:val="single" w:sz="4" w:space="0" w:color="auto"/>
                </w:tcBorders>
                <w:shd w:val="clear" w:color="auto" w:fill="E7E6E6" w:themeFill="background2"/>
              </w:tcPr>
              <w:p w14:paraId="4DBEC992" w14:textId="437C4522">
                <w:pPr>
                  <w:jc w:val="center"/>
                  <w:rPr>
                    <w:b/>
                    <w:szCs w:val="24"/>
                    <w:lang w:eastAsia="lt-LT"/>
                  </w:rPr>
                </w:pPr>
                <w:r>
                  <w:rPr>
                    <w:b/>
                    <w:szCs w:val="24"/>
                    <w:lang w:eastAsia="lt-LT"/>
                  </w:rPr>
                  <w:t>Minimali mokymų trukmė</w:t>
                </w:r>
              </w:p>
            </w:tc>
          </w:tr>
          <w:tr w14:paraId="0583726E" w14:textId="77777777">
            <w:trPr>
              <w:trHeight w:val="102"/>
              <w:jc w:val="center"/>
            </w:trPr>
            <w:tc>
              <w:tcPr>
                <w:tcW w:w="236" w:type="pct"/>
                <w:vMerge/>
                <w:tcBorders>
                  <w:top w:val="single" w:sz="4" w:space="0" w:color="auto"/>
                  <w:left w:val="single" w:sz="4" w:space="0" w:color="auto"/>
                  <w:right w:val="single" w:sz="4" w:space="0" w:color="auto"/>
                </w:tcBorders>
                <w:shd w:val="clear" w:color="auto" w:fill="E7E6E6" w:themeFill="background2"/>
              </w:tcPr>
              <w:p w14:paraId="681C49B4" w14:textId="77777777">
                <w:pPr>
                  <w:jc w:val="both"/>
                  <w:rPr>
                    <w:b/>
                    <w:szCs w:val="24"/>
                    <w:lang w:eastAsia="lt-LT"/>
                  </w:rPr>
                </w:pPr>
              </w:p>
            </w:tc>
            <w:tc>
              <w:tcPr>
                <w:tcW w:w="1713" w:type="pct"/>
                <w:vMerge/>
                <w:tcBorders>
                  <w:top w:val="single" w:sz="4" w:space="0" w:color="auto"/>
                  <w:left w:val="single" w:sz="4" w:space="0" w:color="auto"/>
                  <w:right w:val="single" w:sz="4" w:space="0" w:color="auto"/>
                </w:tcBorders>
                <w:shd w:val="clear" w:color="auto" w:fill="E7E6E6" w:themeFill="background2"/>
              </w:tcPr>
              <w:p w14:paraId="20446B44" w14:textId="77777777">
                <w:pPr>
                  <w:jc w:val="center"/>
                  <w:rPr>
                    <w:b/>
                    <w:szCs w:val="24"/>
                    <w:lang w:eastAsia="lt-LT"/>
                  </w:rPr>
                </w:pPr>
              </w:p>
            </w:tc>
            <w:tc>
              <w:tcPr>
                <w:tcW w:w="866" w:type="pct"/>
                <w:vMerge/>
                <w:tcBorders>
                  <w:left w:val="single" w:sz="4" w:space="0" w:color="auto"/>
                  <w:right w:val="single" w:sz="4" w:space="0" w:color="auto"/>
                </w:tcBorders>
                <w:shd w:val="clear" w:color="auto" w:fill="E7E6E6" w:themeFill="background2"/>
              </w:tcPr>
              <w:p w14:paraId="2ABC50D9" w14:textId="77777777">
                <w:pPr>
                  <w:jc w:val="center"/>
                  <w:rPr>
                    <w:b/>
                    <w:szCs w:val="24"/>
                    <w:lang w:eastAsia="lt-LT"/>
                  </w:rPr>
                </w:pPr>
              </w:p>
            </w:tc>
            <w:tc>
              <w:tcPr>
                <w:tcW w:w="1089" w:type="pct"/>
                <w:gridSpan w:val="2"/>
                <w:tcBorders>
                  <w:top w:val="single" w:sz="4" w:space="0" w:color="auto"/>
                  <w:left w:val="single" w:sz="4" w:space="0" w:color="auto"/>
                  <w:right w:val="single" w:sz="4" w:space="0" w:color="auto"/>
                </w:tcBorders>
                <w:shd w:val="clear" w:color="auto" w:fill="E7E6E6" w:themeFill="background2"/>
                <w:vAlign w:val="center"/>
              </w:tcPr>
              <w:p w14:paraId="263E26F2" w14:textId="7A3760AB">
                <w:pPr>
                  <w:jc w:val="center"/>
                  <w:rPr>
                    <w:b/>
                    <w:szCs w:val="24"/>
                    <w:lang w:eastAsia="lt-LT"/>
                  </w:rPr>
                </w:pPr>
                <w:r>
                  <w:rPr>
                    <w:b/>
                    <w:szCs w:val="24"/>
                    <w:lang w:eastAsia="lt-LT"/>
                  </w:rPr>
                  <w:t>Asmenims, norintiems įgyti kvalifikaciją</w:t>
                </w:r>
              </w:p>
            </w:tc>
            <w:tc>
              <w:tcPr>
                <w:tcW w:w="1096" w:type="pct"/>
                <w:gridSpan w:val="2"/>
                <w:tcBorders>
                  <w:top w:val="single" w:sz="4" w:space="0" w:color="auto"/>
                  <w:left w:val="single" w:sz="4" w:space="0" w:color="auto"/>
                  <w:right w:val="single" w:sz="4" w:space="0" w:color="auto"/>
                </w:tcBorders>
                <w:shd w:val="clear" w:color="auto" w:fill="E7E6E6" w:themeFill="background2"/>
                <w:vAlign w:val="center"/>
              </w:tcPr>
              <w:p w14:paraId="7BD3C041" w14:textId="753DA085">
                <w:pPr>
                  <w:jc w:val="center"/>
                  <w:rPr>
                    <w:b/>
                    <w:bCs/>
                    <w:iCs/>
                    <w:szCs w:val="24"/>
                    <w:lang w:eastAsia="lt-LT"/>
                  </w:rPr>
                </w:pPr>
                <w:r>
                  <w:rPr>
                    <w:b/>
                    <w:bCs/>
                    <w:iCs/>
                    <w:szCs w:val="24"/>
                    <w:lang w:eastAsia="lt-LT"/>
                  </w:rPr>
                  <w:t xml:space="preserve">Darbuotojams, bent kas </w:t>
                </w:r>
                <w:r>
                  <w:rPr>
                    <w:b/>
                    <w:bCs/>
                    <w:iCs/>
                    <w:szCs w:val="24"/>
                    <w:lang w:val="da-DK" w:eastAsia="lt-LT"/>
                  </w:rPr>
                  <w:t>7</w:t>
                </w:r>
                <w:r>
                  <w:rPr>
                    <w:b/>
                    <w:bCs/>
                    <w:iCs/>
                    <w:szCs w:val="24"/>
                    <w:lang w:eastAsia="lt-LT"/>
                  </w:rPr>
                  <w:t xml:space="preserve"> metus privalantiems tobulinti kvalifikaciją</w:t>
                </w:r>
              </w:p>
            </w:tc>
          </w:tr>
          <w:tr w14:paraId="39E51195" w14:textId="77777777">
            <w:trPr>
              <w:trHeight w:val="102"/>
              <w:jc w:val="center"/>
            </w:trPr>
            <w:tc>
              <w:tcPr>
                <w:tcW w:w="236" w:type="pct"/>
                <w:vMerge/>
                <w:tcBorders>
                  <w:left w:val="single" w:sz="4" w:space="0" w:color="auto"/>
                  <w:bottom w:val="single" w:sz="4" w:space="0" w:color="auto"/>
                  <w:right w:val="single" w:sz="4" w:space="0" w:color="auto"/>
                </w:tcBorders>
                <w:shd w:val="clear" w:color="auto" w:fill="E7E6E6" w:themeFill="background2"/>
              </w:tcPr>
              <w:p w14:paraId="7CA13500" w14:textId="77777777">
                <w:pPr>
                  <w:jc w:val="both"/>
                  <w:rPr>
                    <w:b/>
                    <w:szCs w:val="24"/>
                    <w:lang w:eastAsia="lt-LT"/>
                  </w:rPr>
                </w:pPr>
              </w:p>
            </w:tc>
            <w:tc>
              <w:tcPr>
                <w:tcW w:w="1713" w:type="pct"/>
                <w:vMerge/>
                <w:tcBorders>
                  <w:left w:val="single" w:sz="4" w:space="0" w:color="auto"/>
                  <w:bottom w:val="single" w:sz="4" w:space="0" w:color="auto"/>
                  <w:right w:val="single" w:sz="4" w:space="0" w:color="auto"/>
                </w:tcBorders>
                <w:shd w:val="clear" w:color="auto" w:fill="E7E6E6" w:themeFill="background2"/>
              </w:tcPr>
              <w:p w14:paraId="4F7B2FBE" w14:textId="77777777">
                <w:pPr>
                  <w:jc w:val="both"/>
                  <w:rPr>
                    <w:b/>
                    <w:szCs w:val="24"/>
                    <w:lang w:eastAsia="lt-LT"/>
                  </w:rPr>
                </w:pPr>
              </w:p>
            </w:tc>
            <w:tc>
              <w:tcPr>
                <w:tcW w:w="866" w:type="pct"/>
                <w:tcBorders>
                  <w:left w:val="single" w:sz="4" w:space="0" w:color="auto"/>
                  <w:bottom w:val="single" w:sz="4" w:space="0" w:color="auto"/>
                  <w:right w:val="single" w:sz="4" w:space="0" w:color="auto"/>
                </w:tcBorders>
                <w:shd w:val="clear" w:color="auto" w:fill="E7E6E6" w:themeFill="background2"/>
              </w:tcPr>
              <w:p w14:paraId="785032E2" w14:textId="46C511AF">
                <w:pPr>
                  <w:jc w:val="center"/>
                  <w:rPr>
                    <w:b/>
                    <w:szCs w:val="24"/>
                    <w:lang w:eastAsia="lt-LT"/>
                  </w:rPr>
                </w:pPr>
                <w:r>
                  <w:rPr>
                    <w:b/>
                    <w:szCs w:val="24"/>
                    <w:lang w:eastAsia="lt-LT"/>
                  </w:rPr>
                  <w:t>Žinių ir įgūdžių tikrinimas teorinio arba 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E7E6E6" w:themeFill="background2"/>
              </w:tcPr>
              <w:p w14:paraId="43E377D8" w14:textId="15765965">
                <w:pPr>
                  <w:jc w:val="center"/>
                  <w:rPr>
                    <w:b/>
                    <w:szCs w:val="24"/>
                    <w:lang w:eastAsia="lt-LT"/>
                  </w:rPr>
                </w:pPr>
                <w:r>
                  <w:rPr>
                    <w:b/>
                    <w:szCs w:val="24"/>
                    <w:lang w:eastAsia="lt-LT"/>
                  </w:rPr>
                  <w:t>Teoriniam mokymui</w:t>
                </w:r>
              </w:p>
            </w:tc>
            <w:tc>
              <w:tcPr>
                <w:tcW w:w="519" w:type="pct"/>
                <w:tcBorders>
                  <w:top w:val="single" w:sz="4" w:space="0" w:color="auto"/>
                  <w:left w:val="single" w:sz="4" w:space="0" w:color="auto"/>
                  <w:bottom w:val="single" w:sz="4" w:space="0" w:color="auto"/>
                  <w:right w:val="single" w:sz="4" w:space="0" w:color="auto"/>
                </w:tcBorders>
                <w:shd w:val="clear" w:color="auto" w:fill="E7E6E6" w:themeFill="background2"/>
              </w:tcPr>
              <w:p w14:paraId="490222E4" w14:textId="4B420163">
                <w:pPr>
                  <w:jc w:val="center"/>
                  <w:rPr>
                    <w:b/>
                    <w:szCs w:val="24"/>
                    <w:lang w:eastAsia="lt-LT"/>
                  </w:rPr>
                </w:pPr>
                <w:r>
                  <w:rPr>
                    <w:b/>
                    <w:szCs w:val="24"/>
                    <w:lang w:eastAsia="lt-LT"/>
                  </w:rPr>
                  <w:t>Praktiniam mokymui</w:t>
                </w:r>
              </w:p>
            </w:tc>
            <w:tc>
              <w:tcPr>
                <w:tcW w:w="573" w:type="pct"/>
                <w:tcBorders>
                  <w:top w:val="single" w:sz="4" w:space="0" w:color="auto"/>
                  <w:left w:val="single" w:sz="4" w:space="0" w:color="auto"/>
                  <w:bottom w:val="single" w:sz="4" w:space="0" w:color="auto"/>
                  <w:right w:val="single" w:sz="4" w:space="0" w:color="auto"/>
                </w:tcBorders>
                <w:shd w:val="clear" w:color="auto" w:fill="E7E6E6" w:themeFill="background2"/>
              </w:tcPr>
              <w:p w14:paraId="087981EC" w14:textId="5CBFE6B2">
                <w:pPr>
                  <w:jc w:val="center"/>
                  <w:rPr>
                    <w:b/>
                    <w:szCs w:val="24"/>
                    <w:lang w:eastAsia="lt-LT"/>
                  </w:rPr>
                </w:pPr>
                <w:r>
                  <w:rPr>
                    <w:b/>
                    <w:szCs w:val="24"/>
                    <w:lang w:eastAsia="lt-LT"/>
                  </w:rPr>
                  <w:t>Teoriniam mokymui</w:t>
                </w:r>
              </w:p>
            </w:tc>
            <w:tc>
              <w:tcPr>
                <w:tcW w:w="523" w:type="pct"/>
                <w:tcBorders>
                  <w:top w:val="single" w:sz="4" w:space="0" w:color="auto"/>
                  <w:left w:val="single" w:sz="4" w:space="0" w:color="auto"/>
                  <w:bottom w:val="single" w:sz="4" w:space="0" w:color="auto"/>
                  <w:right w:val="single" w:sz="4" w:space="0" w:color="auto"/>
                </w:tcBorders>
                <w:shd w:val="clear" w:color="auto" w:fill="E7E6E6" w:themeFill="background2"/>
              </w:tcPr>
              <w:p w14:paraId="3879F627" w14:textId="77777777">
                <w:pPr>
                  <w:jc w:val="center"/>
                  <w:rPr>
                    <w:b/>
                    <w:szCs w:val="24"/>
                    <w:lang w:eastAsia="lt-LT"/>
                  </w:rPr>
                </w:pPr>
                <w:r>
                  <w:rPr>
                    <w:b/>
                    <w:szCs w:val="24"/>
                    <w:lang w:eastAsia="lt-LT"/>
                  </w:rPr>
                  <w:t>Praktiniam mokymui</w:t>
                </w:r>
              </w:p>
            </w:tc>
          </w:tr>
          <w:tr w14:paraId="603A457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3E04BAF" w14:textId="77777777">
                <w:pPr>
                  <w:jc w:val="center"/>
                  <w:rPr>
                    <w:bCs/>
                    <w:szCs w:val="24"/>
                    <w:lang w:eastAsia="lt-LT"/>
                  </w:rPr>
                </w:pP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EC44825" w14:textId="53C7C37E">
                <w:pPr>
                  <w:jc w:val="both"/>
                  <w:rPr>
                    <w:b/>
                    <w:szCs w:val="24"/>
                    <w:lang w:eastAsia="lt-LT"/>
                  </w:rPr>
                </w:pPr>
                <w:r>
                  <w:rPr>
                    <w:bCs/>
                    <w:szCs w:val="24"/>
                    <w:lang w:eastAsia="lt-LT"/>
                  </w:rPr>
                  <w:t>Elementarus svarbių aplinkosaugos klausimų išmanymas (klimato kaita, Jungtinių Tautų bendrosios klimato kaitos konvencijos Kioto protokolas, fluorintų šiltnamio efektą sukeliančių dujų visuotinio atšilimo galimybės)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0ECB72" w14:textId="259CA7BD">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10AFE5" w14:textId="01FA5C90">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A84E2B" w14:textId="4D17202F">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38D927" w14:textId="127C5705">
                <w:pPr>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EF9BD7" w14:textId="2D889553">
                <w:pPr>
                  <w:jc w:val="center"/>
                  <w:rPr>
                    <w:b/>
                    <w:szCs w:val="24"/>
                    <w:lang w:eastAsia="lt-LT"/>
                  </w:rPr>
                </w:pPr>
                <w:r>
                  <w:rPr>
                    <w:b/>
                    <w:szCs w:val="24"/>
                    <w:lang w:eastAsia="lt-LT"/>
                  </w:rPr>
                  <w:t>-</w:t>
                </w:r>
              </w:p>
            </w:tc>
          </w:tr>
          <w:tr w14:paraId="3627ED7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87050D" w14:textId="77777777">
                <w:pPr>
                  <w:jc w:val="center"/>
                  <w:rPr>
                    <w:bCs/>
                    <w:szCs w:val="24"/>
                    <w:lang w:eastAsia="lt-LT"/>
                  </w:rPr>
                </w:pPr>
                <w:r>
                  <w:rPr>
                    <w:bCs/>
                    <w:szCs w:val="24"/>
                    <w:lang w:eastAsia="lt-LT"/>
                  </w:rPr>
                  <w:t>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D99E02" w14:textId="22062050">
                <w:pPr>
                  <w:jc w:val="both"/>
                  <w:rPr>
                    <w:bCs/>
                    <w:szCs w:val="24"/>
                    <w:lang w:eastAsia="lt-LT"/>
                  </w:rPr>
                </w:pPr>
                <w:r>
                  <w:rPr>
                    <w:bCs/>
                    <w:szCs w:val="24"/>
                    <w:lang w:eastAsia="lt-LT"/>
                  </w:rPr>
                  <w:t xml:space="preserve">Išmanyti reikiamus techninius standartus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02EAB4" w14:textId="05DBC3B9">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8FAE35" w14:textId="28BF8FB6">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8B59BB" w14:textId="0B3A9075">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1B0E48" w14:textId="05BB7C53">
                <w:pPr>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FFB0A1" w14:textId="6BD55902">
                <w:pPr>
                  <w:jc w:val="center"/>
                  <w:rPr>
                    <w:b/>
                    <w:szCs w:val="24"/>
                    <w:lang w:eastAsia="lt-LT"/>
                  </w:rPr>
                </w:pPr>
                <w:r>
                  <w:rPr>
                    <w:b/>
                    <w:szCs w:val="24"/>
                    <w:lang w:eastAsia="lt-LT"/>
                  </w:rPr>
                  <w:t>-</w:t>
                </w:r>
              </w:p>
            </w:tc>
          </w:tr>
          <w:tr w14:paraId="4328B0F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CE24C2" w14:textId="77777777">
                <w:pPr>
                  <w:jc w:val="center"/>
                  <w:rPr>
                    <w:bCs/>
                    <w:szCs w:val="24"/>
                    <w:lang w:eastAsia="lt-LT"/>
                  </w:rPr>
                </w:pPr>
                <w:r>
                  <w:rPr>
                    <w:bCs/>
                    <w:szCs w:val="24"/>
                    <w:lang w:eastAsia="lt-LT"/>
                  </w:rPr>
                  <w:t>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64EC3C" w14:textId="5150798F">
                <w:pPr>
                  <w:jc w:val="both"/>
                  <w:rPr>
                    <w:b/>
                    <w:szCs w:val="24"/>
                    <w:lang w:eastAsia="lt-LT"/>
                  </w:rPr>
                </w:pPr>
                <w:r>
                  <w:t xml:space="preserve">Išmanyti 2014 m. balandžio 16 d. Europos Parlamento ir Tarybos reglamento </w:t>
                </w:r>
                <w:fldSimple w:instr="HYPERLINK http://eur-lex.europa.eu/legal-content/LIT/TXT/?uri=CELEX:32014R0517&amp;locale=lt \t _blank">
                  <w:r>
                    <w:rPr>
                      <w:u w:val="single"/>
                      <w:color w:val="0000FF" w:themeColor="hyperlink"/>
                    </w:rPr>
                    <w:t>(ES) Nr. 517/2014</w:t>
                  </w:r>
                </w:fldSimple>
                <w:r>
                  <w:t xml:space="preserve"> dėl fluorintų šiltnamio efektą sukeliančių dujų, kuriuo panaikinamas Reglamentas </w:t>
                </w:r>
                <w:fldSimple w:instr="HYPERLINK http://eur-lex.europa.eu/legal-content/LIT/TXT/?uri=CELEX:32006R0842&amp;locale=lt \t _blank">
                  <w:r>
                    <w:rPr>
                      <w:u w:val="single"/>
                      <w:color w:val="0000FF" w:themeColor="hyperlink"/>
                    </w:rPr>
                    <w:t>(EB) Nr. 842/2006</w:t>
                  </w:r>
                </w:fldSimple>
                <w:r>
                  <w:t>, nuostatas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0B56B9" w14:textId="5AF03D50">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C797C2" w14:textId="00CDDD3A">
                <w:pPr>
                  <w:jc w:val="center"/>
                  <w:rPr>
                    <w:b/>
                    <w:szCs w:val="24"/>
                    <w:lang w:val="en-US" w:eastAsia="lt-LT"/>
                  </w:rPr>
                </w:pPr>
                <w:r>
                  <w:rPr>
                    <w:b/>
                    <w:szCs w:val="24"/>
                    <w:lang w:val="en-US"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9146C7" w14:textId="60C482C3">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15BEC6" w14:textId="6C7BA82C">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448ED7" w14:textId="72C482FB">
                <w:pPr>
                  <w:jc w:val="center"/>
                  <w:rPr>
                    <w:b/>
                    <w:szCs w:val="24"/>
                    <w:lang w:eastAsia="lt-LT"/>
                  </w:rPr>
                </w:pPr>
                <w:r>
                  <w:rPr>
                    <w:b/>
                    <w:szCs w:val="24"/>
                    <w:lang w:eastAsia="lt-LT"/>
                  </w:rPr>
                  <w:t>-</w:t>
                </w:r>
              </w:p>
            </w:tc>
          </w:tr>
          <w:tr w14:paraId="0DB4216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18B112" w14:textId="77777777">
                <w:pPr>
                  <w:jc w:val="center"/>
                  <w:rPr>
                    <w:bCs/>
                    <w:szCs w:val="24"/>
                    <w:lang w:eastAsia="lt-LT"/>
                  </w:rPr>
                </w:pPr>
                <w:r>
                  <w:rPr>
                    <w:bCs/>
                    <w:szCs w:val="24"/>
                    <w:lang w:eastAsia="lt-LT"/>
                  </w:rPr>
                  <w:t>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D4DB6C3" w14:textId="5AB53BDA">
                <w:pPr>
                  <w:jc w:val="both"/>
                  <w:rPr>
                    <w:b/>
                    <w:szCs w:val="24"/>
                    <w:lang w:eastAsia="lt-LT"/>
                  </w:rPr>
                </w:pPr>
                <w:r>
                  <w:rPr>
                    <w:bCs/>
                    <w:szCs w:val="24"/>
                    <w:lang w:eastAsia="lt-LT"/>
                  </w:rPr>
                  <w:t>Išmanyti įvairias rinkoje esančias priešgaisrines įrangos rūšis, kurioje yra fluorintų šiltnamio efektą sukeliančių dujų</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4A67CC" w14:textId="4D6D0D3D">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692BA9" w14:textId="2757806A">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D88788" w14:textId="6DD95DC3">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BCBD8D" w14:textId="67D047F4">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C084D0" w14:textId="77E1CEB1">
                <w:pPr>
                  <w:jc w:val="center"/>
                  <w:rPr>
                    <w:b/>
                    <w:szCs w:val="24"/>
                    <w:lang w:eastAsia="lt-LT"/>
                  </w:rPr>
                </w:pPr>
                <w:r>
                  <w:rPr>
                    <w:b/>
                    <w:szCs w:val="24"/>
                    <w:lang w:eastAsia="lt-LT"/>
                  </w:rPr>
                  <w:t>-</w:t>
                </w:r>
              </w:p>
            </w:tc>
          </w:tr>
          <w:tr w14:paraId="32B3B50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04C12EC" w14:textId="3D6DED2A">
                <w:pPr>
                  <w:jc w:val="center"/>
                  <w:rPr>
                    <w:bCs/>
                    <w:szCs w:val="24"/>
                    <w:lang w:eastAsia="lt-LT"/>
                  </w:rPr>
                </w:pPr>
                <w:r>
                  <w:rPr>
                    <w:bCs/>
                    <w:szCs w:val="24"/>
                    <w:lang w:eastAsia="lt-LT"/>
                  </w:rPr>
                  <w:t>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17ECC10" w14:textId="15EF2FE5">
                <w:pPr>
                  <w:jc w:val="both"/>
                  <w:rPr>
                    <w:bCs/>
                    <w:szCs w:val="24"/>
                    <w:lang w:eastAsia="lt-LT"/>
                  </w:rPr>
                </w:pPr>
                <w:r>
                  <w:rPr>
                    <w:bCs/>
                    <w:szCs w:val="24"/>
                    <w:lang w:eastAsia="lt-LT"/>
                  </w:rPr>
                  <w:t>Išmanyti vožtuvų rūšis, paleidimo mechanizmus, saugaus darbo reikalavimus ir dujų išsiskyrimo ir nuotėkio prevencijos priemones a metodus.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0C85E8" w14:textId="6BA1BB91">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763F8" w14:textId="494D8C11">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72F8FD" w14:textId="46EEE365">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C6B7DD" w14:textId="769E6E77">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8445F" w14:textId="2CC351B7">
                <w:pPr>
                  <w:jc w:val="center"/>
                  <w:rPr>
                    <w:b/>
                    <w:szCs w:val="24"/>
                    <w:lang w:eastAsia="lt-LT"/>
                  </w:rPr>
                </w:pPr>
                <w:r>
                  <w:rPr>
                    <w:b/>
                    <w:szCs w:val="24"/>
                    <w:lang w:eastAsia="lt-LT"/>
                  </w:rPr>
                  <w:t>-</w:t>
                </w:r>
              </w:p>
            </w:tc>
          </w:tr>
          <w:tr w14:paraId="1E9079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338C3B" w14:textId="7D58476F">
                <w:pPr>
                  <w:jc w:val="center"/>
                  <w:rPr>
                    <w:bCs/>
                    <w:szCs w:val="24"/>
                    <w:lang w:eastAsia="lt-LT"/>
                  </w:rPr>
                </w:pPr>
                <w:r>
                  <w:rPr>
                    <w:bCs/>
                    <w:szCs w:val="24"/>
                    <w:lang w:eastAsia="lt-LT"/>
                  </w:rPr>
                  <w:t>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5B9774FF" w14:textId="623C9552">
                <w:pPr>
                  <w:jc w:val="both"/>
                  <w:rPr>
                    <w:bCs/>
                    <w:szCs w:val="24"/>
                    <w:lang w:eastAsia="lt-LT"/>
                  </w:rPr>
                </w:pPr>
                <w:r>
                  <w:rPr>
                    <w:bCs/>
                    <w:szCs w:val="24"/>
                    <w:lang w:eastAsia="lt-LT"/>
                  </w:rPr>
                  <w:t>Žinoti saugiam darbui ir darbo praktikai reikalingą įrangą ir įrankius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08D5C7" w14:textId="36A5A4C9">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703200" w14:textId="33F69998">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3B2242" w14:textId="559686B6">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9E2C46" w14:textId="22049FAE">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153B4A" w14:textId="5C22A53B">
                <w:pPr>
                  <w:jc w:val="center"/>
                  <w:rPr>
                    <w:b/>
                    <w:szCs w:val="24"/>
                    <w:lang w:eastAsia="lt-LT"/>
                  </w:rPr>
                </w:pPr>
                <w:r>
                  <w:rPr>
                    <w:b/>
                    <w:szCs w:val="24"/>
                    <w:lang w:eastAsia="lt-LT"/>
                  </w:rPr>
                  <w:t>-</w:t>
                </w:r>
              </w:p>
            </w:tc>
          </w:tr>
          <w:tr w14:paraId="4FE06BB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2783820A" w14:textId="69C88FEE">
                <w:pPr>
                  <w:jc w:val="center"/>
                  <w:rPr>
                    <w:bCs/>
                    <w:szCs w:val="24"/>
                    <w:lang w:eastAsia="lt-LT"/>
                  </w:rPr>
                </w:pPr>
                <w:r>
                  <w:rPr>
                    <w:bCs/>
                    <w:szCs w:val="24"/>
                    <w:lang w:eastAsia="lt-LT"/>
                  </w:rPr>
                  <w:t>7.</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B20830F" w14:textId="3399B1FC">
                <w:pPr>
                  <w:jc w:val="both"/>
                  <w:rPr>
                    <w:bCs/>
                    <w:szCs w:val="24"/>
                    <w:lang w:eastAsia="lt-LT"/>
                  </w:rPr>
                </w:pPr>
                <w:r>
                  <w:rPr>
                    <w:bCs/>
                    <w:szCs w:val="24"/>
                    <w:lang w:eastAsia="lt-LT"/>
                  </w:rPr>
                  <w:t>Sugebėti įrengti priešgaisrinių sistemų konteinerius, kuriuose pagal paskirtį turi būti fluorintų šiltnamio efektą sukeliančių dujų</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0CA57" w14:textId="0BAF7748">
                <w:pPr>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0D6F4" w14:textId="0ABAD8F9">
                <w:pPr>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5315E6" w14:textId="7BFF71EA">
                <w:pPr>
                  <w:jc w:val="center"/>
                  <w:rPr>
                    <w:b/>
                    <w:szCs w:val="24"/>
                    <w:lang w:eastAsia="lt-LT"/>
                  </w:rPr>
                </w:pPr>
                <w:r>
                  <w:rPr>
                    <w:b/>
                    <w:szCs w:val="24"/>
                    <w:lang w:eastAsia="lt-LT"/>
                  </w:rPr>
                  <w:t>2</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BE86E" w14:textId="11C229FA">
                <w:pPr>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908F91" w14:textId="5105141B">
                <w:pPr>
                  <w:jc w:val="center"/>
                  <w:rPr>
                    <w:b/>
                    <w:szCs w:val="24"/>
                    <w:lang w:eastAsia="lt-LT"/>
                  </w:rPr>
                </w:pPr>
                <w:r>
                  <w:rPr>
                    <w:b/>
                    <w:szCs w:val="24"/>
                    <w:lang w:eastAsia="lt-LT"/>
                  </w:rPr>
                  <w:t>1</w:t>
                </w:r>
              </w:p>
            </w:tc>
          </w:tr>
          <w:tr w14:paraId="5CB71B8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6F91349A" w14:textId="03161739">
                <w:pPr>
                  <w:jc w:val="center"/>
                  <w:rPr>
                    <w:bCs/>
                    <w:szCs w:val="24"/>
                    <w:lang w:eastAsia="lt-LT"/>
                  </w:rPr>
                </w:pPr>
                <w:r>
                  <w:rPr>
                    <w:bCs/>
                    <w:szCs w:val="24"/>
                    <w:lang w:eastAsia="lt-LT"/>
                  </w:rPr>
                  <w:t>8.</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09BF214" w14:textId="06A6B322">
                <w:pPr>
                  <w:jc w:val="both"/>
                  <w:rPr>
                    <w:bCs/>
                    <w:szCs w:val="24"/>
                    <w:lang w:eastAsia="lt-LT"/>
                  </w:rPr>
                </w:pPr>
                <w:r>
                  <w:rPr>
                    <w:bCs/>
                    <w:szCs w:val="24"/>
                    <w:lang w:eastAsia="lt-LT"/>
                  </w:rPr>
                  <w:t xml:space="preserve">Išmanyti, kaip saugiai transportuoti, perkelti didelio slėgio konteinerių užpildytų fluorintomis šiltnamio efektą sukeliančiomis dujomis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CCDB20" w14:textId="657FCAD6">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A2C619" w14:textId="7FCC5EC3">
                <w:pPr>
                  <w:jc w:val="center"/>
                  <w:rPr>
                    <w:b/>
                    <w:szCs w:val="24"/>
                    <w:lang w:eastAsia="lt-LT"/>
                  </w:rPr>
                </w:pPr>
                <w:r>
                  <w:rPr>
                    <w:b/>
                    <w:szCs w:val="24"/>
                    <w:lang w:eastAsia="lt-LT"/>
                  </w:rPr>
                  <w:t>2</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6AF4F" w14:textId="3D228EA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037B3" w14:textId="1C9386F5">
                <w:pPr>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F5AB3D" w14:textId="33EF1ED0">
                <w:pPr>
                  <w:jc w:val="center"/>
                  <w:rPr>
                    <w:b/>
                    <w:szCs w:val="24"/>
                    <w:lang w:eastAsia="lt-LT"/>
                  </w:rPr>
                </w:pPr>
                <w:r>
                  <w:rPr>
                    <w:b/>
                    <w:szCs w:val="24"/>
                    <w:lang w:eastAsia="lt-LT"/>
                  </w:rPr>
                  <w:t>-</w:t>
                </w:r>
              </w:p>
            </w:tc>
          </w:tr>
          <w:tr w14:paraId="500D973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34152F5" w14:textId="7CA8D960">
                <w:pPr>
                  <w:jc w:val="center"/>
                  <w:rPr>
                    <w:bCs/>
                    <w:szCs w:val="24"/>
                    <w:lang w:eastAsia="lt-LT"/>
                  </w:rPr>
                </w:pPr>
                <w:r>
                  <w:rPr>
                    <w:bCs/>
                    <w:szCs w:val="24"/>
                    <w:lang w:eastAsia="lt-LT"/>
                  </w:rPr>
                  <w:t>9.</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C184629" w14:textId="55E662F3">
                <w:pPr>
                  <w:jc w:val="both"/>
                  <w:rPr>
                    <w:bCs/>
                    <w:szCs w:val="24"/>
                    <w:lang w:eastAsia="lt-LT"/>
                  </w:rPr>
                </w:pPr>
                <w:r>
                  <w:rPr>
                    <w:bCs/>
                    <w:szCs w:val="24"/>
                    <w:lang w:eastAsia="lt-LT"/>
                  </w:rPr>
                  <w:t>Sugebėti tikrinti sistemų įrašus prieš tikrinant, ar nėra nuotėkio. Įrašuose pastebėti atitinkamą informaciją, kuri gali padėti suprasti problemines sritis, į kurias reikėtų atkreipti daugiau dėmesio.</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18202E" w14:textId="72957118">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4885D5" w14:textId="56496A67">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432ECB" w14:textId="71C7F129">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6709AB" w14:textId="02D6BED4">
                <w:pPr>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EAE2D9" w14:textId="777DE614">
                <w:pPr>
                  <w:jc w:val="center"/>
                  <w:rPr>
                    <w:b/>
                    <w:szCs w:val="24"/>
                    <w:lang w:eastAsia="lt-LT"/>
                  </w:rPr>
                </w:pPr>
                <w:r>
                  <w:rPr>
                    <w:b/>
                    <w:szCs w:val="24"/>
                    <w:lang w:eastAsia="lt-LT"/>
                  </w:rPr>
                  <w:t>-</w:t>
                </w:r>
              </w:p>
            </w:tc>
          </w:tr>
          <w:tr w14:paraId="115880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46FFB78" w14:textId="732AE3FF">
                <w:pPr>
                  <w:jc w:val="center"/>
                  <w:rPr>
                    <w:bCs/>
                    <w:szCs w:val="24"/>
                    <w:lang w:eastAsia="lt-LT"/>
                  </w:rPr>
                </w:pPr>
                <w:r>
                  <w:rPr>
                    <w:bCs/>
                    <w:szCs w:val="24"/>
                    <w:lang w:eastAsia="lt-LT"/>
                  </w:rPr>
                  <w:t>10.</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70EEB2F" w14:textId="0C885BC7">
                <w:pPr>
                  <w:jc w:val="both"/>
                  <w:rPr>
                    <w:bCs/>
                    <w:szCs w:val="24"/>
                    <w:lang w:eastAsia="lt-LT"/>
                  </w:rPr>
                </w:pPr>
                <w:r>
                  <w:rPr>
                    <w:bCs/>
                    <w:szCs w:val="24"/>
                    <w:lang w:eastAsia="lt-LT"/>
                  </w:rPr>
                  <w:t xml:space="preserve">Mokėti tikrinti matomą ir fizinį galimą sistemos nuotėkį pagal 2007 m. gruodžio 18 d. Komisijos reglamentą </w:t>
                </w:r>
                <w:fldSimple w:instr="HYPERLINK http://eur-lex.europa.eu/legal-content/LIT/TXT/?uri=CELEX:32007R1497&amp;locale=lt \t _blank">
                  <w:r>
                    <w:rPr>
                      <w:bCs/>
                      <w:szCs w:val="24"/>
                      <w:lang w:eastAsia="lt-LT"/>
                      <w:u w:val="single"/>
                      <w:color w:val="0000FF" w:themeColor="hyperlink"/>
                    </w:rPr>
                    <w:t>(EB) Nr. 1497/2007</w:t>
                  </w:r>
                </w:fldSimple>
                <w:r>
                  <w:rPr>
                    <w:bCs/>
                    <w:szCs w:val="24"/>
                    <w:lang w:eastAsia="lt-LT"/>
                  </w:rPr>
                  <w:t xml:space="preserve">, nustatantį standartinius nutekėjimo patikrinimo reikalavimus stacionarioms priešgaisrinėms sistemoms, kuriose yra atitinkamų fluorintų šiltnamio efektą sukeliančių dujų, pagal Europos Parlamento ir Tarybos reglamentą </w:t>
                </w:r>
                <w:fldSimple w:instr="HYPERLINK http://eur-lex.europa.eu/legal-content/LIT/TXT/?uri=CELEX:32006R0842&amp;locale=lt \t _blank">
                  <w:r>
                    <w:rPr>
                      <w:bCs/>
                      <w:szCs w:val="24"/>
                      <w:lang w:eastAsia="lt-LT"/>
                      <w:u w:val="single"/>
                      <w:color w:val="0000FF" w:themeColor="hyperlink"/>
                    </w:rPr>
                    <w:t>(EB) Nr. 842/2006</w:t>
                  </w:r>
                </w:fldSimple>
                <w:r>
                  <w:rPr>
                    <w:bCs/>
                    <w:szCs w:val="24"/>
                    <w:lang w:eastAsia="lt-LT"/>
                  </w:rPr>
                  <w:t xml:space="preserve"> (1)</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5CBBEA8" w14:textId="6A20A17F">
                <w:pPr>
                  <w:jc w:val="both"/>
                  <w:rPr>
                    <w:bCs/>
                    <w:szCs w:val="24"/>
                    <w:lang w:eastAsia="lt-LT"/>
                  </w:rPr>
                </w:pPr>
                <w:r>
                  <w:rPr>
                    <w:bCs/>
                    <w:szCs w:val="24"/>
                    <w:lang w:eastAsia="lt-LT"/>
                  </w:rPr>
                  <w:t>praktinio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613395" w14:textId="1E7BB732">
                <w:pPr>
                  <w:jc w:val="center"/>
                  <w:rPr>
                    <w:b/>
                    <w:szCs w:val="24"/>
                    <w:lang w:eastAsia="lt-LT"/>
                  </w:rPr>
                </w:pPr>
                <w:r>
                  <w:rPr>
                    <w:b/>
                    <w:szCs w:val="24"/>
                    <w:lang w:eastAsia="lt-LT"/>
                  </w:rPr>
                  <w:t>-</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0495E0" w14:textId="783A57ED">
                <w:pPr>
                  <w:jc w:val="center"/>
                  <w:rPr>
                    <w:b/>
                    <w:szCs w:val="24"/>
                    <w:lang w:eastAsia="lt-LT"/>
                  </w:rPr>
                </w:pPr>
                <w:r>
                  <w:rPr>
                    <w:b/>
                    <w:szCs w:val="24"/>
                    <w:lang w:eastAsia="lt-LT"/>
                  </w:rPr>
                  <w:t>1</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F6756F" w14:textId="33F08946">
                <w:pPr>
                  <w:jc w:val="center"/>
                  <w:rPr>
                    <w:b/>
                    <w:szCs w:val="24"/>
                    <w:lang w:eastAsia="lt-LT"/>
                  </w:rPr>
                </w:pPr>
                <w:r>
                  <w:rPr>
                    <w:b/>
                    <w:szCs w:val="24"/>
                    <w:lang w:eastAsia="lt-LT"/>
                  </w:rPr>
                  <w:t>-</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0412F8" w14:textId="3A80815D">
                <w:pPr>
                  <w:jc w:val="center"/>
                  <w:rPr>
                    <w:b/>
                    <w:szCs w:val="24"/>
                    <w:lang w:eastAsia="lt-LT"/>
                  </w:rPr>
                </w:pPr>
                <w:r>
                  <w:rPr>
                    <w:b/>
                    <w:szCs w:val="24"/>
                    <w:lang w:eastAsia="lt-LT"/>
                  </w:rPr>
                  <w:t>0,5</w:t>
                </w:r>
              </w:p>
            </w:tc>
          </w:tr>
          <w:tr w14:paraId="117AFC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4472C7" w14:textId="6E60F704">
                <w:pPr>
                  <w:jc w:val="center"/>
                  <w:rPr>
                    <w:bCs/>
                    <w:szCs w:val="24"/>
                    <w:lang w:eastAsia="lt-LT"/>
                  </w:rPr>
                </w:pPr>
                <w:r>
                  <w:rPr>
                    <w:bCs/>
                    <w:szCs w:val="24"/>
                    <w:lang w:eastAsia="lt-LT"/>
                  </w:rPr>
                  <w:t>11.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5BF3FC35" w14:textId="71E12653">
                <w:pPr>
                  <w:jc w:val="both"/>
                  <w:rPr>
                    <w:bCs/>
                    <w:szCs w:val="24"/>
                    <w:lang w:eastAsia="lt-LT"/>
                  </w:rPr>
                </w:pPr>
                <w:r>
                  <w:rPr>
                    <w:bCs/>
                    <w:szCs w:val="24"/>
                    <w:lang w:eastAsia="lt-LT"/>
                  </w:rPr>
                  <w:t>Išmanyti, kaip surinkti fluorintas šiltnamio efektą sukeliančias dujas iš priešgaisrinių sistemų ir užpildyti šias sistemas nekenkiant aplinkai</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2BC126" w14:textId="00E0880A">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F54C5" w14:textId="1D040C4C">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03E966" w14:textId="0B2FB20A">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1DD41C" w14:textId="3F58781B">
                <w:pPr>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5EF8C8" w14:textId="2DCF0D96">
                <w:pPr>
                  <w:jc w:val="center"/>
                  <w:rPr>
                    <w:b/>
                    <w:szCs w:val="24"/>
                    <w:lang w:eastAsia="lt-LT"/>
                  </w:rPr>
                </w:pPr>
                <w:r>
                  <w:rPr>
                    <w:b/>
                    <w:szCs w:val="24"/>
                    <w:lang w:eastAsia="lt-LT"/>
                  </w:rPr>
                  <w:t>-</w:t>
                </w:r>
              </w:p>
            </w:tc>
          </w:tr>
          <w:tr w14:paraId="23E318FC"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36431C20" w14:textId="6E786EF6">
                <w:pPr>
                  <w:jc w:val="center"/>
                  <w:rPr>
                    <w:bCs/>
                    <w:szCs w:val="24"/>
                    <w:lang w:eastAsia="lt-LT"/>
                  </w:rPr>
                </w:pPr>
                <w:r>
                  <w:rPr>
                    <w:bCs/>
                    <w:szCs w:val="24"/>
                    <w:lang w:eastAsia="lt-LT"/>
                  </w:rPr>
                  <w:t>12.</w:t>
                </w:r>
              </w:p>
            </w:tc>
            <w:tc>
              <w:tcPr>
                <w:tcW w:w="4764" w:type="pct"/>
                <w:gridSpan w:val="6"/>
                <w:tcBorders>
                  <w:top w:val="single" w:sz="4" w:space="0" w:color="auto"/>
                  <w:left w:val="single" w:sz="4" w:space="0" w:color="auto"/>
                  <w:bottom w:val="single" w:sz="4" w:space="0" w:color="auto"/>
                  <w:right w:val="single" w:sz="4" w:space="0" w:color="auto"/>
                </w:tcBorders>
                <w:shd w:val="clear" w:color="auto" w:fill="FFFFFF" w:themeFill="background1"/>
              </w:tcPr>
              <w:p w14:paraId="1232047E" w14:textId="26CB9E57">
                <w:pPr>
                  <w:rPr>
                    <w:b/>
                    <w:szCs w:val="24"/>
                    <w:lang w:eastAsia="lt-LT"/>
                  </w:rPr>
                </w:pPr>
                <w:r>
                  <w:rPr>
                    <w:b/>
                    <w:color w:val="000000"/>
                    <w:szCs w:val="24"/>
                    <w:shd w:val="clear" w:color="auto" w:fill="FFFFFF"/>
                  </w:rPr>
                  <w:t>Papildomos temos kvalifikacijos tobulinimo ir mokymo programai</w:t>
                </w:r>
              </w:p>
            </w:tc>
          </w:tr>
          <w:tr w14:paraId="03E8FAE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452625AA" w14:textId="4FCF6473">
                <w:pPr>
                  <w:jc w:val="center"/>
                  <w:rPr>
                    <w:bCs/>
                    <w:szCs w:val="24"/>
                    <w:lang w:eastAsia="lt-LT"/>
                  </w:rPr>
                </w:pPr>
                <w:r>
                  <w:rPr>
                    <w:bCs/>
                    <w:szCs w:val="24"/>
                    <w:lang w:eastAsia="lt-LT"/>
                  </w:rPr>
                  <w:t>1</w:t>
                </w:r>
                <w:r>
                  <w:rPr>
                    <w:bCs/>
                    <w:szCs w:val="24"/>
                    <w:lang w:val="en-US" w:eastAsia="lt-LT"/>
                  </w:rPr>
                  <w:t>2</w:t>
                </w: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637FD2D5" w14:textId="11CAA75E">
                <w:pPr>
                  <w:jc w:val="both"/>
                  <w:rPr>
                    <w:color w:val="000000"/>
                    <w:szCs w:val="24"/>
                    <w:shd w:val="clear" w:color="auto" w:fill="FFFFFF"/>
                  </w:rPr>
                </w:pPr>
                <w:r>
                  <w:t xml:space="preserve">Išmanyti pagrindines Europos Parlamento ir Tarybos reglamento dėl ozono sluoksnį ardančių medžiagų, kuriuo panaikinantį reglamentas </w:t>
                </w:r>
                <w:fldSimple w:instr="HYPERLINK http://eur-lex.europa.eu/legal-content/LIT/TXT/?uri=CELEX:31005R2009&amp;locale=lt \t _blank">
                  <w:r>
                    <w:rPr>
                      <w:u w:val="single"/>
                      <w:color w:val="0000FF" w:themeColor="hyperlink"/>
                    </w:rPr>
                    <w:t>(ES) 2009/1005</w:t>
                  </w:r>
                </w:fldSimple>
                <w:r>
                  <w:t>, Monrealio protokolo dėl ozono sluoksnį ardančių medžiagų Kigalio pakeitimo pagrindines nuostatas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97163F" w14:textId="40CFA79F">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C81AAF" w14:textId="59134000">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4753A" w14:textId="3FCDD7F0">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02211D" w14:textId="7B6A26FA">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BD36B7" w14:textId="7B48EE15">
                <w:pPr>
                  <w:jc w:val="center"/>
                  <w:rPr>
                    <w:b/>
                    <w:szCs w:val="24"/>
                    <w:lang w:eastAsia="lt-LT"/>
                  </w:rPr>
                </w:pPr>
                <w:r>
                  <w:rPr>
                    <w:b/>
                    <w:szCs w:val="24"/>
                    <w:lang w:eastAsia="lt-LT"/>
                  </w:rPr>
                  <w:t>-</w:t>
                </w:r>
              </w:p>
            </w:tc>
          </w:tr>
          <w:tr w14:paraId="1A3AD831"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1BED2889" w14:textId="1112D192">
                <w:pPr>
                  <w:jc w:val="center"/>
                  <w:rPr>
                    <w:bCs/>
                    <w:szCs w:val="24"/>
                    <w:lang w:eastAsia="lt-LT"/>
                  </w:rPr>
                </w:pPr>
                <w:r>
                  <w:rPr>
                    <w:bCs/>
                    <w:szCs w:val="24"/>
                    <w:lang w:eastAsia="lt-LT"/>
                  </w:rPr>
                  <w:t>12.2.</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7438DC58" w14:textId="0296AE77">
                <w:pPr>
                  <w:jc w:val="both"/>
                  <w:rPr>
                    <w:color w:val="000000"/>
                    <w:szCs w:val="24"/>
                    <w:shd w:val="clear" w:color="auto" w:fill="FFFFFF"/>
                  </w:rPr>
                </w:pPr>
                <w:r>
                  <w:rPr>
                    <w:color w:val="000000"/>
                    <w:szCs w:val="24"/>
                  </w:rPr>
                  <w:t xml:space="preserve">Išmanyti nacionalinius teisės aktus, susijusius su F-dujomis </w:t>
                </w:r>
                <w:r>
                  <w:rPr>
                    <w:color w:val="000000"/>
                  </w:rPr>
                  <w:t>ir OAM</w:t>
                </w:r>
                <w:r>
                  <w:rPr>
                    <w:color w:val="000000"/>
                    <w:szCs w:val="24"/>
                  </w:rPr>
                  <w:t xml:space="preserve">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19A768" w14:textId="795E5D3F">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6A0E3C" w14:textId="5E12DC38">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B0EDC9" w14:textId="56E1F5C4">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59F17A1" w14:textId="6130FF41">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5A4CA2" w14:textId="37E29D7B">
                <w:pPr>
                  <w:jc w:val="center"/>
                  <w:rPr>
                    <w:b/>
                    <w:szCs w:val="24"/>
                    <w:lang w:eastAsia="lt-LT"/>
                  </w:rPr>
                </w:pPr>
                <w:r>
                  <w:rPr>
                    <w:b/>
                    <w:szCs w:val="24"/>
                    <w:lang w:eastAsia="lt-LT"/>
                  </w:rPr>
                  <w:t>-</w:t>
                </w:r>
              </w:p>
            </w:tc>
          </w:tr>
          <w:tr w14:paraId="6DF52DB4"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5E849482" w14:textId="53905890">
                <w:pPr>
                  <w:jc w:val="center"/>
                  <w:rPr>
                    <w:bCs/>
                    <w:szCs w:val="24"/>
                    <w:lang w:eastAsia="lt-LT"/>
                  </w:rPr>
                </w:pPr>
                <w:r>
                  <w:rPr>
                    <w:bCs/>
                    <w:szCs w:val="24"/>
                    <w:lang w:eastAsia="lt-LT"/>
                  </w:rPr>
                  <w:t>12.3.</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F422EB9" w14:textId="4B71A231">
                <w:pPr>
                  <w:jc w:val="both"/>
                  <w:rPr>
                    <w:color w:val="000000"/>
                    <w:szCs w:val="24"/>
                    <w:shd w:val="clear" w:color="auto" w:fill="FFFFFF"/>
                  </w:rPr>
                </w:pPr>
                <w:r>
                  <w:rPr>
                    <w:color w:val="000000"/>
                    <w:szCs w:val="24"/>
                    <w:shd w:val="clear" w:color="auto" w:fill="FFFFFF"/>
                  </w:rPr>
                  <w:t>Žinoti fiziniams ir juridiniams asmenims taikomą atsakomybę už F</w:t>
                  <w:noBreakHyphen/>
                  <w:t>dujų tvarkymo reikalavimų pažeidimus vadovaujantis Lietuvos Respublikos administracinių nusižengimų kodeksu</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131ED9" w14:textId="342C2110">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072D79" w14:textId="14538CE2">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6852A0" w14:textId="359E4967">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368B88" w14:textId="0F17B9EE">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93BE37" w14:textId="0BC04949">
                <w:pPr>
                  <w:jc w:val="center"/>
                  <w:rPr>
                    <w:b/>
                    <w:szCs w:val="24"/>
                    <w:lang w:eastAsia="lt-LT"/>
                  </w:rPr>
                </w:pPr>
                <w:r>
                  <w:rPr>
                    <w:b/>
                    <w:szCs w:val="24"/>
                    <w:lang w:eastAsia="lt-LT"/>
                  </w:rPr>
                  <w:t>-</w:t>
                </w:r>
              </w:p>
            </w:tc>
          </w:tr>
          <w:tr w14:paraId="561744D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04C0F1F" w14:textId="6BA83022">
                <w:pPr>
                  <w:jc w:val="center"/>
                  <w:rPr>
                    <w:bCs/>
                    <w:szCs w:val="24"/>
                    <w:lang w:eastAsia="lt-LT"/>
                  </w:rPr>
                </w:pPr>
                <w:r>
                  <w:rPr>
                    <w:bCs/>
                    <w:szCs w:val="24"/>
                    <w:lang w:eastAsia="lt-LT"/>
                  </w:rPr>
                  <w:t>12.4.</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0ED1E9C" w14:textId="50FD670F">
                <w:pPr>
                  <w:jc w:val="both"/>
                  <w:rPr>
                    <w:color w:val="000000"/>
                    <w:szCs w:val="24"/>
                    <w:shd w:val="clear" w:color="auto" w:fill="FFFFFF"/>
                  </w:rPr>
                </w:pPr>
                <w:r>
                  <w:rPr>
                    <w:color w:val="000000"/>
                    <w:szCs w:val="24"/>
                    <w:shd w:val="clear" w:color="auto" w:fill="FFFFFF"/>
                  </w:rPr>
                  <w:t xml:space="preserve">Išmanyti įrangos ir talpyklų, užpildytų F-dujomis, ženklinimo reikalavimus vadovaujantis 2015 m. lapkričio 17 d., kuriuo pagal Europos Parlamento ir Tarybos reglamentą </w:t>
                </w:r>
                <w:fldSimple w:instr="HYPERLINK http://eur-lex.europa.eu/legal-content/LIT/TXT/?uri=CELEX:32014R0517&amp;locale=lt \t _blank">
                  <w:r>
                    <w:rPr>
                      <w:color w:val="0000FF" w:themeColor="hyperlink"/>
                      <w:szCs w:val="24"/>
                      <w:shd w:val="clear" w:color="auto" w:fill="FFFFFF"/>
                      <w:u w:val="single"/>
                    </w:rPr>
                    <w:t>(ES) Nr. 517/2014</w:t>
                  </w:r>
                </w:fldSimple>
                <w:r>
                  <w:rPr>
                    <w:color w:val="000000"/>
                    <w:szCs w:val="24"/>
                    <w:shd w:val="clear" w:color="auto" w:fill="FFFFFF"/>
                  </w:rPr>
                  <w:t xml:space="preserve"> nustatoma produktų ir įrangos, kuriuose yra fluorintų šiltnamio efektą sukeliančių dujų, etikečių formos reikalavimai</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51939A" w14:textId="1BFD414D">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BC1460" w14:textId="08F07DEC">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666837" w14:textId="1472CF29">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B8C871" w14:textId="7F171D9D">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EE7550" w14:textId="6AC82193">
                <w:pPr>
                  <w:jc w:val="center"/>
                  <w:rPr>
                    <w:b/>
                    <w:szCs w:val="24"/>
                    <w:lang w:eastAsia="lt-LT"/>
                  </w:rPr>
                </w:pPr>
                <w:r>
                  <w:rPr>
                    <w:b/>
                    <w:szCs w:val="24"/>
                    <w:lang w:eastAsia="lt-LT"/>
                  </w:rPr>
                  <w:t>-</w:t>
                </w:r>
              </w:p>
            </w:tc>
          </w:tr>
          <w:tr w14:paraId="43DD34A6"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7A549ECE" w14:textId="22D0E09D">
                <w:pPr>
                  <w:jc w:val="center"/>
                  <w:rPr>
                    <w:bCs/>
                    <w:szCs w:val="24"/>
                    <w:lang w:eastAsia="lt-LT"/>
                  </w:rPr>
                </w:pPr>
                <w:r>
                  <w:rPr>
                    <w:bCs/>
                    <w:szCs w:val="24"/>
                    <w:lang w:eastAsia="lt-LT"/>
                  </w:rPr>
                  <w:t>12.5.</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1B5D3CB9" w14:textId="45D8E55C">
                <w:pPr>
                  <w:jc w:val="both"/>
                  <w:rPr>
                    <w:color w:val="000000"/>
                    <w:szCs w:val="24"/>
                    <w:shd w:val="clear" w:color="auto" w:fill="FFFFFF"/>
                  </w:rPr>
                </w:pPr>
                <w:r>
                  <w:rPr>
                    <w:color w:val="000000"/>
                    <w:szCs w:val="24"/>
                    <w:shd w:val="clear" w:color="auto" w:fill="FFFFFF"/>
                  </w:rPr>
                  <w:t>F-dujų regeneravimo ir suardymo procesų, saugaus aušalų utilizavimo išmanymas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8C651D" w14:textId="5DBEDC52">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EF50A8" w14:textId="4E597B43">
                <w:pPr>
                  <w:jc w:val="center"/>
                  <w:rPr>
                    <w:b/>
                    <w:szCs w:val="24"/>
                    <w:lang w:eastAsia="lt-LT"/>
                  </w:rPr>
                </w:pPr>
                <w:r>
                  <w:rPr>
                    <w:b/>
                    <w:szCs w:val="24"/>
                    <w:lang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F639DD" w14:textId="13820A19">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169E4A" w14:textId="784B9605">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C34FE8" w14:textId="1ABCFD1D">
                <w:pPr>
                  <w:jc w:val="center"/>
                  <w:rPr>
                    <w:b/>
                    <w:szCs w:val="24"/>
                    <w:lang w:eastAsia="lt-LT"/>
                  </w:rPr>
                </w:pPr>
                <w:r>
                  <w:rPr>
                    <w:b/>
                    <w:szCs w:val="24"/>
                    <w:lang w:eastAsia="lt-LT"/>
                  </w:rPr>
                  <w:t>-</w:t>
                </w:r>
              </w:p>
            </w:tc>
          </w:tr>
          <w:tr w14:paraId="6ADC625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22E4D13" w14:textId="05DD6764">
                <w:pPr>
                  <w:jc w:val="center"/>
                  <w:rPr>
                    <w:bCs/>
                    <w:szCs w:val="24"/>
                    <w:lang w:eastAsia="lt-LT"/>
                  </w:rPr>
                </w:pPr>
                <w:r>
                  <w:rPr>
                    <w:bCs/>
                    <w:szCs w:val="24"/>
                    <w:lang w:eastAsia="lt-LT"/>
                  </w:rPr>
                  <w:t>12.6.</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454F841B" w14:textId="1C2E77FD">
                <w:pPr>
                  <w:jc w:val="both"/>
                  <w:rPr>
                    <w:color w:val="000000"/>
                    <w:szCs w:val="24"/>
                    <w:shd w:val="clear" w:color="auto" w:fill="FFFFFF"/>
                  </w:rPr>
                </w:pPr>
                <w:r>
                  <w:rPr>
                    <w:color w:val="000000"/>
                    <w:szCs w:val="24"/>
                    <w:shd w:val="clear" w:color="auto" w:fill="FFFFFF"/>
                  </w:rPr>
                  <w:t xml:space="preserve">Mokėti ir žinoti, kaip teikti ataskaitas per kompiuterizuotą aplinkosaugos informacijos sistemą (IS „AIVIKS“) </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8BCE1D" w14:textId="7E171C36">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6EF1E6" w14:textId="6A5C7DD6">
                <w:pPr>
                  <w:jc w:val="center"/>
                  <w:rPr>
                    <w:b/>
                    <w:szCs w:val="24"/>
                    <w:lang w:eastAsia="lt-LT"/>
                  </w:rPr>
                </w:pPr>
                <w:r>
                  <w:rPr>
                    <w:b/>
                    <w:szCs w:val="24"/>
                    <w:lang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42C359" w14:textId="7ECA2F61">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4CE90C" w14:textId="79547A1E">
                <w:pPr>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9568A5" w14:textId="5F470CFD">
                <w:pPr>
                  <w:jc w:val="center"/>
                  <w:rPr>
                    <w:b/>
                    <w:szCs w:val="24"/>
                    <w:lang w:eastAsia="lt-LT"/>
                  </w:rPr>
                </w:pPr>
                <w:r>
                  <w:rPr>
                    <w:b/>
                    <w:szCs w:val="24"/>
                    <w:lang w:eastAsia="lt-LT"/>
                  </w:rPr>
                  <w:t>-</w:t>
                </w:r>
              </w:p>
            </w:tc>
          </w:tr>
          <w:tr w14:paraId="18D4C3D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ACB64DA" w14:textId="38D1E085">
                <w:pPr>
                  <w:jc w:val="center"/>
                  <w:rPr>
                    <w:bCs/>
                    <w:szCs w:val="24"/>
                    <w:lang w:eastAsia="lt-LT"/>
                  </w:rPr>
                </w:pPr>
                <w:r>
                  <w:rPr>
                    <w:bCs/>
                    <w:szCs w:val="24"/>
                    <w:lang w:eastAsia="lt-LT"/>
                  </w:rPr>
                  <w:t>12.7.</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7E8C63A" w14:textId="74FE83BC">
                <w:pPr>
                  <w:jc w:val="both"/>
                  <w:rPr>
                    <w:color w:val="000000"/>
                    <w:szCs w:val="24"/>
                    <w:shd w:val="clear" w:color="auto" w:fill="FFFFFF"/>
                  </w:rPr>
                </w:pPr>
                <w:r>
                  <w:rPr>
                    <w:color w:val="000000"/>
                    <w:szCs w:val="24"/>
                    <w:shd w:val="clear" w:color="auto" w:fill="FFFFFF"/>
                  </w:rPr>
                  <w:t xml:space="preserve">Alternatyvios medžiagos ir (ar) sistemos, galinčios  pakeisti F-dujas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098066" w14:textId="57A24F6F">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8FC763" w14:textId="2402AB70">
                <w:pPr>
                  <w:jc w:val="center"/>
                  <w:rPr>
                    <w:b/>
                    <w:szCs w:val="24"/>
                    <w:lang w:val="en-US" w:eastAsia="lt-LT"/>
                  </w:rPr>
                </w:pPr>
                <w:r>
                  <w:rPr>
                    <w:b/>
                    <w:szCs w:val="24"/>
                    <w:lang w:val="en-US" w:eastAsia="lt-LT"/>
                  </w:rPr>
                  <w:t>1</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E0DE07" w14:textId="1577B624">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B2B42B" w14:textId="27A64B7E">
                <w:pPr>
                  <w:jc w:val="center"/>
                  <w:rPr>
                    <w:b/>
                    <w:szCs w:val="24"/>
                    <w:lang w:eastAsia="lt-LT"/>
                  </w:rPr>
                </w:pPr>
                <w:r>
                  <w:rPr>
                    <w:b/>
                    <w:szCs w:val="24"/>
                    <w:lang w:eastAsia="lt-LT"/>
                  </w:rPr>
                  <w:t>1</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B6B89A" w14:textId="2C933D60">
                <w:pPr>
                  <w:jc w:val="center"/>
                  <w:rPr>
                    <w:b/>
                    <w:szCs w:val="24"/>
                    <w:lang w:eastAsia="lt-LT"/>
                  </w:rPr>
                </w:pPr>
                <w:r>
                  <w:rPr>
                    <w:b/>
                    <w:szCs w:val="24"/>
                    <w:lang w:eastAsia="lt-LT"/>
                  </w:rPr>
                  <w:t>-</w:t>
                </w:r>
              </w:p>
            </w:tc>
          </w:tr>
          <w:tr w14:paraId="5E486FCE"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auto"/>
              </w:tcPr>
              <w:p w14:paraId="0BB1A529" w14:textId="24AEB3BD">
                <w:pPr>
                  <w:jc w:val="center"/>
                  <w:rPr>
                    <w:bCs/>
                    <w:szCs w:val="24"/>
                    <w:lang w:eastAsia="lt-LT"/>
                  </w:rPr>
                </w:pPr>
                <w:r>
                  <w:rPr>
                    <w:bCs/>
                    <w:szCs w:val="24"/>
                    <w:lang w:eastAsia="lt-LT"/>
                  </w:rPr>
                  <w:t>12.8.</w:t>
                </w:r>
              </w:p>
            </w:tc>
            <w:tc>
              <w:tcPr>
                <w:tcW w:w="1713" w:type="pct"/>
                <w:tcBorders>
                  <w:top w:val="single" w:sz="4" w:space="0" w:color="auto"/>
                  <w:left w:val="single" w:sz="4" w:space="0" w:color="auto"/>
                  <w:bottom w:val="single" w:sz="4" w:space="0" w:color="auto"/>
                  <w:right w:val="single" w:sz="4" w:space="0" w:color="auto"/>
                </w:tcBorders>
                <w:shd w:val="clear" w:color="auto" w:fill="FFFFFF" w:themeFill="background1"/>
              </w:tcPr>
              <w:p w14:paraId="3919CFD1" w14:textId="737158E7">
                <w:pPr>
                  <w:jc w:val="both"/>
                  <w:rPr>
                    <w:color w:val="000000"/>
                    <w:szCs w:val="24"/>
                    <w:shd w:val="clear" w:color="auto" w:fill="FFFFFF"/>
                  </w:rPr>
                </w:pPr>
                <w:r>
                  <w:rPr>
                    <w:color w:val="000000"/>
                    <w:szCs w:val="24"/>
                    <w:shd w:val="clear" w:color="auto" w:fill="FFFFFF"/>
                  </w:rPr>
                  <w:t>Žinoti gesintuvuose naudojamas F-dujas ir jų savybės, galimas alternatyvas, pakeisiančias F</w:t>
                  <w:noBreakHyphen/>
                  <w:t>dujas.</w:t>
                </w:r>
              </w:p>
            </w:tc>
            <w:tc>
              <w:tcPr>
                <w:tcW w:w="86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464810" w14:textId="08CE2D12">
                <w:pPr>
                  <w:jc w:val="both"/>
                  <w:rPr>
                    <w:bCs/>
                    <w:szCs w:val="24"/>
                    <w:lang w:eastAsia="lt-LT"/>
                  </w:rPr>
                </w:pPr>
                <w:r>
                  <w:rPr>
                    <w:bCs/>
                    <w:szCs w:val="24"/>
                    <w:lang w:eastAsia="lt-LT"/>
                  </w:rPr>
                  <w:t>teorinio egzamino metu</w:t>
                </w:r>
              </w:p>
            </w:tc>
            <w:tc>
              <w:tcPr>
                <w:tcW w:w="5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475E0F" w14:textId="12D9E86F">
                <w:pPr>
                  <w:jc w:val="center"/>
                  <w:rPr>
                    <w:b/>
                    <w:szCs w:val="24"/>
                    <w:lang w:val="en-US" w:eastAsia="lt-LT"/>
                  </w:rPr>
                </w:pPr>
                <w:r>
                  <w:rPr>
                    <w:b/>
                    <w:szCs w:val="24"/>
                    <w:lang w:val="en-US" w:eastAsia="lt-LT"/>
                  </w:rPr>
                  <w:t>0,5</w:t>
                </w:r>
              </w:p>
            </w:tc>
            <w:tc>
              <w:tcPr>
                <w:tcW w:w="51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F053E5" w14:textId="182943DB">
                <w:pPr>
                  <w:jc w:val="center"/>
                  <w:rPr>
                    <w:b/>
                    <w:szCs w:val="24"/>
                    <w:lang w:eastAsia="lt-LT"/>
                  </w:rPr>
                </w:pPr>
                <w:r>
                  <w:rPr>
                    <w:b/>
                    <w:szCs w:val="24"/>
                    <w:lang w:eastAsia="lt-LT"/>
                  </w:rPr>
                  <w:t>-</w:t>
                </w:r>
              </w:p>
            </w:tc>
            <w:tc>
              <w:tcPr>
                <w:tcW w:w="57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CF47FE" w14:textId="14069F77">
                <w:pPr>
                  <w:jc w:val="center"/>
                  <w:rPr>
                    <w:b/>
                    <w:szCs w:val="24"/>
                    <w:lang w:eastAsia="lt-LT"/>
                  </w:rPr>
                </w:pPr>
                <w:r>
                  <w:rPr>
                    <w:b/>
                    <w:szCs w:val="24"/>
                    <w:lang w:eastAsia="lt-LT"/>
                  </w:rPr>
                  <w:t>0,5</w:t>
                </w:r>
              </w:p>
            </w:tc>
            <w:tc>
              <w:tcPr>
                <w:tcW w:w="5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099FE8" w14:textId="2726C2F8">
                <w:pPr>
                  <w:jc w:val="center"/>
                  <w:rPr>
                    <w:b/>
                    <w:szCs w:val="24"/>
                    <w:lang w:eastAsia="lt-LT"/>
                  </w:rPr>
                </w:pPr>
                <w:r>
                  <w:rPr>
                    <w:b/>
                    <w:szCs w:val="24"/>
                    <w:lang w:eastAsia="lt-LT"/>
                  </w:rPr>
                  <w:t>-</w:t>
                </w:r>
              </w:p>
            </w:tc>
          </w:tr>
          <w:tr w14:paraId="6F13E4C4" w14:textId="77777777">
            <w:trPr>
              <w:trHeight w:val="20"/>
              <w:jc w:val="center"/>
            </w:trPr>
            <w:tc>
              <w:tcPr>
                <w:tcW w:w="2815"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3321C7" w14:textId="70D1E4CD">
                <w:pPr>
                  <w:jc w:val="right"/>
                  <w:rPr>
                    <w:b/>
                    <w:szCs w:val="24"/>
                    <w:lang w:eastAsia="lt-LT"/>
                  </w:rPr>
                </w:pPr>
                <w:r>
                  <w:rPr>
                    <w:b/>
                    <w:szCs w:val="24"/>
                    <w:lang w:eastAsia="lt-LT"/>
                  </w:rPr>
                  <w:t>Iš viso:</w:t>
                </w:r>
              </w:p>
            </w:tc>
            <w:tc>
              <w:tcPr>
                <w:tcW w:w="1089"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BF6C37" w14:textId="0CA9C31B">
                <w:pPr>
                  <w:jc w:val="center"/>
                  <w:rPr>
                    <w:b/>
                    <w:szCs w:val="24"/>
                    <w:lang w:eastAsia="lt-LT"/>
                  </w:rPr>
                </w:pPr>
                <w:r>
                  <w:rPr>
                    <w:b/>
                    <w:szCs w:val="24"/>
                    <w:lang w:eastAsia="lt-LT"/>
                  </w:rPr>
                  <w:t>17 kontaktinio mokymo valandos</w:t>
                </w:r>
              </w:p>
            </w:tc>
            <w:tc>
              <w:tcPr>
                <w:tcW w:w="1096"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C8EC09" w14:textId="64DDA957">
                <w:pPr>
                  <w:jc w:val="center"/>
                  <w:rPr>
                    <w:b/>
                    <w:szCs w:val="24"/>
                    <w:lang w:eastAsia="lt-LT"/>
                  </w:rPr>
                </w:pPr>
                <w:r>
                  <w:rPr>
                    <w:b/>
                    <w:szCs w:val="24"/>
                    <w:lang w:eastAsia="lt-LT"/>
                  </w:rPr>
                  <w:t>10,5 kontaktinio mokymo valandos</w:t>
                </w:r>
              </w:p>
            </w:tc>
          </w:tr>
          <w:tr w14:paraId="7050D0D6"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539AAFA3" w14:textId="02A31592">
                <w:pPr>
                  <w:jc w:val="both"/>
                  <w:rPr>
                    <w:i/>
                    <w:szCs w:val="24"/>
                    <w:lang w:eastAsia="lt-LT"/>
                  </w:rPr>
                </w:pPr>
                <w:r>
                  <w:rPr>
                    <w:b/>
                    <w:szCs w:val="24"/>
                    <w:lang w:eastAsia="lt-LT"/>
                  </w:rPr>
                  <w:t>3. Pasirengimas vykdyti mokymus ir mokymui organizuoti reikalingos priemonės</w:t>
                </w:r>
              </w:p>
            </w:tc>
          </w:tr>
          <w:tr w14:paraId="30E93764"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67688CAA" w14:textId="77AF143F">
                <w:pPr>
                  <w:jc w:val="both"/>
                  <w:rPr>
                    <w:b/>
                    <w:szCs w:val="24"/>
                    <w:lang w:eastAsia="lt-LT"/>
                  </w:rPr>
                </w:pPr>
                <w:r>
                  <w:rPr>
                    <w:b/>
                    <w:szCs w:val="24"/>
                    <w:lang w:eastAsia="lt-LT"/>
                  </w:rPr>
                  <w:t>3.1. Reikalavimai mokymą, egzaminavimą, vertinimą atliekantiems asmenims:</w:t>
                </w:r>
              </w:p>
            </w:tc>
          </w:tr>
          <w:tr w14:paraId="29D517DB"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7DFEC4CD" w14:textId="77777777">
                <w:pPr>
                  <w:jc w:val="both"/>
                  <w:rPr>
                    <w:bCs/>
                    <w:szCs w:val="24"/>
                    <w:lang w:eastAsia="lt-LT"/>
                  </w:rPr>
                </w:pPr>
                <w:r>
                  <w:rPr>
                    <w:bCs/>
                    <w:szCs w:val="24"/>
                    <w:lang w:eastAsia="lt-LT"/>
                  </w:rPr>
                  <w:t>1.</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4BA9B03" w14:textId="6133502D">
                <w:pPr>
                  <w:jc w:val="both"/>
                  <w:rPr>
                    <w:b/>
                    <w:szCs w:val="24"/>
                    <w:lang w:eastAsia="lt-LT"/>
                  </w:rPr>
                </w:pPr>
                <w:r>
                  <w:rPr>
                    <w:bCs/>
                    <w:szCs w:val="24"/>
                    <w:lang w:eastAsia="lt-LT"/>
                  </w:rPr>
                  <w:t>Išsilavinimas</w:t>
                </w:r>
              </w:p>
            </w:tc>
            <w:tc>
              <w:tcPr>
                <w:tcW w:w="3051" w:type="pct"/>
                <w:gridSpan w:val="5"/>
                <w:vMerge w:val="restart"/>
                <w:tcBorders>
                  <w:top w:val="single" w:sz="4" w:space="0" w:color="auto"/>
                  <w:left w:val="single" w:sz="4" w:space="0" w:color="auto"/>
                  <w:right w:val="single" w:sz="4" w:space="0" w:color="auto"/>
                </w:tcBorders>
                <w:shd w:val="clear" w:color="auto" w:fill="FFFFFF" w:themeFill="background1"/>
                <w:vAlign w:val="center"/>
              </w:tcPr>
              <w:p w14:paraId="360646C1" w14:textId="6D908220">
                <w:pPr>
                  <w:jc w:val="both"/>
                  <w:rPr>
                    <w:bCs/>
                    <w:szCs w:val="24"/>
                    <w:lang w:eastAsia="lt-LT"/>
                  </w:rPr>
                </w:pPr>
                <w:r>
                  <w:rPr>
                    <w:bCs/>
                    <w:szCs w:val="24"/>
                    <w:lang w:eastAsia="lt-LT"/>
                  </w:rPr>
                  <w:t xml:space="preserve">Nurodomi Lietuvos Respublikos aplinkos ministro įsakymų patvirtintame </w:t>
                </w:r>
                <w:r>
                  <w:t>Darbuotojų, dirbančių su fluorintomis šiltnamio efektą sukeliančiomis dujomis ir ozono sluoksnį ardančiomis medžiagomis bei jų turinčia įranga, atestavimo, sertifikavimo ir kvalifikacijos tobulinimo programų vykdymo tvarkos apraše (toliau – Tvarkos aprašas)</w:t>
                </w:r>
              </w:p>
            </w:tc>
          </w:tr>
          <w:tr w14:paraId="32352945"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F00F9CF" w14:textId="77777777">
                <w:pPr>
                  <w:jc w:val="both"/>
                  <w:rPr>
                    <w:bCs/>
                    <w:szCs w:val="24"/>
                    <w:lang w:eastAsia="lt-LT"/>
                  </w:rPr>
                </w:pPr>
                <w:r>
                  <w:rPr>
                    <w:bCs/>
                    <w:szCs w:val="24"/>
                    <w:lang w:eastAsia="lt-LT"/>
                  </w:rPr>
                  <w:t>2.</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7CCED6B3" w14:textId="09C4521C">
                <w:pPr>
                  <w:jc w:val="both"/>
                  <w:rPr>
                    <w:b/>
                    <w:szCs w:val="24"/>
                    <w:lang w:eastAsia="lt-LT"/>
                  </w:rPr>
                </w:pPr>
                <w:r>
                  <w:rPr>
                    <w:bCs/>
                    <w:szCs w:val="24"/>
                    <w:lang w:eastAsia="lt-LT"/>
                  </w:rPr>
                  <w:t>Darbo patirtis</w:t>
                </w:r>
              </w:p>
            </w:tc>
            <w:tc>
              <w:tcPr>
                <w:tcW w:w="3051" w:type="pct"/>
                <w:gridSpan w:val="5"/>
                <w:vMerge/>
                <w:tcBorders>
                  <w:left w:val="single" w:sz="4" w:space="0" w:color="auto"/>
                  <w:right w:val="single" w:sz="4" w:space="0" w:color="auto"/>
                </w:tcBorders>
                <w:shd w:val="clear" w:color="auto" w:fill="FFFFFF" w:themeFill="background1"/>
              </w:tcPr>
              <w:p w14:paraId="2540637B" w14:textId="21D9D9C5">
                <w:pPr>
                  <w:jc w:val="both"/>
                  <w:rPr>
                    <w:bCs/>
                    <w:szCs w:val="24"/>
                    <w:lang w:eastAsia="lt-LT"/>
                  </w:rPr>
                </w:pPr>
              </w:p>
            </w:tc>
          </w:tr>
          <w:tr w14:paraId="1D823882"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C7D0FC3" w14:textId="77777777">
                <w:pPr>
                  <w:jc w:val="both"/>
                  <w:rPr>
                    <w:bCs/>
                    <w:szCs w:val="24"/>
                    <w:lang w:eastAsia="lt-LT"/>
                  </w:rPr>
                </w:pPr>
                <w:r>
                  <w:rPr>
                    <w:bCs/>
                    <w:szCs w:val="24"/>
                    <w:lang w:eastAsia="lt-LT"/>
                  </w:rPr>
                  <w:t xml:space="preserve">3. </w:t>
                </w:r>
              </w:p>
            </w:tc>
            <w:tc>
              <w:tcPr>
                <w:tcW w:w="1713" w:type="pct"/>
                <w:tcBorders>
                  <w:top w:val="single" w:sz="4" w:space="0" w:color="auto"/>
                  <w:left w:val="single" w:sz="4" w:space="0" w:color="auto"/>
                  <w:bottom w:val="single" w:sz="4" w:space="0" w:color="auto"/>
                  <w:right w:val="single" w:sz="4" w:space="0" w:color="auto"/>
                </w:tcBorders>
                <w:shd w:val="clear" w:color="auto" w:fill="E7E6E6" w:themeFill="background2"/>
              </w:tcPr>
              <w:p w14:paraId="3BB6D377" w14:textId="09BAC2F3">
                <w:pPr>
                  <w:jc w:val="both"/>
                  <w:rPr>
                    <w:bCs/>
                    <w:szCs w:val="24"/>
                    <w:lang w:eastAsia="lt-LT"/>
                  </w:rPr>
                </w:pPr>
                <w:r>
                  <w:rPr>
                    <w:bCs/>
                    <w:szCs w:val="24"/>
                    <w:lang w:eastAsia="lt-LT"/>
                  </w:rPr>
                  <w:t>Kiti reikalavimai</w:t>
                </w:r>
              </w:p>
            </w:tc>
            <w:tc>
              <w:tcPr>
                <w:tcW w:w="3051" w:type="pct"/>
                <w:gridSpan w:val="5"/>
                <w:vMerge/>
                <w:tcBorders>
                  <w:left w:val="single" w:sz="4" w:space="0" w:color="auto"/>
                  <w:bottom w:val="single" w:sz="4" w:space="0" w:color="auto"/>
                  <w:right w:val="single" w:sz="4" w:space="0" w:color="auto"/>
                </w:tcBorders>
                <w:shd w:val="clear" w:color="auto" w:fill="FFFFFF" w:themeFill="background1"/>
              </w:tcPr>
              <w:p w14:paraId="3AC11CFF" w14:textId="0352FDA8">
                <w:pPr>
                  <w:jc w:val="both"/>
                  <w:rPr>
                    <w:bCs/>
                    <w:szCs w:val="24"/>
                    <w:lang w:eastAsia="lt-LT"/>
                  </w:rPr>
                </w:pPr>
              </w:p>
            </w:tc>
          </w:tr>
          <w:tr w14:paraId="542E2E75" w14:textId="77777777">
            <w:trPr>
              <w:trHeight w:val="20"/>
              <w:jc w:val="center"/>
            </w:trPr>
            <w:tc>
              <w:tcPr>
                <w:tcW w:w="5000" w:type="pct"/>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27BE8CD9" w14:textId="327019B3">
                <w:pPr>
                  <w:jc w:val="both"/>
                  <w:rPr>
                    <w:b/>
                    <w:szCs w:val="24"/>
                    <w:lang w:eastAsia="lt-LT"/>
                  </w:rPr>
                </w:pPr>
                <w:r>
                  <w:rPr>
                    <w:b/>
                    <w:szCs w:val="24"/>
                    <w:lang w:eastAsia="lt-LT"/>
                  </w:rPr>
                  <w:t>3.2. Reikalavimai mokymo patalpoms ir materialiesiems ištekliams</w:t>
                </w:r>
              </w:p>
            </w:tc>
          </w:tr>
          <w:tr w14:paraId="06C4480D"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AB91F3D" w14:textId="77777777">
                <w:pPr>
                  <w:jc w:val="both"/>
                  <w:rPr>
                    <w:b/>
                    <w:szCs w:val="24"/>
                    <w:lang w:eastAsia="lt-LT"/>
                  </w:rPr>
                </w:pPr>
                <w:r>
                  <w:rPr>
                    <w:b/>
                    <w:szCs w:val="24"/>
                    <w:lang w:eastAsia="lt-LT"/>
                  </w:rPr>
                  <w:t>Eil. Nr.</w:t>
                </w:r>
              </w:p>
            </w:tc>
            <w:tc>
              <w:tcPr>
                <w:tcW w:w="4764" w:type="pct"/>
                <w:gridSpan w:val="6"/>
                <w:shd w:val="clear" w:color="auto" w:fill="E7E6E6" w:themeFill="background2"/>
              </w:tcPr>
              <w:p w14:paraId="6B17AFE8" w14:textId="2871BD0E">
                <w:pPr>
                  <w:jc w:val="both"/>
                  <w:rPr>
                    <w:b/>
                    <w:bCs/>
                    <w:szCs w:val="24"/>
                    <w:lang w:eastAsia="lt-LT"/>
                  </w:rPr>
                </w:pPr>
                <w:r>
                  <w:rPr>
                    <w:rFonts w:eastAsia="Calibri"/>
                    <w:b/>
                    <w:bCs/>
                    <w:szCs w:val="24"/>
                  </w:rPr>
                  <w:t>Mokymui reikalingos priemonės, reikalavimai patalpoms</w:t>
                </w:r>
              </w:p>
            </w:tc>
          </w:tr>
          <w:tr w14:paraId="2131A120"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330CDC70" w14:textId="77777777">
                <w:pPr>
                  <w:jc w:val="both"/>
                  <w:rPr>
                    <w:b/>
                    <w:szCs w:val="24"/>
                    <w:lang w:eastAsia="lt-LT"/>
                  </w:rPr>
                </w:pPr>
                <w:r>
                  <w:rPr>
                    <w:rFonts w:eastAsia="Calibri"/>
                    <w:szCs w:val="24"/>
                  </w:rPr>
                  <w:t>1.</w:t>
                </w:r>
              </w:p>
            </w:tc>
            <w:tc>
              <w:tcPr>
                <w:tcW w:w="1713" w:type="pct"/>
                <w:shd w:val="clear" w:color="auto" w:fill="E7E6E6" w:themeFill="background2"/>
              </w:tcPr>
              <w:p w14:paraId="0F7173A1" w14:textId="52642512">
                <w:pPr>
                  <w:rPr>
                    <w:rFonts w:eastAsia="Calibri"/>
                    <w:b/>
                    <w:bCs/>
                    <w:szCs w:val="24"/>
                  </w:rPr>
                </w:pPr>
                <w:r>
                  <w:rPr>
                    <w:rFonts w:eastAsia="Calibri"/>
                    <w:szCs w:val="24"/>
                  </w:rPr>
                  <w:t>Mokymo patalpos</w:t>
                </w:r>
              </w:p>
            </w:tc>
            <w:tc>
              <w:tcPr>
                <w:tcW w:w="3051" w:type="pct"/>
                <w:gridSpan w:val="5"/>
              </w:tcPr>
              <w:p w14:paraId="0E6DB125" w14:textId="1F7ECAE9">
                <w:pPr>
                  <w:jc w:val="both"/>
                  <w:rPr>
                    <w:rFonts w:eastAsia="Calibri"/>
                    <w:szCs w:val="24"/>
                  </w:rPr>
                </w:pPr>
                <w:r>
                  <w:rPr>
                    <w:rFonts w:eastAsia="Calibri"/>
                    <w:szCs w:val="24"/>
                  </w:rPr>
                  <w:t>Teorinio mokymo patalpa turi būti pritaikyta vykdyti šios dalies mokymą, egzaminavimą. Praktinio mokymo patalpos turi būti pritaikytos atlikti praktinius mokymus ir egzaminavimą. Patalpos turi būti įrengtos pagal Tvarkos aprašo 15.13 papunktyje nurodytus reikalavimus.</w:t>
                </w:r>
              </w:p>
            </w:tc>
          </w:tr>
          <w:tr w14:paraId="77C12BFA"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07FF0373" w14:textId="77777777">
                <w:pPr>
                  <w:jc w:val="both"/>
                  <w:rPr>
                    <w:b/>
                    <w:szCs w:val="24"/>
                    <w:lang w:eastAsia="lt-LT"/>
                  </w:rPr>
                </w:pPr>
                <w:r>
                  <w:rPr>
                    <w:rFonts w:eastAsia="Calibri"/>
                    <w:szCs w:val="24"/>
                  </w:rPr>
                  <w:t>2.</w:t>
                </w:r>
              </w:p>
            </w:tc>
            <w:tc>
              <w:tcPr>
                <w:tcW w:w="1713" w:type="pct"/>
                <w:shd w:val="clear" w:color="auto" w:fill="E7E6E6" w:themeFill="background2"/>
              </w:tcPr>
              <w:p w14:paraId="5D33F671" w14:textId="6C0C45CE">
                <w:pPr>
                  <w:jc w:val="both"/>
                  <w:rPr>
                    <w:rFonts w:eastAsia="Calibri"/>
                    <w:szCs w:val="24"/>
                  </w:rPr>
                </w:pPr>
                <w:r>
                  <w:rPr>
                    <w:rFonts w:eastAsia="Calibri"/>
                    <w:szCs w:val="24"/>
                  </w:rPr>
                  <w:t>Mokymo procesui būtini materialieji ištekliai</w:t>
                </w:r>
              </w:p>
            </w:tc>
            <w:tc>
              <w:tcPr>
                <w:tcW w:w="3051" w:type="pct"/>
                <w:gridSpan w:val="5"/>
              </w:tcPr>
              <w:p w14:paraId="2D823893" w14:textId="5DC4DC8D">
                <w:pPr>
                  <w:jc w:val="both"/>
                  <w:rPr>
                    <w:rFonts w:eastAsia="Calibri"/>
                    <w:szCs w:val="24"/>
                  </w:rPr>
                </w:pPr>
                <w:r>
                  <w:rPr>
                    <w:rFonts w:eastAsia="Calibri"/>
                    <w:szCs w:val="24"/>
                  </w:rPr>
                  <w:t>Materialiųjų išteklių sąrašas nurodytas Tvarkos aprašo 3 priede.</w:t>
                </w:r>
              </w:p>
            </w:tc>
          </w:tr>
          <w:tr w14:paraId="453C134F" w14:textId="77777777">
            <w:trPr>
              <w:trHeight w:val="20"/>
              <w:jc w:val="center"/>
            </w:trPr>
            <w:tc>
              <w:tcPr>
                <w:tcW w:w="5000" w:type="pct"/>
                <w:gridSpan w:val="7"/>
                <w:tcBorders>
                  <w:top w:val="single" w:sz="4" w:space="0" w:color="auto"/>
                  <w:left w:val="single" w:sz="4" w:space="0" w:color="auto"/>
                  <w:bottom w:val="single" w:sz="4" w:space="0" w:color="auto"/>
                </w:tcBorders>
                <w:shd w:val="clear" w:color="auto" w:fill="E7E6E6" w:themeFill="background2"/>
              </w:tcPr>
              <w:p w14:paraId="002C7974" w14:textId="47286CC1">
                <w:pPr>
                  <w:jc w:val="both"/>
                  <w:rPr>
                    <w:rFonts w:eastAsia="Calibri"/>
                    <w:b/>
                    <w:bCs/>
                    <w:szCs w:val="24"/>
                  </w:rPr>
                </w:pPr>
                <w:r>
                  <w:rPr>
                    <w:rFonts w:eastAsia="Calibri"/>
                    <w:b/>
                    <w:bCs/>
                    <w:szCs w:val="24"/>
                  </w:rPr>
                  <w:t>4. Fizinių asmenų egzaminavimas</w:t>
                </w:r>
              </w:p>
            </w:tc>
          </w:tr>
          <w:tr w14:paraId="770F8D7F"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CBD9212" w14:textId="354C1956">
                <w:pPr>
                  <w:jc w:val="both"/>
                  <w:rPr>
                    <w:rFonts w:eastAsia="Calibri"/>
                    <w:szCs w:val="24"/>
                  </w:rPr>
                </w:pPr>
                <w:r>
                  <w:rPr>
                    <w:rFonts w:eastAsia="Calibri"/>
                    <w:szCs w:val="24"/>
                  </w:rPr>
                  <w:t>1.</w:t>
                </w:r>
              </w:p>
            </w:tc>
            <w:tc>
              <w:tcPr>
                <w:tcW w:w="1713" w:type="pct"/>
                <w:shd w:val="clear" w:color="auto" w:fill="E7E6E6" w:themeFill="background2"/>
              </w:tcPr>
              <w:p w14:paraId="7F9992A1" w14:textId="0897D2C1">
                <w:pPr>
                  <w:jc w:val="both"/>
                  <w:rPr>
                    <w:rFonts w:eastAsia="Calibri"/>
                    <w:szCs w:val="24"/>
                  </w:rPr>
                </w:pPr>
                <w:r>
                  <w:rPr>
                    <w:rFonts w:eastAsia="Calibri"/>
                    <w:szCs w:val="24"/>
                  </w:rPr>
                  <w:t>Egzaminų dalys</w:t>
                </w:r>
              </w:p>
            </w:tc>
            <w:tc>
              <w:tcPr>
                <w:tcW w:w="3051" w:type="pct"/>
                <w:gridSpan w:val="5"/>
                <w:vMerge w:val="restart"/>
                <w:vAlign w:val="center"/>
              </w:tcPr>
              <w:p w14:paraId="419B1F60" w14:textId="0CB8B564">
                <w:pPr>
                  <w:jc w:val="both"/>
                  <w:rPr>
                    <w:rFonts w:eastAsia="Calibri"/>
                    <w:szCs w:val="24"/>
                  </w:rPr>
                </w:pPr>
                <w:r>
                  <w:rPr>
                    <w:rFonts w:eastAsia="Calibri"/>
                    <w:szCs w:val="24"/>
                  </w:rPr>
                  <w:t>Pagal Tvarkos aprašo VIII skyrių.</w:t>
                </w:r>
              </w:p>
            </w:tc>
          </w:tr>
          <w:tr w14:paraId="2AE5D3C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2AB4495C" w14:textId="7469F8C3">
                <w:pPr>
                  <w:jc w:val="both"/>
                  <w:rPr>
                    <w:rFonts w:eastAsia="Calibri"/>
                    <w:szCs w:val="24"/>
                  </w:rPr>
                </w:pPr>
                <w:r>
                  <w:rPr>
                    <w:rFonts w:eastAsia="Calibri"/>
                    <w:szCs w:val="24"/>
                  </w:rPr>
                  <w:t>2.</w:t>
                </w:r>
              </w:p>
            </w:tc>
            <w:tc>
              <w:tcPr>
                <w:tcW w:w="1713" w:type="pct"/>
                <w:shd w:val="clear" w:color="auto" w:fill="E7E6E6" w:themeFill="background2"/>
              </w:tcPr>
              <w:p w14:paraId="616F0A96" w14:textId="5165CEB4">
                <w:pPr>
                  <w:jc w:val="both"/>
                  <w:rPr>
                    <w:rFonts w:eastAsia="Calibri"/>
                    <w:szCs w:val="24"/>
                  </w:rPr>
                </w:pPr>
                <w:r>
                  <w:rPr>
                    <w:rFonts w:eastAsia="Calibri"/>
                    <w:szCs w:val="24"/>
                  </w:rPr>
                  <w:t>Teorinės dalies egzamino užduočių struktūra</w:t>
                </w:r>
              </w:p>
            </w:tc>
            <w:tc>
              <w:tcPr>
                <w:tcW w:w="3051" w:type="pct"/>
                <w:gridSpan w:val="5"/>
                <w:vMerge/>
              </w:tcPr>
              <w:p w14:paraId="7BF61739" w14:textId="77777777">
                <w:pPr>
                  <w:jc w:val="both"/>
                  <w:rPr>
                    <w:rFonts w:eastAsia="Calibri"/>
                    <w:szCs w:val="24"/>
                  </w:rPr>
                </w:pPr>
              </w:p>
            </w:tc>
          </w:tr>
          <w:tr w14:paraId="6E6679D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DFA4CB0" w14:textId="68916B77">
                <w:pPr>
                  <w:jc w:val="both"/>
                  <w:rPr>
                    <w:rFonts w:eastAsia="Calibri"/>
                    <w:szCs w:val="24"/>
                  </w:rPr>
                </w:pPr>
                <w:r>
                  <w:rPr>
                    <w:rFonts w:eastAsia="Calibri"/>
                    <w:szCs w:val="24"/>
                  </w:rPr>
                  <w:t>3.</w:t>
                </w:r>
              </w:p>
            </w:tc>
            <w:tc>
              <w:tcPr>
                <w:tcW w:w="1713" w:type="pct"/>
                <w:shd w:val="clear" w:color="auto" w:fill="E7E6E6" w:themeFill="background2"/>
              </w:tcPr>
              <w:p w14:paraId="165CDC26" w14:textId="32284811">
                <w:pPr>
                  <w:jc w:val="both"/>
                  <w:rPr>
                    <w:rFonts w:eastAsia="Calibri"/>
                    <w:szCs w:val="24"/>
                  </w:rPr>
                </w:pPr>
                <w:r>
                  <w:rPr>
                    <w:rFonts w:eastAsia="Calibri"/>
                    <w:szCs w:val="24"/>
                  </w:rPr>
                  <w:t>Egzaminavimo dalių trukmė</w:t>
                </w:r>
              </w:p>
            </w:tc>
            <w:tc>
              <w:tcPr>
                <w:tcW w:w="3051" w:type="pct"/>
                <w:gridSpan w:val="5"/>
                <w:vMerge/>
              </w:tcPr>
              <w:p w14:paraId="037659FA" w14:textId="77777777">
                <w:pPr>
                  <w:jc w:val="both"/>
                  <w:rPr>
                    <w:rFonts w:eastAsia="Calibri"/>
                    <w:szCs w:val="24"/>
                  </w:rPr>
                </w:pPr>
              </w:p>
            </w:tc>
          </w:tr>
          <w:tr w14:paraId="7F3C7673"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6A7946F1" w14:textId="605F0FE8">
                <w:pPr>
                  <w:jc w:val="both"/>
                  <w:rPr>
                    <w:rFonts w:eastAsia="Calibri"/>
                    <w:szCs w:val="24"/>
                  </w:rPr>
                </w:pPr>
                <w:r>
                  <w:rPr>
                    <w:rFonts w:eastAsia="Calibri"/>
                    <w:szCs w:val="24"/>
                  </w:rPr>
                  <w:t>4.</w:t>
                </w:r>
              </w:p>
            </w:tc>
            <w:tc>
              <w:tcPr>
                <w:tcW w:w="1713" w:type="pct"/>
                <w:shd w:val="clear" w:color="auto" w:fill="E7E6E6" w:themeFill="background2"/>
              </w:tcPr>
              <w:p w14:paraId="49A388FB" w14:textId="36E43861">
                <w:pPr>
                  <w:jc w:val="both"/>
                  <w:rPr>
                    <w:rFonts w:eastAsia="Calibri"/>
                    <w:szCs w:val="24"/>
                  </w:rPr>
                </w:pPr>
                <w:r>
                  <w:rPr>
                    <w:rFonts w:eastAsia="Calibri"/>
                    <w:szCs w:val="24"/>
                  </w:rPr>
                  <w:t>Būtini reikalavimai fiziniams asmenims išlaikyti teorinio ir praktinio egzaminų dalis</w:t>
                </w:r>
              </w:p>
            </w:tc>
            <w:tc>
              <w:tcPr>
                <w:tcW w:w="3051" w:type="pct"/>
                <w:gridSpan w:val="5"/>
                <w:vMerge/>
              </w:tcPr>
              <w:p w14:paraId="21CAE193" w14:textId="77777777">
                <w:pPr>
                  <w:jc w:val="both"/>
                  <w:rPr>
                    <w:rFonts w:eastAsia="Calibri"/>
                    <w:szCs w:val="24"/>
                  </w:rPr>
                </w:pPr>
              </w:p>
            </w:tc>
          </w:tr>
          <w:tr w14:paraId="14453F07" w14:textId="77777777">
            <w:trPr>
              <w:trHeight w:val="20"/>
              <w:jc w:val="center"/>
            </w:trPr>
            <w:tc>
              <w:tcPr>
                <w:tcW w:w="236" w:type="pct"/>
                <w:tcBorders>
                  <w:top w:val="single" w:sz="4" w:space="0" w:color="auto"/>
                  <w:left w:val="single" w:sz="4" w:space="0" w:color="auto"/>
                  <w:bottom w:val="single" w:sz="4" w:space="0" w:color="auto"/>
                  <w:right w:val="single" w:sz="4" w:space="0" w:color="auto"/>
                </w:tcBorders>
                <w:shd w:val="clear" w:color="auto" w:fill="E7E6E6" w:themeFill="background2"/>
              </w:tcPr>
              <w:p w14:paraId="416F86CA" w14:textId="07EBC046">
                <w:pPr>
                  <w:jc w:val="both"/>
                  <w:rPr>
                    <w:rFonts w:eastAsia="Calibri"/>
                    <w:szCs w:val="24"/>
                  </w:rPr>
                </w:pPr>
                <w:r>
                  <w:rPr>
                    <w:rFonts w:eastAsia="Calibri"/>
                    <w:szCs w:val="24"/>
                  </w:rPr>
                  <w:t>5.</w:t>
                </w:r>
              </w:p>
            </w:tc>
            <w:tc>
              <w:tcPr>
                <w:tcW w:w="1713" w:type="pct"/>
                <w:shd w:val="clear" w:color="auto" w:fill="E7E6E6" w:themeFill="background2"/>
              </w:tcPr>
              <w:p w14:paraId="6E92BD2F" w14:textId="0401E39F">
                <w:pPr>
                  <w:jc w:val="both"/>
                  <w:rPr>
                    <w:rFonts w:eastAsia="Calibri"/>
                    <w:szCs w:val="24"/>
                  </w:rPr>
                </w:pPr>
                <w:r>
                  <w:rPr>
                    <w:rFonts w:eastAsia="Calibri"/>
                    <w:szCs w:val="24"/>
                  </w:rPr>
                  <w:t>Kiti reikalavimai</w:t>
                </w:r>
              </w:p>
            </w:tc>
            <w:tc>
              <w:tcPr>
                <w:tcW w:w="3051" w:type="pct"/>
                <w:gridSpan w:val="5"/>
                <w:vMerge/>
              </w:tcPr>
              <w:p w14:paraId="0E70B10F" w14:textId="77777777">
                <w:pPr>
                  <w:jc w:val="both"/>
                  <w:rPr>
                    <w:rFonts w:eastAsia="Calibri"/>
                    <w:szCs w:val="24"/>
                  </w:rPr>
                </w:pPr>
              </w:p>
            </w:tc>
          </w:tr>
        </w:tbl>
        <w:p w14:paraId="272A0EC1" w14:textId="77777777">
          <w:pPr>
            <w:rPr>
              <w:szCs w:val="24"/>
            </w:rPr>
          </w:pPr>
        </w:p>
        <w:p w14:paraId="69CBFEC3" w14:textId="77777777">
          <w:pPr>
            <w:rPr>
              <w:szCs w:val="24"/>
            </w:rPr>
          </w:pPr>
        </w:p>
        <w:sdt>
          <w:sdtPr>
            <w:alias w:val="signatura"/>
            <w:tag w:val="part_fbba51edc3c74ac885a73800627833bf"/>
            <w:lock w:val="sdtLocked"/>
            <w:richText/>
          </w:sdtPr>
          <w:sdtContent>
            <w:p w14:paraId="1B5A2600" w14:textId="77777777">
              <w:pPr>
                <w:jc w:val="center"/>
                <w:rPr>
                  <w:szCs w:val="24"/>
                </w:rPr>
              </w:pPr>
              <w:r>
                <w:rPr>
                  <w:szCs w:val="24"/>
                </w:rPr>
                <w:t>___________________________</w:t>
              </w:r>
            </w:p>
            <w:p w14:paraId="66B79247" w14:textId="77777777">
              <w:pPr>
                <w:rPr>
                  <w:szCs w:val="24"/>
                </w:rPr>
              </w:pPr>
            </w:p>
            <w:p w14:paraId="0B2F97A1" w14:textId="77777777">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134" w:bottom="567" w:left="85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DB2C1A" w14:textId="77777777">
      <w:r>
        <w:separator/>
      </w:r>
    </w:p>
  </w:endnote>
  <w:endnote w:type="continuationSeparator" w:id="0">
    <w:p w14:paraId="36941E4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D7D24"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D10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5728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A6897" w14:textId="77777777">
      <w:r>
        <w:separator/>
      </w:r>
    </w:p>
  </w:footnote>
  <w:footnote w:type="continuationSeparator" w:id="0">
    <w:p w14:paraId="265724E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B1F4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901C4" w14:textId="43BF8F03">
    <w:pPr>
      <w:tabs>
        <w:tab w:val="center" w:pos="4819"/>
        <w:tab w:val="right" w:pos="9638"/>
      </w:tabs>
      <w:jc w:val="center"/>
    </w:pPr>
    <w:r>
      <w:fldChar w:fldCharType="begin"/>
    </w:r>
    <w:r>
      <w:instrText>PAGE   \* MERGEFORMAT</w:instrText>
    </w:r>
    <w:r>
      <w:fldChar w:fldCharType="separate"/>
    </w:r>
    <w:r>
      <w:t>5</w:t>
    </w:r>
    <w:r>
      <w:fldChar w:fldCharType="end"/>
    </w:r>
  </w:p>
  <w:p w14:paraId="74322F8A"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8EDC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9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E5031"/>
  <w15:docId w15:val="{D604D5EB-C166-4E7E-BD84-703EE45D6D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3db5aa3b8d24545810e9dd993ba44f8" PartId="bc337edd61d74cbd926fb994dfc142f9"/>
  <Part Type="lentele" Title="DARBUOTOJŲ, DIRBANČIŲ SU STACIONARIOMIS PRIEŠGAISRINĖMIS SISTEMOMIS IR GESINTUVAIS, KURIUOSE YRA FLUORINTŲ ŠILTNAMIO EFEKTĄ SUKELIANČIŲ DUJŲ AR OZONO SLUOKSNĮ ARDANČIŲ MEDŽIAGŲ, SERTIFIKAVIMO IR KVALIFIKACIJOS TOBULINIMO PROGRAMA" DocPartId="c6aee3066ff846d99254b61760d281e3" PartId="dace918e2d9445cf8febbb1af53698e1">
    <Part Type="signatura" DocPartId="81bc9eeea79941feaba565463c0a4507" PartId="fbba51edc3c74ac885a73800627833bf"/>
  </Part>
</Parts>
</file>

<file path=customXml/itemProps1.xml><?xml version="1.0" encoding="utf-8"?>
<ds:datastoreItem xmlns:ds="http://schemas.openxmlformats.org/officeDocument/2006/customXml" ds:itemID="{6D470796-A24F-47EA-BB70-84DE37121792}">
  <ds:schemaRefs>
    <ds:schemaRef ds:uri="http://schemas.microsoft.com/sharepoint/v3/contenttype/forms"/>
  </ds:schemaRefs>
</ds:datastoreItem>
</file>

<file path=customXml/itemProps2.xml><?xml version="1.0" encoding="utf-8"?>
<ds:datastoreItem xmlns:ds="http://schemas.openxmlformats.org/officeDocument/2006/customXml" ds:itemID="{B7B3B747-5B97-474C-BEB9-BA3621C467A8}">
  <ds:schemaRefs>
    <ds:schemaRef ds:uri="http://schemas.microsoft.com/office/2006/documentManagement/types"/>
    <ds:schemaRef ds:uri="http://schemas.microsoft.com/office/2006/metadata/properties"/>
    <ds:schemaRef ds:uri="f5aad5d0-9c26-490e-8743-a6c7ceabd501"/>
    <ds:schemaRef ds:uri="http://purl.org/dc/elements/1.1/"/>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97A33FBD-DB18-442F-A169-03EEAA9B62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8ACCC9-2811-436E-B7F4-42E0216ECEF5}">
  <ds:schemaRefs>
    <ds:schemaRef ds:uri="http://schemas.openxmlformats.org/officeDocument/2006/bibliography"/>
  </ds:schemaRefs>
</ds:datastoreItem>
</file>

<file path=customXml/itemProps5.xml><?xml version="1.0" encoding="utf-8"?>
<ds:datastoreItem xmlns:ds="http://schemas.openxmlformats.org/officeDocument/2006/customXml" ds:itemID="{A97968C6-B79D-4FF9-ABBB-F040FB5A76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1178</Words>
  <Characters>8181</Characters>
  <Application>Microsoft Office Word</Application>
  <DocSecurity>4</DocSecurity>
  <Lines>340</Lines>
  <Paragraphs>228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9131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Edita Šaltenienė</dc:creator>
  <lastModifiedBy>adlibuser</lastModifiedBy>
  <lastPrinted>2021-04-15T13:19:00Z</lastPrinted>
  <dcterms:modified xsi:type="dcterms:W3CDTF">2023-10-24T06:16:00Z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