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c7e7ccf45df4f8cb28ee5aea834bb14"/>
        <w:lock w:val="sdtLocked"/>
        <w:richText/>
      </w:sdtPr>
      <w:sdtContent>
        <w:p w14:paraId="1968A428" w14:textId="77777777">
          <w:pPr>
            <w:widowControl w:val="0"/>
            <w:tabs>
              <w:tab w:val="center" w:pos="4819"/>
              <w:tab w:val="right" w:pos="9638"/>
            </w:tabs>
            <w:suppressAutoHyphens/>
            <w:rPr>
              <w:rFonts w:eastAsia="Arial Unicode MS"/>
              <w:szCs w:val="24"/>
              <w:lang w:eastAsia="lt-LT"/>
            </w:rPr>
          </w:pPr>
        </w:p>
        <w:p w14:paraId="30F185A8" w14:textId="29246A11">
          <w:pPr>
            <w:widowControl w:val="0"/>
            <w:suppressAutoHyphens/>
            <w:jc w:val="center"/>
            <w:rPr>
              <w:b/>
              <w:bCs/>
              <w:caps/>
              <w:color w:val="000000"/>
            </w:rPr>
          </w:pPr>
          <w:r>
            <w:rPr>
              <w:b/>
              <w:szCs w:val="24"/>
              <w:lang w:val="de-DE" w:eastAsia="ar-SA"/>
            </w:rPr>
            <w:t xml:space="preserve">REGLAMENTO (ES) NR. </w:t>
          </w:r>
          <w:r>
            <w:rPr>
              <w:b/>
              <w:szCs w:val="24"/>
            </w:rPr>
            <w:t>517/2014</w:t>
          </w:r>
          <w:r>
            <w:rPr>
              <w:b/>
              <w:szCs w:val="24"/>
              <w:lang w:val="de-DE" w:eastAsia="ar-SA"/>
            </w:rPr>
            <w:t xml:space="preserve"> IR </w:t>
          </w:r>
          <w:r>
            <w:rPr>
              <w:rFonts w:eastAsia="Arial Unicode MS"/>
              <w:b/>
              <w:bCs/>
              <w:szCs w:val="24"/>
              <w:lang w:bidi="en-US"/>
            </w:rPr>
            <w:t>LIETUVOS RESPUBLIKOS</w:t>
          </w:r>
          <w:r>
            <w:rPr>
              <w:rFonts w:eastAsia="Arial Unicode MS"/>
              <w:szCs w:val="24"/>
              <w:lang w:val="en-US"/>
            </w:rPr>
            <w:drawing>
              <wp:anchor distT="0" distB="0" distL="114300" distR="114300" simplePos="0" relativeHeight="251657728" behindDoc="0" locked="0" layoutInCell="1" allowOverlap="1" wp14:anchorId="07F361F7" wp14:editId="1A8CDDC4">
                <wp:simplePos x="0" y="0"/>
                <wp:positionH relativeFrom="column">
                  <wp:posOffset>0</wp:posOffset>
                </wp:positionH>
                <wp:positionV relativeFrom="paragraph">
                  <wp:posOffset>0</wp:posOffset>
                </wp:positionV>
                <wp:extent cx="9525" cy="9525"/>
                <wp:effectExtent l="0" t="0" r="0" b="0"/>
                <wp:wrapNone/>
                <wp:docPr id="2" name="Picture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 xml:space="preserve"> APLINKOS MINISTRO ĮSAKYMO </w:t>
          </w:r>
          <w:r>
            <w:rPr>
              <w:rFonts w:eastAsia="Arial Unicode MS"/>
              <w:b/>
              <w:bCs/>
              <w:caps/>
              <w:color w:val="000000"/>
              <w:szCs w:val="24"/>
              <w:lang w:eastAsia="lt-LT"/>
            </w:rPr>
            <w:t xml:space="preserve">DĖL DARBUOTOJŲ, DIRBANČIŲ SU FLUORINTomis ŠILTNAMIO EFEKTĄ SUKELIANČIomis DUJomis IR OZONO SLUOKSNĮ ARDANČIomis MEDŽIAGomis bei jų TURINČIA ĮRANGA, ATESTAVIMO, SERTIFIKAVIMO ir kvalifikacijos tobulinimo  programų VYKDYMO TVARKOS APRAŠO ir programų PATVIRTINIMO</w:t>
          </w:r>
          <w:r>
            <w:rPr>
              <w:b/>
              <w:bCs/>
              <w:caps/>
              <w:color w:val="000000"/>
            </w:rPr>
            <w:t xml:space="preserve"> </w:t>
          </w:r>
          <w:r>
            <w:rPr>
              <w:rFonts w:eastAsia="Arial Unicode MS"/>
              <w:b/>
              <w:szCs w:val="24"/>
              <w:lang w:bidi="en-US"/>
            </w:rPr>
            <w:t>PROJEKTO</w:t>
          </w:r>
          <w:r>
            <w:rPr>
              <w:rFonts w:eastAsia="Arial Unicode MS"/>
              <w:b/>
              <w:bCs/>
              <w:caps/>
              <w:szCs w:val="24"/>
              <w:lang w:bidi="en-US"/>
            </w:rPr>
            <w:t xml:space="preserve"> </w:t>
          </w:r>
          <w:r>
            <w:rPr>
              <w:b/>
              <w:szCs w:val="24"/>
              <w:lang w:eastAsia="ar-SA"/>
            </w:rPr>
            <w:t>ATITIKTIES LENTELĖ</w:t>
          </w:r>
        </w:p>
        <w:p w14:paraId="3CA1498F" w14:textId="77777777">
          <w:pPr>
            <w:widowControl w:val="0"/>
            <w:suppressAutoHyphens/>
            <w:jc w:val="both"/>
            <w:rPr>
              <w:b/>
              <w:szCs w:val="24"/>
              <w:lang w:eastAsia="ar-SA"/>
            </w:rPr>
          </w:pPr>
        </w:p>
        <w:tbl>
          <w:tblPr>
            <w:tblW w:w="15307" w:type="dxa"/>
            <w:tblInd w:w="-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18"/>
            <w:gridCol w:w="8363"/>
            <w:gridCol w:w="2126"/>
          </w:tblGrid>
          <w:tr w14:paraId="4F882753" w14:textId="77777777">
            <w:tc>
              <w:tcPr>
                <w:tcW w:w="4818" w:type="dxa"/>
              </w:tcPr>
              <w:p w14:paraId="128FD063" w14:textId="77777777">
                <w:pPr>
                  <w:widowControl w:val="0"/>
                  <w:suppressAutoHyphens/>
                  <w:snapToGrid w:val="0"/>
                  <w:rPr>
                    <w:b/>
                    <w:szCs w:val="24"/>
                    <w:lang w:eastAsia="lt-LT"/>
                  </w:rPr>
                </w:pPr>
                <w:r>
                  <w:rPr>
                    <w:b/>
                    <w:szCs w:val="24"/>
                  </w:rPr>
                  <w:t xml:space="preserve">2014 m. balandžio 16 d. Europos Parlamento ir Tarybos reglamentas </w:t>
                </w:r>
                <w:fldSimple w:instr="HYPERLINK http://eur-lex.europa.eu/legal-content/LIT/TXT/?uri=CELEX:32014R0517&amp;locale=lt \t _blank">
                  <w:r>
                    <w:rPr>
                      <w:b/>
                      <w:szCs w:val="24"/>
                      <w:u w:val="single"/>
                      <w:color w:val="0000FF" w:themeColor="hyperlink"/>
                    </w:rPr>
                    <w:t>(ES) Nr. 517/2014</w:t>
                  </w:r>
                </w:fldSimple>
                <w:r>
                  <w:rPr>
                    <w:b/>
                    <w:szCs w:val="24"/>
                  </w:rPr>
                  <w:t xml:space="preserve"> dėl fluorintų šiltnamio efektą sukeliančių dujų, kuriuo panaikinamas Reglamentas </w:t>
                </w:r>
                <w:fldSimple w:instr="HYPERLINK http://eur-lex.europa.eu/legal-content/LIT/TXT/?uri=CELEX:32006R0842&amp;locale=lt \t _blank">
                  <w:r>
                    <w:rPr>
                      <w:b/>
                      <w:szCs w:val="24"/>
                      <w:u w:val="single"/>
                      <w:color w:val="0000FF" w:themeColor="hyperlink"/>
                    </w:rPr>
                    <w:t>(EB) Nr. 842/2006</w:t>
                  </w:r>
                </w:fldSimple>
              </w:p>
            </w:tc>
            <w:tc>
              <w:tcPr>
                <w:tcW w:w="8363" w:type="dxa"/>
              </w:tcPr>
              <w:p w14:paraId="323A2CD9" w14:textId="77777777">
                <w:pPr>
                  <w:jc w:val="both"/>
                  <w:rPr>
                    <w:rFonts w:eastAsia="Andale Sans UI" w:cs="Tahoma"/>
                    <w:b/>
                    <w:szCs w:val="24"/>
                    <w:lang w:bidi="en-US"/>
                  </w:rPr>
                </w:pPr>
                <w:r>
                  <w:rPr>
                    <w:rFonts w:eastAsia="Andale Sans UI" w:cs="Tahoma"/>
                    <w:b/>
                    <w:szCs w:val="24"/>
                    <w:lang w:bidi="en-US"/>
                  </w:rPr>
                  <w:t>Lietuvos Respublikos aplinkos ministro įsakymas „Dėl darbuotojų, dirbančių su fluorintomis dujomis ir ozono sluoksnį ardančiomis medžiagomis bei jų turinčia įranga, atestavimo, sertifikavimo ir kvalifikacijos tobulinimo programų vykdymo tvarkos aprašo ir programų patvirtinimo“ projektas (toliau – Įsakymo projektas).</w:t>
                </w:r>
              </w:p>
            </w:tc>
            <w:tc>
              <w:tcPr>
                <w:tcW w:w="2126" w:type="dxa"/>
              </w:tcPr>
              <w:p w14:paraId="7CD75439" w14:textId="77777777">
                <w:pPr>
                  <w:widowControl w:val="0"/>
                  <w:suppressAutoHyphens/>
                  <w:snapToGrid w:val="0"/>
                  <w:jc w:val="both"/>
                  <w:rPr>
                    <w:b/>
                    <w:szCs w:val="24"/>
                    <w:lang w:val="fr-FR" w:eastAsia="ar-SA"/>
                  </w:rPr>
                </w:pPr>
                <w:r>
                  <w:rPr>
                    <w:b/>
                    <w:szCs w:val="24"/>
                    <w:lang w:val="fr-FR" w:eastAsia="ar-SA"/>
                  </w:rPr>
                  <w:t>Reglamento</w:t>
                </w:r>
              </w:p>
              <w:p w14:paraId="6BC71547" w14:textId="77777777">
                <w:pPr>
                  <w:widowControl w:val="0"/>
                  <w:suppressAutoHyphens/>
                  <w:snapToGrid w:val="0"/>
                  <w:jc w:val="both"/>
                  <w:rPr>
                    <w:b/>
                    <w:szCs w:val="24"/>
                    <w:lang w:val="fr-FR" w:eastAsia="ar-SA"/>
                  </w:rPr>
                </w:pPr>
                <w:r>
                  <w:rPr>
                    <w:b/>
                    <w:szCs w:val="24"/>
                    <w:lang w:val="fr-FR" w:eastAsia="ar-SA"/>
                  </w:rPr>
                  <w:t>įgyvendinimo lygis (visiškas, dalinis)</w:t>
                </w:r>
              </w:p>
            </w:tc>
          </w:tr>
          <w:tr w14:paraId="314BAC67" w14:textId="77777777">
            <w:tc>
              <w:tcPr>
                <w:tcW w:w="4818" w:type="dxa"/>
                <w:tcMar>
                  <w:top w:w="55" w:type="dxa"/>
                  <w:left w:w="55" w:type="dxa"/>
                  <w:bottom w:w="55" w:type="dxa"/>
                  <w:right w:w="55" w:type="dxa"/>
                </w:tcMar>
              </w:tcPr>
              <w:p w14:paraId="35596F99" w14:textId="77777777">
                <w:pPr>
                  <w:widowControl w:val="0"/>
                  <w:tabs>
                    <w:tab w:val="left" w:pos="0"/>
                  </w:tabs>
                  <w:suppressAutoHyphens/>
                  <w:snapToGrid w:val="0"/>
                  <w:jc w:val="both"/>
                  <w:rPr>
                    <w:rFonts w:ascii="TimesNewRoman" w:eastAsia="TimesNewRoman" w:hAnsi="TimesNewRoman" w:cs="TimesNewRoman"/>
                    <w:b/>
                    <w:bCs/>
                    <w:szCs w:val="24"/>
                    <w:lang w:eastAsia="ar-SA"/>
                  </w:rPr>
                </w:pPr>
                <w:r>
                  <w:rPr>
                    <w:rFonts w:ascii="TimesNewRoman" w:eastAsia="TimesNewRoman" w:hAnsi="TimesNewRoman" w:cs="TimesNewRoman"/>
                    <w:b/>
                    <w:bCs/>
                    <w:szCs w:val="24"/>
                    <w:lang w:eastAsia="ar-SA"/>
                  </w:rPr>
                  <w:t xml:space="preserve">10 straipsnis </w:t>
                </w:r>
              </w:p>
              <w:p w14:paraId="431B0F42" w14:textId="77777777">
                <w:pPr>
                  <w:widowControl w:val="0"/>
                  <w:tabs>
                    <w:tab w:val="left" w:pos="0"/>
                  </w:tabs>
                  <w:suppressAutoHyphens/>
                  <w:snapToGrid w:val="0"/>
                  <w:jc w:val="both"/>
                  <w:rPr>
                    <w:rFonts w:ascii="TimesNewRoman" w:eastAsia="TimesNewRoman" w:hAnsi="TimesNewRoman" w:cs="TimesNewRoman"/>
                    <w:b/>
                    <w:bCs/>
                    <w:szCs w:val="24"/>
                    <w:lang w:eastAsia="ar-SA"/>
                  </w:rPr>
                </w:pPr>
                <w:r>
                  <w:rPr>
                    <w:rFonts w:ascii="TimesNewRoman" w:eastAsia="TimesNewRoman" w:hAnsi="TimesNewRoman" w:cs="TimesNewRoman"/>
                    <w:b/>
                    <w:bCs/>
                    <w:szCs w:val="24"/>
                    <w:lang w:eastAsia="ar-SA"/>
                  </w:rPr>
                  <w:t>Mokymas ir sertifikavimas</w:t>
                </w:r>
              </w:p>
              <w:p w14:paraId="0025262E" w14:textId="77777777">
                <w:pPr>
                  <w:widowControl w:val="0"/>
                  <w:tabs>
                    <w:tab w:val="left" w:pos="0"/>
                  </w:tabs>
                  <w:suppressAutoHyphens/>
                  <w:snapToGrid w:val="0"/>
                  <w:jc w:val="both"/>
                  <w:rPr>
                    <w:rFonts w:ascii="TimesNewRoman" w:eastAsia="TimesNewRoman" w:hAnsi="TimesNewRoman" w:cs="TimesNewRoman"/>
                    <w:b/>
                    <w:bCs/>
                    <w:szCs w:val="24"/>
                    <w:lang w:eastAsia="ar-SA"/>
                  </w:rPr>
                </w:pPr>
              </w:p>
              <w:p w14:paraId="2C3665F7" w14:textId="5F52B36B">
                <w:pPr>
                  <w:widowControl w:val="0"/>
                  <w:tabs>
                    <w:tab w:val="left" w:pos="0"/>
                  </w:tabs>
                  <w:suppressAutoHyphens/>
                  <w:snapToGrid w:val="0"/>
                  <w:ind w:firstLine="86"/>
                  <w:jc w:val="both"/>
                  <w:rPr>
                    <w:rFonts w:eastAsia="Arial Unicode MS"/>
                    <w:color w:val="000000"/>
                    <w:szCs w:val="24"/>
                    <w:shd w:val="clear" w:color="auto" w:fill="FFFFFF"/>
                    <w:lang w:eastAsia="lt-LT"/>
                  </w:rPr>
                </w:pPr>
                <w:r>
                  <w:rPr>
                    <w:rFonts w:eastAsia="Arial Unicode MS"/>
                    <w:color w:val="000000"/>
                    <w:szCs w:val="24"/>
                    <w:lang w:eastAsia="lt-LT"/>
                  </w:rPr>
                  <w:t>1.</w:t>
                  <w:tab/>
                </w:r>
                <w:r>
                  <w:rPr>
                    <w:rFonts w:eastAsia="Arial Unicode MS"/>
                    <w:color w:val="000000"/>
                    <w:szCs w:val="24"/>
                    <w:shd w:val="clear" w:color="auto" w:fill="FFFFFF"/>
                    <w:lang w:eastAsia="lt-LT"/>
                  </w:rPr>
                  <w:t>Valstybės narės, remdamosi pagal 5 dalį nustatytais būtiniausiais reikalavimais, parengia ir patikslina sertifikavimo programas, įskaitant vertinimo procesus. Valstybės narės užtikrina, kad mokymas būtų prieinamas fiziniams asmenims, kurie vykdo šias užduotis:</w:t>
                </w:r>
              </w:p>
              <w:p w14:paraId="3DF27180" w14:textId="77777777">
                <w:pPr>
                  <w:widowControl w:val="0"/>
                  <w:tabs>
                    <w:tab w:val="left" w:pos="0"/>
                  </w:tabs>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a) sumontuoja 4 straipsnio 2 dalies a–f punktuose išvardytą įrangą, ją aptarnauja, atlieka jos techninę priežiūrą, ją remontuoja arba nutraukia jos eksploataciją;</w:t>
                </w:r>
              </w:p>
              <w:p w14:paraId="18F90947" w14:textId="77777777">
                <w:pPr>
                  <w:widowControl w:val="0"/>
                  <w:tabs>
                    <w:tab w:val="left" w:pos="0"/>
                  </w:tabs>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b) atlieka patikrinimus dėl įrangos nuotėkio, kaip nurodyta 4 straipsnio 2 dalies a–e punktuose, kaip numatyta 4 straipsnio 1 dalyje;</w:t>
                </w:r>
              </w:p>
              <w:p w14:paraId="24E5B11A" w14:textId="77777777">
                <w:pPr>
                  <w:widowControl w:val="0"/>
                  <w:tabs>
                    <w:tab w:val="left" w:pos="0"/>
                  </w:tabs>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c) surenka fluorintas šiltnamio efektą sukeliančias dujas, kaip numatyta 8 straipsnio 1 dalyje.</w:t>
                </w:r>
              </w:p>
              <w:p w14:paraId="1AC7F0CA"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036D2DA8"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0E7D4952"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7772869C"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7FA2F4DF"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299905ED"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6E8512C3"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022DAF7D"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2DB21093"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233299CB"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6742C8AD"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08197D14"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54E00EC7"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32A3D012" w14:textId="0909FD9A">
                <w:pPr>
                  <w:widowControl w:val="0"/>
                  <w:suppressAutoHyphens/>
                  <w:snapToGrid w:val="0"/>
                  <w:jc w:val="both"/>
                  <w:rPr>
                    <w:rFonts w:eastAsia="Arial Unicode MS"/>
                    <w:color w:val="000000"/>
                    <w:szCs w:val="24"/>
                    <w:shd w:val="clear" w:color="auto" w:fill="FFFFFF"/>
                    <w:lang w:eastAsia="lt-LT"/>
                  </w:rPr>
                </w:pPr>
                <w:r>
                  <w:rPr>
                    <w:rFonts w:eastAsia="Arial Unicode MS"/>
                    <w:color w:val="000000"/>
                    <w:szCs w:val="24"/>
                    <w:lang w:eastAsia="lt-LT"/>
                  </w:rPr>
                  <w:t>2.</w:t>
                  <w:tab/>
                </w:r>
                <w:r>
                  <w:rPr>
                    <w:rFonts w:eastAsia="Arial Unicode MS"/>
                    <w:color w:val="000000"/>
                    <w:szCs w:val="24"/>
                    <w:shd w:val="clear" w:color="auto" w:fill="FFFFFF"/>
                    <w:lang w:eastAsia="lt-LT"/>
                  </w:rPr>
                  <w:t xml:space="preserve">Valstybės narės, remdamosi 5 dalyje nurodytais būtiniausiais reikalavimais, užtikrina, kad būtų prieinamos mokymo programos, skirtos fiziniams asmenims, kurie surenka fluorintas šiltnamio efektą sukeliančias dujas iš motorinių transporto priemonių oro kondicionavimo įrangos, kuriai taikoma Direktyva </w:t>
                </w:r>
                <w:fldSimple w:instr="HYPERLINK http://eur-lex.europa.eu/legal-content/LIT/TXT/?uri=CELEX:32006L0040&amp;locale=lt \t _blank">
                  <w:r>
                    <w:rPr>
                      <w:rFonts w:eastAsia="Arial Unicode MS"/>
                      <w:color w:val="0000FF" w:themeColor="hyperlink"/>
                      <w:szCs w:val="24"/>
                      <w:shd w:val="clear" w:color="auto" w:fill="FFFFFF"/>
                      <w:lang w:eastAsia="lt-LT"/>
                      <w:u w:val="single"/>
                    </w:rPr>
                    <w:t>2006/40/EB</w:t>
                  </w:r>
                </w:fldSimple>
                <w:r>
                  <w:rPr>
                    <w:rFonts w:eastAsia="Arial Unicode MS"/>
                    <w:color w:val="000000"/>
                    <w:szCs w:val="24"/>
                    <w:shd w:val="clear" w:color="auto" w:fill="FFFFFF"/>
                    <w:lang w:eastAsia="lt-LT"/>
                  </w:rPr>
                  <w:t>.</w:t>
                </w:r>
              </w:p>
              <w:p w14:paraId="51720BF8" w14:textId="77777777">
                <w:pPr>
                  <w:widowControl w:val="0"/>
                  <w:suppressAutoHyphens/>
                  <w:snapToGrid w:val="0"/>
                  <w:jc w:val="both"/>
                  <w:rPr>
                    <w:rFonts w:eastAsia="Arial Unicode MS"/>
                    <w:color w:val="000000"/>
                    <w:szCs w:val="24"/>
                    <w:shd w:val="clear" w:color="auto" w:fill="FFFFFF"/>
                    <w:lang w:eastAsia="lt-LT"/>
                  </w:rPr>
                </w:pPr>
              </w:p>
              <w:p w14:paraId="1F42033C" w14:textId="77777777">
                <w:pPr>
                  <w:widowControl w:val="0"/>
                  <w:suppressAutoHyphens/>
                  <w:snapToGrid w:val="0"/>
                  <w:jc w:val="both"/>
                  <w:rPr>
                    <w:rFonts w:eastAsia="Arial Unicode MS"/>
                    <w:color w:val="000000"/>
                    <w:szCs w:val="24"/>
                    <w:shd w:val="clear" w:color="auto" w:fill="FFFFFF"/>
                    <w:lang w:eastAsia="lt-LT"/>
                  </w:rPr>
                </w:pPr>
              </w:p>
              <w:p w14:paraId="4282DBFB" w14:textId="77777777">
                <w:pPr>
                  <w:widowControl w:val="0"/>
                  <w:suppressAutoHyphens/>
                  <w:snapToGrid w:val="0"/>
                  <w:jc w:val="both"/>
                  <w:rPr>
                    <w:rFonts w:eastAsia="Arial Unicode MS"/>
                    <w:color w:val="000000"/>
                    <w:szCs w:val="24"/>
                    <w:shd w:val="clear" w:color="auto" w:fill="FFFFFF"/>
                    <w:lang w:eastAsia="lt-LT"/>
                  </w:rPr>
                </w:pPr>
              </w:p>
              <w:p w14:paraId="313DF517" w14:textId="77777777">
                <w:pPr>
                  <w:widowControl w:val="0"/>
                  <w:suppressAutoHyphens/>
                  <w:snapToGrid w:val="0"/>
                  <w:jc w:val="both"/>
                  <w:rPr>
                    <w:rFonts w:eastAsia="Arial Unicode MS"/>
                    <w:color w:val="000000"/>
                    <w:szCs w:val="24"/>
                    <w:shd w:val="clear" w:color="auto" w:fill="FFFFFF"/>
                    <w:lang w:eastAsia="lt-LT"/>
                  </w:rPr>
                </w:pPr>
              </w:p>
              <w:p w14:paraId="30F04315" w14:textId="77777777">
                <w:pPr>
                  <w:widowControl w:val="0"/>
                  <w:suppressAutoHyphens/>
                  <w:snapToGrid w:val="0"/>
                  <w:jc w:val="both"/>
                  <w:rPr>
                    <w:rFonts w:eastAsia="Arial Unicode MS"/>
                    <w:color w:val="000000"/>
                    <w:szCs w:val="24"/>
                    <w:shd w:val="clear" w:color="auto" w:fill="FFFFFF"/>
                    <w:lang w:eastAsia="lt-LT"/>
                  </w:rPr>
                </w:pPr>
              </w:p>
              <w:p w14:paraId="0C4A3A4C" w14:textId="77777777">
                <w:pPr>
                  <w:widowControl w:val="0"/>
                  <w:tabs>
                    <w:tab w:val="left" w:pos="0"/>
                  </w:tabs>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3. 1 ir 2 dalyse numatytos sertifikavimo programos ir mokymas apima šiuos dalykus:</w:t>
                </w:r>
              </w:p>
              <w:p w14:paraId="16AB3BE5" w14:textId="77777777">
                <w:pPr>
                  <w:widowControl w:val="0"/>
                  <w:tabs>
                    <w:tab w:val="left" w:pos="0"/>
                  </w:tabs>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a) taikomas taisykles ir techninius standartus;</w:t>
                </w:r>
              </w:p>
              <w:p w14:paraId="42258234" w14:textId="77777777">
                <w:pPr>
                  <w:widowControl w:val="0"/>
                  <w:tabs>
                    <w:tab w:val="left" w:pos="0"/>
                  </w:tabs>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b) teršalų išmetimo prevenciją;</w:t>
                </w:r>
              </w:p>
              <w:p w14:paraId="3400DFB4" w14:textId="77777777">
                <w:pPr>
                  <w:widowControl w:val="0"/>
                  <w:tabs>
                    <w:tab w:val="left" w:pos="0"/>
                  </w:tabs>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c) fluorintų šiltnamio efektą sukeliančių dujų surinkimą;</w:t>
                </w:r>
              </w:p>
              <w:p w14:paraId="2092DBED" w14:textId="77777777">
                <w:pPr>
                  <w:widowControl w:val="0"/>
                  <w:tabs>
                    <w:tab w:val="left" w:pos="0"/>
                  </w:tabs>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d) saugų darbą su sertifikate nurodytos rūšies ir dydžio įranga;</w:t>
                </w:r>
              </w:p>
              <w:p w14:paraId="3D0BDD47" w14:textId="77777777">
                <w:pPr>
                  <w:widowControl w:val="0"/>
                  <w:tabs>
                    <w:tab w:val="left" w:pos="0"/>
                  </w:tabs>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 xml:space="preserve">e) informaciją apie atitinkamas technologijas, kuriomis pakeičiamos fluorintos šiltnamio efektą sukeliančios dujos arba sumažinamas jų naudojimas, ir saugų darbą su tomis technologijomis. </w:t>
                </w:r>
              </w:p>
              <w:p w14:paraId="0B34BFE4"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01B2522B"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3106E1E9"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70157A84"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030A06C1"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32B1C3B3"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68AD7C99" w14:textId="77777777">
                <w:pPr>
                  <w:widowControl w:val="0"/>
                  <w:tabs>
                    <w:tab w:val="left" w:pos="0"/>
                  </w:tabs>
                  <w:suppressAutoHyphens/>
                  <w:snapToGrid w:val="0"/>
                  <w:jc w:val="both"/>
                  <w:rPr>
                    <w:rFonts w:eastAsia="Arial Unicode MS"/>
                    <w:color w:val="000000"/>
                    <w:szCs w:val="24"/>
                    <w:shd w:val="clear" w:color="auto" w:fill="FFFFFF"/>
                    <w:lang w:eastAsia="lt-LT"/>
                  </w:rPr>
                </w:pPr>
              </w:p>
              <w:p w14:paraId="6291F0DE" w14:textId="77777777">
                <w:pPr>
                  <w:widowControl w:val="0"/>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 xml:space="preserve">4. Sertifikatai pagal 1 dalyje numatytas sertifikavimo programas išduodami su sąlyga, kad pareiškėjas būtų sėkmingai užbaigęs pagal 1, 3 ir 5 dalis parengtą vertinimo procesą. </w:t>
                </w:r>
              </w:p>
              <w:p w14:paraId="13D25516" w14:textId="77777777">
                <w:pPr>
                  <w:widowControl w:val="0"/>
                  <w:suppressAutoHyphens/>
                  <w:snapToGrid w:val="0"/>
                  <w:jc w:val="both"/>
                  <w:rPr>
                    <w:rFonts w:eastAsia="Arial Unicode MS"/>
                    <w:color w:val="000000"/>
                    <w:szCs w:val="24"/>
                    <w:shd w:val="clear" w:color="auto" w:fill="FFFFFF"/>
                    <w:lang w:eastAsia="lt-LT"/>
                  </w:rPr>
                </w:pPr>
              </w:p>
              <w:p w14:paraId="0716D7B5" w14:textId="77777777">
                <w:pPr>
                  <w:widowControl w:val="0"/>
                  <w:suppressAutoHyphens/>
                  <w:snapToGrid w:val="0"/>
                  <w:jc w:val="both"/>
                  <w:rPr>
                    <w:rFonts w:eastAsia="Arial Unicode MS"/>
                    <w:color w:val="000000"/>
                    <w:szCs w:val="24"/>
                    <w:shd w:val="clear" w:color="auto" w:fill="FFFFFF"/>
                    <w:lang w:eastAsia="lt-LT"/>
                  </w:rPr>
                </w:pPr>
              </w:p>
              <w:p w14:paraId="125DDC66" w14:textId="77777777">
                <w:pPr>
                  <w:widowControl w:val="0"/>
                  <w:suppressAutoHyphens/>
                  <w:snapToGrid w:val="0"/>
                  <w:jc w:val="both"/>
                  <w:rPr>
                    <w:rFonts w:eastAsia="Arial Unicode MS"/>
                    <w:color w:val="000000"/>
                    <w:szCs w:val="24"/>
                    <w:shd w:val="clear" w:color="auto" w:fill="FFFFFF"/>
                    <w:lang w:eastAsia="lt-LT"/>
                  </w:rPr>
                </w:pPr>
              </w:p>
              <w:p w14:paraId="35DCFDE3" w14:textId="77777777">
                <w:pPr>
                  <w:widowControl w:val="0"/>
                  <w:suppressAutoHyphens/>
                  <w:snapToGrid w:val="0"/>
                  <w:jc w:val="both"/>
                  <w:rPr>
                    <w:rFonts w:eastAsia="Arial Unicode MS"/>
                    <w:color w:val="000000"/>
                    <w:szCs w:val="24"/>
                    <w:shd w:val="clear" w:color="auto" w:fill="FFFFFF"/>
                    <w:lang w:eastAsia="lt-LT"/>
                  </w:rPr>
                </w:pPr>
              </w:p>
              <w:p w14:paraId="7A04B638" w14:textId="77777777">
                <w:pPr>
                  <w:widowControl w:val="0"/>
                  <w:suppressAutoHyphens/>
                  <w:snapToGrid w:val="0"/>
                  <w:jc w:val="both"/>
                  <w:rPr>
                    <w:rFonts w:eastAsia="Arial Unicode MS"/>
                    <w:color w:val="000000"/>
                    <w:szCs w:val="24"/>
                    <w:shd w:val="clear" w:color="auto" w:fill="FFFFFF"/>
                    <w:lang w:eastAsia="lt-LT"/>
                  </w:rPr>
                </w:pPr>
              </w:p>
              <w:p w14:paraId="21CF6A7F" w14:textId="77777777">
                <w:pPr>
                  <w:widowControl w:val="0"/>
                  <w:suppressAutoHyphens/>
                  <w:snapToGrid w:val="0"/>
                  <w:jc w:val="both"/>
                  <w:rPr>
                    <w:rFonts w:eastAsia="Arial Unicode MS"/>
                    <w:color w:val="000000"/>
                    <w:szCs w:val="24"/>
                    <w:shd w:val="clear" w:color="auto" w:fill="FFFFFF"/>
                    <w:lang w:eastAsia="lt-LT"/>
                  </w:rPr>
                </w:pPr>
              </w:p>
              <w:p w14:paraId="2D355032" w14:textId="77777777">
                <w:pPr>
                  <w:widowControl w:val="0"/>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 xml:space="preserve">5. Sertifikavimo programoms taikomi būtiniausi reikalavimai yra reglamentuose </w:t>
                </w:r>
                <w:fldSimple w:instr="HYPERLINK http://eur-lex.europa.eu/legal-content/LIT/TXT/?uri=CELEX:32008R0303&amp;locale=lt \t _blank">
                  <w:r>
                    <w:rPr>
                      <w:rFonts w:eastAsia="Arial Unicode MS"/>
                      <w:color w:val="0000FF" w:themeColor="hyperlink"/>
                      <w:szCs w:val="24"/>
                      <w:shd w:val="clear" w:color="auto" w:fill="FFFFFF"/>
                      <w:lang w:eastAsia="lt-LT"/>
                      <w:u w:val="single"/>
                    </w:rPr>
                    <w:t>(EB) Nr. 303/2008</w:t>
                  </w:r>
                </w:fldSimple>
                <w:r>
                  <w:rPr>
                    <w:rFonts w:eastAsia="Arial Unicode MS"/>
                    <w:color w:val="000000"/>
                    <w:szCs w:val="24"/>
                    <w:shd w:val="clear" w:color="auto" w:fill="FFFFFF"/>
                    <w:lang w:eastAsia="lt-LT"/>
                  </w:rPr>
                  <w:t xml:space="preserve">–(EB) Nr. 306/2008 ir pagal 12 dalį nustatyti reikalavimai. Mokymo pažymėjimams taikomi būtiniausi reikalavimai yra Reglamente </w:t>
                </w:r>
                <w:fldSimple w:instr="HYPERLINK http://eur-lex.europa.eu/legal-content/LIT/TXT/?uri=CELEX:32008R0307&amp;locale=lt \t _blank">
                  <w:r>
                    <w:rPr>
                      <w:rFonts w:eastAsia="Arial Unicode MS"/>
                      <w:color w:val="0000FF" w:themeColor="hyperlink"/>
                      <w:szCs w:val="24"/>
                      <w:shd w:val="clear" w:color="auto" w:fill="FFFFFF"/>
                      <w:lang w:eastAsia="lt-LT"/>
                      <w:u w:val="single"/>
                    </w:rPr>
                    <w:t>(EB) Nr. 307/2008</w:t>
                  </w:r>
                </w:fldSimple>
                <w:r>
                  <w:rPr>
                    <w:rFonts w:eastAsia="Arial Unicode MS"/>
                    <w:color w:val="000000"/>
                    <w:szCs w:val="24"/>
                    <w:shd w:val="clear" w:color="auto" w:fill="FFFFFF"/>
                    <w:lang w:eastAsia="lt-LT"/>
                  </w:rPr>
                  <w:t xml:space="preserve"> ir pagal 12 dalį nustatyti reikalavimai. Tuose būtiniausiuose reikalavimuose kiekvienos rūšies 1 ir 2 dalyse nurodytos įrangos atveju nurodomi privalomi praktiniai įgūdžiai ir teorinės žinios, atitinkamais atvejais diferencijuojant pagal skirtingą veiklą, kuri turi būti vykdoma, taip pat sertifikatų ir mokymo pažymėjimų tarpusavio pripažinimo sąlygos.</w:t>
                </w:r>
              </w:p>
              <w:p w14:paraId="715261A2" w14:textId="77777777">
                <w:pPr>
                  <w:widowControl w:val="0"/>
                  <w:suppressAutoHyphens/>
                  <w:snapToGrid w:val="0"/>
                  <w:jc w:val="both"/>
                  <w:rPr>
                    <w:rFonts w:eastAsia="Arial Unicode MS"/>
                    <w:color w:val="000000"/>
                    <w:szCs w:val="24"/>
                    <w:shd w:val="clear" w:color="auto" w:fill="FFFFFF"/>
                    <w:lang w:eastAsia="lt-LT"/>
                  </w:rPr>
                </w:pPr>
              </w:p>
              <w:p w14:paraId="00786B08" w14:textId="77777777">
                <w:pPr>
                  <w:widowControl w:val="0"/>
                  <w:suppressAutoHyphens/>
                  <w:snapToGrid w:val="0"/>
                  <w:jc w:val="both"/>
                  <w:rPr>
                    <w:rFonts w:eastAsia="Arial Unicode MS"/>
                    <w:color w:val="000000"/>
                    <w:szCs w:val="24"/>
                    <w:shd w:val="clear" w:color="auto" w:fill="FFFFFF"/>
                    <w:lang w:eastAsia="lt-LT"/>
                  </w:rPr>
                </w:pPr>
              </w:p>
              <w:p w14:paraId="26AECA08" w14:textId="77777777">
                <w:pPr>
                  <w:widowControl w:val="0"/>
                  <w:suppressAutoHyphens/>
                  <w:snapToGrid w:val="0"/>
                  <w:jc w:val="both"/>
                  <w:rPr>
                    <w:rFonts w:eastAsia="Arial Unicode MS"/>
                    <w:color w:val="000000"/>
                    <w:szCs w:val="24"/>
                    <w:shd w:val="clear" w:color="auto" w:fill="FFFFFF"/>
                    <w:lang w:eastAsia="lt-LT"/>
                  </w:rPr>
                </w:pPr>
              </w:p>
              <w:p w14:paraId="1A894A42" w14:textId="77777777">
                <w:pPr>
                  <w:widowControl w:val="0"/>
                  <w:suppressAutoHyphens/>
                  <w:snapToGrid w:val="0"/>
                  <w:jc w:val="both"/>
                  <w:rPr>
                    <w:rFonts w:eastAsia="Arial Unicode MS"/>
                    <w:color w:val="000000"/>
                    <w:szCs w:val="24"/>
                    <w:shd w:val="clear" w:color="auto" w:fill="FFFFFF"/>
                    <w:lang w:eastAsia="lt-LT"/>
                  </w:rPr>
                </w:pPr>
              </w:p>
              <w:p w14:paraId="1FF2918B" w14:textId="77777777">
                <w:pPr>
                  <w:widowControl w:val="0"/>
                  <w:suppressAutoHyphens/>
                  <w:snapToGrid w:val="0"/>
                  <w:jc w:val="both"/>
                  <w:rPr>
                    <w:rFonts w:eastAsia="Arial Unicode MS"/>
                    <w:color w:val="000000"/>
                    <w:szCs w:val="24"/>
                    <w:shd w:val="clear" w:color="auto" w:fill="FFFFFF"/>
                    <w:lang w:eastAsia="lt-LT"/>
                  </w:rPr>
                </w:pPr>
              </w:p>
              <w:p w14:paraId="37C64F3C" w14:textId="77777777">
                <w:pPr>
                  <w:widowControl w:val="0"/>
                  <w:suppressAutoHyphens/>
                  <w:snapToGrid w:val="0"/>
                  <w:jc w:val="both"/>
                  <w:rPr>
                    <w:rFonts w:eastAsia="Arial Unicode MS"/>
                    <w:color w:val="000000"/>
                    <w:szCs w:val="24"/>
                    <w:shd w:val="clear" w:color="auto" w:fill="FFFFFF"/>
                    <w:lang w:eastAsia="lt-LT"/>
                  </w:rPr>
                </w:pPr>
              </w:p>
              <w:p w14:paraId="4DDA88CD" w14:textId="77777777">
                <w:pPr>
                  <w:widowControl w:val="0"/>
                  <w:suppressAutoHyphens/>
                  <w:snapToGrid w:val="0"/>
                  <w:jc w:val="both"/>
                  <w:rPr>
                    <w:rFonts w:eastAsia="Arial Unicode MS"/>
                    <w:color w:val="000000"/>
                    <w:szCs w:val="24"/>
                    <w:shd w:val="clear" w:color="auto" w:fill="FFFFFF"/>
                    <w:lang w:eastAsia="lt-LT"/>
                  </w:rPr>
                </w:pPr>
              </w:p>
              <w:p w14:paraId="53BEF417" w14:textId="77777777">
                <w:pPr>
                  <w:widowControl w:val="0"/>
                  <w:suppressAutoHyphens/>
                  <w:snapToGrid w:val="0"/>
                  <w:jc w:val="both"/>
                  <w:rPr>
                    <w:rFonts w:eastAsia="Arial Unicode MS"/>
                    <w:color w:val="000000"/>
                    <w:szCs w:val="24"/>
                    <w:shd w:val="clear" w:color="auto" w:fill="FFFFFF"/>
                    <w:lang w:eastAsia="lt-LT"/>
                  </w:rPr>
                </w:pPr>
              </w:p>
              <w:p w14:paraId="5FA70B77" w14:textId="77777777">
                <w:pPr>
                  <w:widowControl w:val="0"/>
                  <w:suppressAutoHyphens/>
                  <w:snapToGrid w:val="0"/>
                  <w:jc w:val="both"/>
                  <w:rPr>
                    <w:rFonts w:eastAsia="Arial Unicode MS"/>
                    <w:color w:val="000000"/>
                    <w:szCs w:val="24"/>
                    <w:shd w:val="clear" w:color="auto" w:fill="FFFFFF"/>
                    <w:lang w:eastAsia="lt-LT"/>
                  </w:rPr>
                </w:pPr>
              </w:p>
              <w:p w14:paraId="266FD0C3" w14:textId="77777777">
                <w:pPr>
                  <w:widowControl w:val="0"/>
                  <w:suppressAutoHyphens/>
                  <w:snapToGrid w:val="0"/>
                  <w:jc w:val="both"/>
                  <w:rPr>
                    <w:rFonts w:eastAsia="Arial Unicode MS"/>
                    <w:color w:val="000000"/>
                    <w:szCs w:val="24"/>
                    <w:shd w:val="clear" w:color="auto" w:fill="FFFFFF"/>
                    <w:lang w:eastAsia="lt-LT"/>
                  </w:rPr>
                </w:pPr>
              </w:p>
              <w:p w14:paraId="2AA89E56" w14:textId="77777777">
                <w:pPr>
                  <w:widowControl w:val="0"/>
                  <w:suppressAutoHyphens/>
                  <w:snapToGrid w:val="0"/>
                  <w:jc w:val="both"/>
                  <w:rPr>
                    <w:rFonts w:eastAsia="Arial Unicode MS"/>
                    <w:color w:val="000000"/>
                    <w:szCs w:val="24"/>
                    <w:shd w:val="clear" w:color="auto" w:fill="FFFFFF"/>
                    <w:lang w:eastAsia="lt-LT"/>
                  </w:rPr>
                </w:pPr>
              </w:p>
              <w:p w14:paraId="21CF0663" w14:textId="77777777">
                <w:pPr>
                  <w:widowControl w:val="0"/>
                  <w:suppressAutoHyphens/>
                  <w:snapToGrid w:val="0"/>
                  <w:jc w:val="both"/>
                  <w:rPr>
                    <w:rFonts w:eastAsia="Arial Unicode MS"/>
                    <w:color w:val="000000"/>
                    <w:szCs w:val="24"/>
                    <w:shd w:val="clear" w:color="auto" w:fill="FFFFFF"/>
                    <w:lang w:eastAsia="lt-LT"/>
                  </w:rPr>
                </w:pPr>
              </w:p>
              <w:p w14:paraId="1E34BFD6" w14:textId="77777777">
                <w:pPr>
                  <w:widowControl w:val="0"/>
                  <w:suppressAutoHyphens/>
                  <w:snapToGrid w:val="0"/>
                  <w:jc w:val="both"/>
                  <w:rPr>
                    <w:rFonts w:eastAsia="Arial Unicode MS"/>
                    <w:color w:val="000000"/>
                    <w:szCs w:val="24"/>
                    <w:shd w:val="clear" w:color="auto" w:fill="FFFFFF"/>
                    <w:lang w:eastAsia="lt-LT"/>
                  </w:rPr>
                </w:pPr>
              </w:p>
              <w:p w14:paraId="68B02D3C" w14:textId="77777777">
                <w:pPr>
                  <w:widowControl w:val="0"/>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6. Valstybės narės parengia arba remdamosi 5 dalyje nurodytais būtiniausiais reikalavimais patikslina sertifikavimo programas, skirtas įmonėms, kurios kitiems subjektams sumontuoja 4 straipsnio 2 dalies a–d punktuose nurodytą įrangą, ją aptarnauja, atlieka jos techninę priežiūrą, ją remontuoja arba nutraukia jos eksploataciją.</w:t>
                </w:r>
              </w:p>
              <w:p w14:paraId="49C4555A" w14:textId="77777777">
                <w:pPr>
                  <w:widowControl w:val="0"/>
                  <w:suppressAutoHyphens/>
                  <w:snapToGrid w:val="0"/>
                  <w:jc w:val="both"/>
                  <w:rPr>
                    <w:rFonts w:eastAsia="Arial Unicode MS"/>
                    <w:color w:val="000000"/>
                    <w:szCs w:val="24"/>
                    <w:shd w:val="clear" w:color="auto" w:fill="FFFFFF"/>
                    <w:lang w:eastAsia="lt-LT"/>
                  </w:rPr>
                </w:pPr>
              </w:p>
              <w:p w14:paraId="0C0B2F85" w14:textId="77777777">
                <w:pPr>
                  <w:widowControl w:val="0"/>
                  <w:suppressAutoHyphens/>
                  <w:snapToGrid w:val="0"/>
                  <w:jc w:val="both"/>
                  <w:rPr>
                    <w:rFonts w:eastAsia="Arial Unicode MS"/>
                    <w:color w:val="000000"/>
                    <w:szCs w:val="24"/>
                    <w:shd w:val="clear" w:color="auto" w:fill="FFFFFF"/>
                    <w:lang w:eastAsia="lt-LT"/>
                  </w:rPr>
                </w:pPr>
              </w:p>
              <w:p w14:paraId="242AC248" w14:textId="77777777">
                <w:pPr>
                  <w:widowControl w:val="0"/>
                  <w:suppressAutoHyphens/>
                  <w:snapToGrid w:val="0"/>
                  <w:jc w:val="both"/>
                  <w:rPr>
                    <w:rFonts w:eastAsia="Arial Unicode MS"/>
                    <w:color w:val="000000"/>
                    <w:szCs w:val="24"/>
                    <w:shd w:val="clear" w:color="auto" w:fill="FFFFFF"/>
                    <w:lang w:eastAsia="lt-LT"/>
                  </w:rPr>
                </w:pPr>
              </w:p>
              <w:p w14:paraId="176C0A24" w14:textId="77777777">
                <w:pPr>
                  <w:widowControl w:val="0"/>
                  <w:suppressAutoHyphens/>
                  <w:snapToGrid w:val="0"/>
                  <w:jc w:val="both"/>
                  <w:rPr>
                    <w:rFonts w:eastAsia="Arial Unicode MS"/>
                    <w:color w:val="000000"/>
                    <w:szCs w:val="24"/>
                    <w:shd w:val="clear" w:color="auto" w:fill="FFFFFF"/>
                    <w:lang w:eastAsia="lt-LT"/>
                  </w:rPr>
                </w:pPr>
              </w:p>
              <w:p w14:paraId="26CDD395" w14:textId="77777777">
                <w:pPr>
                  <w:widowControl w:val="0"/>
                  <w:suppressAutoHyphens/>
                  <w:snapToGrid w:val="0"/>
                  <w:jc w:val="both"/>
                  <w:rPr>
                    <w:rFonts w:eastAsia="Arial Unicode MS"/>
                    <w:color w:val="000000"/>
                    <w:szCs w:val="24"/>
                    <w:shd w:val="clear" w:color="auto" w:fill="FFFFFF"/>
                    <w:lang w:eastAsia="lt-LT"/>
                  </w:rPr>
                </w:pPr>
              </w:p>
              <w:p w14:paraId="413AC010" w14:textId="77777777">
                <w:pPr>
                  <w:widowControl w:val="0"/>
                  <w:suppressAutoHyphens/>
                  <w:snapToGrid w:val="0"/>
                  <w:jc w:val="both"/>
                  <w:rPr>
                    <w:rFonts w:eastAsia="Arial Unicode MS"/>
                    <w:color w:val="000000"/>
                    <w:szCs w:val="24"/>
                    <w:shd w:val="clear" w:color="auto" w:fill="FFFFFF"/>
                    <w:lang w:eastAsia="lt-LT"/>
                  </w:rPr>
                </w:pPr>
              </w:p>
              <w:p w14:paraId="05E703DA" w14:textId="77777777">
                <w:pPr>
                  <w:widowControl w:val="0"/>
                  <w:suppressAutoHyphens/>
                  <w:snapToGrid w:val="0"/>
                  <w:jc w:val="both"/>
                  <w:rPr>
                    <w:rFonts w:eastAsia="Arial Unicode MS"/>
                    <w:color w:val="000000"/>
                    <w:szCs w:val="24"/>
                    <w:shd w:val="clear" w:color="auto" w:fill="FFFFFF"/>
                    <w:lang w:eastAsia="lt-LT"/>
                  </w:rPr>
                </w:pPr>
              </w:p>
              <w:p w14:paraId="0A8B741A" w14:textId="77777777">
                <w:pPr>
                  <w:widowControl w:val="0"/>
                  <w:suppressAutoHyphens/>
                  <w:snapToGrid w:val="0"/>
                  <w:jc w:val="both"/>
                  <w:rPr>
                    <w:rFonts w:eastAsia="Arial Unicode MS"/>
                    <w:color w:val="000000"/>
                    <w:szCs w:val="24"/>
                    <w:shd w:val="clear" w:color="auto" w:fill="FFFFFF"/>
                    <w:lang w:eastAsia="lt-LT"/>
                  </w:rPr>
                </w:pPr>
              </w:p>
              <w:p w14:paraId="22F1BBE0" w14:textId="77777777">
                <w:pPr>
                  <w:widowControl w:val="0"/>
                  <w:suppressAutoHyphens/>
                  <w:snapToGrid w:val="0"/>
                  <w:jc w:val="both"/>
                  <w:rPr>
                    <w:rFonts w:eastAsia="Arial Unicode MS"/>
                    <w:color w:val="000000"/>
                    <w:szCs w:val="24"/>
                    <w:shd w:val="clear" w:color="auto" w:fill="FFFFFF"/>
                    <w:lang w:eastAsia="lt-LT"/>
                  </w:rPr>
                </w:pPr>
              </w:p>
              <w:p w14:paraId="2EC13D38" w14:textId="77777777">
                <w:pPr>
                  <w:widowControl w:val="0"/>
                  <w:suppressAutoHyphens/>
                  <w:snapToGrid w:val="0"/>
                  <w:jc w:val="both"/>
                  <w:rPr>
                    <w:rFonts w:eastAsia="Arial Unicode MS"/>
                    <w:color w:val="000000"/>
                    <w:szCs w:val="24"/>
                    <w:shd w:val="clear" w:color="auto" w:fill="FFFFFF"/>
                    <w:lang w:eastAsia="lt-LT"/>
                  </w:rPr>
                </w:pPr>
              </w:p>
              <w:p w14:paraId="465653B4" w14:textId="77777777">
                <w:pPr>
                  <w:widowControl w:val="0"/>
                  <w:suppressAutoHyphens/>
                  <w:snapToGrid w:val="0"/>
                  <w:jc w:val="both"/>
                  <w:rPr>
                    <w:rFonts w:eastAsia="Arial Unicode MS"/>
                    <w:color w:val="000000"/>
                    <w:szCs w:val="24"/>
                    <w:shd w:val="clear" w:color="auto" w:fill="FFFFFF"/>
                    <w:lang w:eastAsia="lt-LT"/>
                  </w:rPr>
                </w:pPr>
              </w:p>
              <w:p w14:paraId="78D5E95E" w14:textId="77777777">
                <w:pPr>
                  <w:widowControl w:val="0"/>
                  <w:suppressAutoHyphens/>
                  <w:snapToGrid w:val="0"/>
                  <w:jc w:val="both"/>
                  <w:rPr>
                    <w:rFonts w:eastAsia="Arial Unicode MS"/>
                    <w:color w:val="000000"/>
                    <w:szCs w:val="24"/>
                    <w:shd w:val="clear" w:color="auto" w:fill="FFFFFF"/>
                    <w:lang w:eastAsia="lt-LT"/>
                  </w:rPr>
                </w:pPr>
              </w:p>
              <w:p w14:paraId="4166B834" w14:textId="77777777">
                <w:pPr>
                  <w:widowControl w:val="0"/>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 xml:space="preserve">7. Galiojantys sertifikatai ir mokymo pažymėjimai, išduoti pagal Reglamentą </w:t>
                </w:r>
                <w:fldSimple w:instr="HYPERLINK http://eur-lex.europa.eu/legal-content/LIT/TXT/?uri=CELEX:32006R0842&amp;locale=lt \t _blank">
                  <w:r>
                    <w:rPr>
                      <w:rFonts w:eastAsia="Arial Unicode MS"/>
                      <w:color w:val="0000FF" w:themeColor="hyperlink"/>
                      <w:szCs w:val="24"/>
                      <w:shd w:val="clear" w:color="auto" w:fill="FFFFFF"/>
                      <w:lang w:eastAsia="lt-LT"/>
                      <w:u w:val="single"/>
                    </w:rPr>
                    <w:t>(EB) Nr. 842/2006</w:t>
                  </w:r>
                </w:fldSimple>
                <w:r>
                  <w:rPr>
                    <w:rFonts w:eastAsia="Arial Unicode MS"/>
                    <w:color w:val="000000"/>
                    <w:szCs w:val="24"/>
                    <w:shd w:val="clear" w:color="auto" w:fill="FFFFFF"/>
                    <w:lang w:eastAsia="lt-LT"/>
                  </w:rPr>
                  <w:t>, lieka galioti vadovaujantis jų pirminio išdavimo sąlygomis.</w:t>
                </w:r>
              </w:p>
              <w:p w14:paraId="1CB582E0" w14:textId="77777777">
                <w:pPr>
                  <w:widowControl w:val="0"/>
                  <w:suppressAutoHyphens/>
                  <w:snapToGrid w:val="0"/>
                  <w:jc w:val="both"/>
                  <w:rPr>
                    <w:rFonts w:eastAsia="Arial Unicode MS"/>
                    <w:color w:val="000000"/>
                    <w:szCs w:val="24"/>
                    <w:shd w:val="clear" w:color="auto" w:fill="FFFFFF"/>
                    <w:lang w:eastAsia="lt-LT"/>
                  </w:rPr>
                </w:pPr>
              </w:p>
              <w:p w14:paraId="7A6A98FF" w14:textId="77777777">
                <w:pPr>
                  <w:widowControl w:val="0"/>
                  <w:suppressAutoHyphens/>
                  <w:snapToGrid w:val="0"/>
                  <w:jc w:val="both"/>
                  <w:rPr>
                    <w:rFonts w:eastAsia="Arial Unicode MS"/>
                    <w:color w:val="000000"/>
                    <w:szCs w:val="24"/>
                    <w:shd w:val="clear" w:color="auto" w:fill="FFFFFF"/>
                    <w:lang w:eastAsia="lt-LT"/>
                  </w:rPr>
                </w:pPr>
              </w:p>
              <w:p w14:paraId="667C75BB" w14:textId="77777777">
                <w:pPr>
                  <w:widowControl w:val="0"/>
                  <w:suppressAutoHyphens/>
                  <w:snapToGrid w:val="0"/>
                  <w:jc w:val="both"/>
                  <w:rPr>
                    <w:rFonts w:eastAsia="Arial Unicode MS"/>
                    <w:color w:val="000000"/>
                    <w:szCs w:val="24"/>
                    <w:shd w:val="clear" w:color="auto" w:fill="FFFFFF"/>
                    <w:lang w:eastAsia="lt-LT"/>
                  </w:rPr>
                </w:pPr>
              </w:p>
              <w:p w14:paraId="4FBD73F4" w14:textId="77777777">
                <w:pPr>
                  <w:widowControl w:val="0"/>
                  <w:suppressAutoHyphens/>
                  <w:snapToGrid w:val="0"/>
                  <w:jc w:val="both"/>
                  <w:rPr>
                    <w:rFonts w:eastAsia="Arial Unicode MS"/>
                    <w:color w:val="000000"/>
                    <w:szCs w:val="24"/>
                    <w:shd w:val="clear" w:color="auto" w:fill="FFFFFF"/>
                    <w:lang w:eastAsia="lt-LT"/>
                  </w:rPr>
                </w:pPr>
              </w:p>
              <w:p w14:paraId="32163C7F" w14:textId="77777777">
                <w:pPr>
                  <w:widowControl w:val="0"/>
                  <w:suppressAutoHyphens/>
                  <w:snapToGrid w:val="0"/>
                  <w:jc w:val="both"/>
                  <w:rPr>
                    <w:rFonts w:eastAsia="Arial Unicode MS"/>
                    <w:color w:val="000000"/>
                    <w:szCs w:val="24"/>
                    <w:shd w:val="clear" w:color="auto" w:fill="FFFFFF"/>
                    <w:lang w:eastAsia="lt-LT"/>
                  </w:rPr>
                </w:pPr>
              </w:p>
              <w:p w14:paraId="1A1B9A59" w14:textId="77777777">
                <w:pPr>
                  <w:widowControl w:val="0"/>
                  <w:suppressAutoHyphens/>
                  <w:snapToGrid w:val="0"/>
                  <w:jc w:val="both"/>
                  <w:rPr>
                    <w:rFonts w:eastAsia="Arial Unicode MS"/>
                    <w:color w:val="000000"/>
                    <w:szCs w:val="24"/>
                    <w:shd w:val="clear" w:color="auto" w:fill="FFFFFF"/>
                    <w:lang w:eastAsia="lt-LT"/>
                  </w:rPr>
                </w:pPr>
              </w:p>
              <w:p w14:paraId="2FFD0360" w14:textId="77777777">
                <w:pPr>
                  <w:widowControl w:val="0"/>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8. Valstybės narės užtikrina, kad visi pagal 1 ir 7 dalyse numatytas sertifikavimo programas gautus sertifikatus turintys fiziniai asmenys turėtų galimybę susipažinti su:</w:t>
                </w:r>
              </w:p>
              <w:p w14:paraId="187758D0" w14:textId="77777777">
                <w:pPr>
                  <w:widowControl w:val="0"/>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a) 3 dalies e punkte nurodyta informacija apie technologijas ir</w:t>
                </w:r>
              </w:p>
              <w:p w14:paraId="3596DC5C" w14:textId="77777777">
                <w:pPr>
                  <w:widowControl w:val="0"/>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b) galiojančiais reguliavimo reikalavimais darbui su įranga, kurioje yra fluorintoms šiltnamio efektą sukeliančioms dujoms alternatyvių aušalų.</w:t>
                </w:r>
              </w:p>
              <w:p w14:paraId="7790831F" w14:textId="77777777">
                <w:pPr>
                  <w:widowControl w:val="0"/>
                  <w:suppressAutoHyphens/>
                  <w:snapToGrid w:val="0"/>
                  <w:jc w:val="both"/>
                  <w:rPr>
                    <w:rFonts w:eastAsia="Arial Unicode MS"/>
                    <w:color w:val="000000"/>
                    <w:szCs w:val="24"/>
                    <w:shd w:val="clear" w:color="auto" w:fill="FFFFFF"/>
                    <w:lang w:eastAsia="lt-LT"/>
                  </w:rPr>
                </w:pPr>
              </w:p>
              <w:p w14:paraId="7E0323F6" w14:textId="77777777">
                <w:pPr>
                  <w:widowControl w:val="0"/>
                  <w:suppressAutoHyphens/>
                  <w:snapToGrid w:val="0"/>
                  <w:jc w:val="both"/>
                  <w:rPr>
                    <w:rFonts w:eastAsia="Arial Unicode MS"/>
                    <w:color w:val="000000"/>
                    <w:szCs w:val="24"/>
                    <w:shd w:val="clear" w:color="auto" w:fill="FFFFFF"/>
                    <w:lang w:eastAsia="lt-LT"/>
                  </w:rPr>
                </w:pPr>
              </w:p>
              <w:p w14:paraId="59877D31" w14:textId="77777777">
                <w:pPr>
                  <w:widowControl w:val="0"/>
                  <w:suppressAutoHyphens/>
                  <w:snapToGrid w:val="0"/>
                  <w:jc w:val="both"/>
                  <w:rPr>
                    <w:rFonts w:eastAsia="Arial Unicode MS"/>
                    <w:color w:val="000000"/>
                    <w:szCs w:val="24"/>
                    <w:shd w:val="clear" w:color="auto" w:fill="FFFFFF"/>
                    <w:lang w:eastAsia="lt-LT"/>
                  </w:rPr>
                </w:pPr>
              </w:p>
              <w:p w14:paraId="3DDA9F23" w14:textId="77777777">
                <w:pPr>
                  <w:widowControl w:val="0"/>
                  <w:suppressAutoHyphens/>
                  <w:snapToGrid w:val="0"/>
                  <w:jc w:val="both"/>
                  <w:rPr>
                    <w:rFonts w:eastAsia="Arial Unicode MS"/>
                    <w:color w:val="000000"/>
                    <w:szCs w:val="24"/>
                    <w:shd w:val="clear" w:color="auto" w:fill="FFFFFF"/>
                    <w:lang w:eastAsia="lt-LT"/>
                  </w:rPr>
                </w:pPr>
              </w:p>
              <w:p w14:paraId="0717CF7F" w14:textId="77777777">
                <w:pPr>
                  <w:widowControl w:val="0"/>
                  <w:suppressAutoHyphens/>
                  <w:snapToGrid w:val="0"/>
                  <w:jc w:val="both"/>
                  <w:rPr>
                    <w:rFonts w:eastAsia="Arial Unicode MS"/>
                    <w:color w:val="000000"/>
                    <w:szCs w:val="24"/>
                    <w:shd w:val="clear" w:color="auto" w:fill="FFFFFF"/>
                    <w:lang w:eastAsia="lt-LT"/>
                  </w:rPr>
                </w:pPr>
              </w:p>
              <w:p w14:paraId="377FDD15" w14:textId="77777777">
                <w:pPr>
                  <w:widowControl w:val="0"/>
                  <w:suppressAutoHyphens/>
                  <w:snapToGrid w:val="0"/>
                  <w:jc w:val="both"/>
                  <w:rPr>
                    <w:rFonts w:eastAsia="Arial Unicode MS"/>
                    <w:color w:val="000000"/>
                    <w:szCs w:val="24"/>
                    <w:shd w:val="clear" w:color="auto" w:fill="FFFFFF"/>
                    <w:lang w:eastAsia="lt-LT"/>
                  </w:rPr>
                </w:pPr>
              </w:p>
              <w:p w14:paraId="3F512CF8" w14:textId="77777777">
                <w:pPr>
                  <w:widowControl w:val="0"/>
                  <w:suppressAutoHyphens/>
                  <w:snapToGrid w:val="0"/>
                  <w:jc w:val="both"/>
                  <w:rPr>
                    <w:rFonts w:eastAsia="Arial Unicode MS"/>
                    <w:color w:val="000000"/>
                    <w:szCs w:val="24"/>
                    <w:shd w:val="clear" w:color="auto" w:fill="FFFFFF"/>
                    <w:lang w:eastAsia="lt-LT"/>
                  </w:rPr>
                </w:pPr>
              </w:p>
              <w:p w14:paraId="283704BB" w14:textId="77777777">
                <w:pPr>
                  <w:widowControl w:val="0"/>
                  <w:suppressAutoHyphens/>
                  <w:snapToGrid w:val="0"/>
                  <w:jc w:val="both"/>
                  <w:rPr>
                    <w:rFonts w:eastAsia="Arial Unicode MS"/>
                    <w:color w:val="000000"/>
                    <w:szCs w:val="24"/>
                    <w:shd w:val="clear" w:color="auto" w:fill="FFFFFF"/>
                    <w:lang w:eastAsia="lt-LT"/>
                  </w:rPr>
                </w:pPr>
              </w:p>
              <w:p w14:paraId="61BD3D38" w14:textId="77777777">
                <w:pPr>
                  <w:widowControl w:val="0"/>
                  <w:suppressAutoHyphens/>
                  <w:snapToGrid w:val="0"/>
                  <w:jc w:val="both"/>
                  <w:rPr>
                    <w:rFonts w:eastAsia="Arial Unicode MS"/>
                    <w:color w:val="000000"/>
                    <w:szCs w:val="24"/>
                    <w:shd w:val="clear" w:color="auto" w:fill="FFFFFF"/>
                    <w:lang w:eastAsia="lt-LT"/>
                  </w:rPr>
                </w:pPr>
              </w:p>
              <w:p w14:paraId="33E26B88" w14:textId="77777777">
                <w:pPr>
                  <w:widowControl w:val="0"/>
                  <w:suppressAutoHyphens/>
                  <w:snapToGrid w:val="0"/>
                  <w:jc w:val="both"/>
                  <w:rPr>
                    <w:rFonts w:eastAsia="Arial Unicode MS"/>
                    <w:color w:val="000000"/>
                    <w:szCs w:val="24"/>
                    <w:shd w:val="clear" w:color="auto" w:fill="FFFFFF"/>
                    <w:lang w:eastAsia="lt-LT"/>
                  </w:rPr>
                </w:pPr>
              </w:p>
              <w:p w14:paraId="10440040" w14:textId="77777777">
                <w:pPr>
                  <w:widowControl w:val="0"/>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9. Valstybės narės užtikrina, kad fiziniams asmenims, norintiems atnaujinti žinias 3 dalyje nurodytais klausimais, būtų prieinamas toks mokymas.</w:t>
                </w:r>
              </w:p>
              <w:p w14:paraId="1BCA4170" w14:textId="77777777">
                <w:pPr>
                  <w:widowControl w:val="0"/>
                  <w:suppressAutoHyphens/>
                  <w:snapToGrid w:val="0"/>
                  <w:jc w:val="both"/>
                  <w:rPr>
                    <w:rFonts w:eastAsia="Arial Unicode MS"/>
                    <w:color w:val="000000"/>
                    <w:szCs w:val="24"/>
                    <w:shd w:val="clear" w:color="auto" w:fill="FFFFFF"/>
                    <w:lang w:eastAsia="lt-LT"/>
                  </w:rPr>
                </w:pPr>
              </w:p>
              <w:p w14:paraId="393D2348" w14:textId="77777777">
                <w:pPr>
                  <w:widowControl w:val="0"/>
                  <w:suppressAutoHyphens/>
                  <w:snapToGrid w:val="0"/>
                  <w:jc w:val="both"/>
                  <w:rPr>
                    <w:rFonts w:eastAsia="Arial Unicode MS"/>
                    <w:color w:val="000000"/>
                    <w:szCs w:val="24"/>
                    <w:shd w:val="clear" w:color="auto" w:fill="FFFFFF"/>
                    <w:lang w:eastAsia="lt-LT"/>
                  </w:rPr>
                </w:pPr>
              </w:p>
              <w:p w14:paraId="797F4078" w14:textId="77777777">
                <w:pPr>
                  <w:widowControl w:val="0"/>
                  <w:suppressAutoHyphens/>
                  <w:snapToGrid w:val="0"/>
                  <w:jc w:val="both"/>
                  <w:rPr>
                    <w:rFonts w:eastAsia="Arial Unicode MS"/>
                    <w:color w:val="000000"/>
                    <w:szCs w:val="24"/>
                    <w:shd w:val="clear" w:color="auto" w:fill="FFFFFF"/>
                    <w:lang w:eastAsia="lt-LT"/>
                  </w:rPr>
                </w:pPr>
              </w:p>
              <w:p w14:paraId="21D92818" w14:textId="77777777">
                <w:pPr>
                  <w:widowControl w:val="0"/>
                  <w:suppressAutoHyphens/>
                  <w:snapToGrid w:val="0"/>
                  <w:jc w:val="both"/>
                  <w:rPr>
                    <w:rFonts w:eastAsia="Arial Unicode MS"/>
                    <w:color w:val="000000"/>
                    <w:szCs w:val="24"/>
                    <w:shd w:val="clear" w:color="auto" w:fill="FFFFFF"/>
                    <w:lang w:eastAsia="lt-LT"/>
                  </w:rPr>
                </w:pPr>
              </w:p>
              <w:p w14:paraId="22E3D4CC" w14:textId="77777777">
                <w:pPr>
                  <w:widowControl w:val="0"/>
                  <w:suppressAutoHyphens/>
                  <w:snapToGrid w:val="0"/>
                  <w:jc w:val="both"/>
                  <w:rPr>
                    <w:rFonts w:eastAsia="Arial Unicode MS"/>
                    <w:color w:val="000000"/>
                    <w:szCs w:val="24"/>
                    <w:shd w:val="clear" w:color="auto" w:fill="FFFFFF"/>
                    <w:lang w:eastAsia="lt-LT"/>
                  </w:rPr>
                </w:pPr>
              </w:p>
              <w:p w14:paraId="196752CE" w14:textId="77777777">
                <w:pPr>
                  <w:widowControl w:val="0"/>
                  <w:suppressAutoHyphens/>
                  <w:snapToGrid w:val="0"/>
                  <w:jc w:val="both"/>
                  <w:rPr>
                    <w:rFonts w:eastAsia="Arial Unicode MS"/>
                    <w:color w:val="000000"/>
                    <w:szCs w:val="24"/>
                    <w:shd w:val="clear" w:color="auto" w:fill="FFFFFF"/>
                    <w:lang w:eastAsia="lt-LT"/>
                  </w:rPr>
                </w:pPr>
              </w:p>
              <w:p w14:paraId="2BE06142" w14:textId="77777777">
                <w:pPr>
                  <w:widowControl w:val="0"/>
                  <w:suppressAutoHyphens/>
                  <w:snapToGrid w:val="0"/>
                  <w:jc w:val="both"/>
                  <w:rPr>
                    <w:rFonts w:eastAsia="Arial Unicode MS"/>
                    <w:color w:val="000000"/>
                    <w:szCs w:val="24"/>
                    <w:shd w:val="clear" w:color="auto" w:fill="FFFFFF"/>
                    <w:lang w:eastAsia="lt-LT"/>
                  </w:rPr>
                </w:pPr>
              </w:p>
              <w:p w14:paraId="59FFF233" w14:textId="77777777">
                <w:pPr>
                  <w:widowControl w:val="0"/>
                  <w:suppressAutoHyphens/>
                  <w:snapToGrid w:val="0"/>
                  <w:jc w:val="both"/>
                  <w:rPr>
                    <w:rFonts w:eastAsia="Arial Unicode MS"/>
                    <w:color w:val="000000"/>
                    <w:szCs w:val="24"/>
                    <w:shd w:val="clear" w:color="auto" w:fill="FFFFFF"/>
                    <w:lang w:eastAsia="lt-LT"/>
                  </w:rPr>
                </w:pPr>
              </w:p>
              <w:p w14:paraId="4AFB6478" w14:textId="77777777">
                <w:pPr>
                  <w:widowControl w:val="0"/>
                  <w:suppressAutoHyphens/>
                  <w:snapToGrid w:val="0"/>
                  <w:jc w:val="both"/>
                  <w:rPr>
                    <w:rFonts w:eastAsia="Arial Unicode MS"/>
                    <w:color w:val="000000"/>
                    <w:szCs w:val="24"/>
                    <w:shd w:val="clear" w:color="auto" w:fill="FFFFFF"/>
                    <w:lang w:eastAsia="lt-LT"/>
                  </w:rPr>
                </w:pPr>
              </w:p>
              <w:p w14:paraId="294A368C" w14:textId="77777777">
                <w:pPr>
                  <w:widowControl w:val="0"/>
                  <w:suppressAutoHyphens/>
                  <w:snapToGrid w:val="0"/>
                  <w:jc w:val="both"/>
                  <w:rPr>
                    <w:rFonts w:eastAsia="Arial Unicode MS"/>
                    <w:color w:val="000000"/>
                    <w:szCs w:val="24"/>
                    <w:shd w:val="clear" w:color="auto" w:fill="FFFFFF"/>
                    <w:lang w:eastAsia="lt-LT"/>
                  </w:rPr>
                </w:pPr>
              </w:p>
              <w:p w14:paraId="1F1B625E" w14:textId="77777777">
                <w:pPr>
                  <w:widowControl w:val="0"/>
                  <w:suppressAutoHyphens/>
                  <w:snapToGrid w:val="0"/>
                  <w:jc w:val="both"/>
                  <w:rPr>
                    <w:rFonts w:eastAsia="Arial Unicode MS"/>
                    <w:color w:val="000000"/>
                    <w:szCs w:val="24"/>
                    <w:shd w:val="clear" w:color="auto" w:fill="FFFFFF"/>
                    <w:lang w:eastAsia="lt-LT"/>
                  </w:rPr>
                </w:pPr>
              </w:p>
              <w:p w14:paraId="78996AE4" w14:textId="77777777">
                <w:pPr>
                  <w:widowControl w:val="0"/>
                  <w:suppressAutoHyphens/>
                  <w:snapToGrid w:val="0"/>
                  <w:jc w:val="both"/>
                  <w:rPr>
                    <w:rFonts w:eastAsia="Arial Unicode MS"/>
                    <w:color w:val="000000"/>
                    <w:szCs w:val="24"/>
                    <w:shd w:val="clear" w:color="auto" w:fill="FFFFFF"/>
                    <w:lang w:eastAsia="lt-LT"/>
                  </w:rPr>
                </w:pPr>
              </w:p>
              <w:p w14:paraId="30A69641" w14:textId="77777777">
                <w:pPr>
                  <w:widowControl w:val="0"/>
                  <w:suppressAutoHyphens/>
                  <w:snapToGrid w:val="0"/>
                  <w:jc w:val="both"/>
                  <w:rPr>
                    <w:rFonts w:eastAsia="Arial Unicode MS"/>
                    <w:color w:val="000000"/>
                    <w:szCs w:val="24"/>
                    <w:shd w:val="clear" w:color="auto" w:fill="FFFFFF"/>
                    <w:lang w:eastAsia="lt-LT"/>
                  </w:rPr>
                </w:pPr>
              </w:p>
              <w:p w14:paraId="01DF04F9" w14:textId="77777777">
                <w:pPr>
                  <w:widowControl w:val="0"/>
                  <w:suppressAutoHyphens/>
                  <w:snapToGrid w:val="0"/>
                  <w:jc w:val="both"/>
                  <w:rPr>
                    <w:rFonts w:eastAsia="Arial Unicode MS"/>
                    <w:color w:val="000000"/>
                    <w:szCs w:val="24"/>
                    <w:shd w:val="clear" w:color="auto" w:fill="FFFFFF"/>
                    <w:lang w:eastAsia="lt-LT"/>
                  </w:rPr>
                </w:pPr>
              </w:p>
              <w:p w14:paraId="63CE7143" w14:textId="77777777">
                <w:pPr>
                  <w:widowControl w:val="0"/>
                  <w:suppressAutoHyphens/>
                  <w:snapToGrid w:val="0"/>
                  <w:jc w:val="both"/>
                  <w:rPr>
                    <w:rFonts w:eastAsia="Arial Unicode MS"/>
                    <w:color w:val="000000"/>
                    <w:szCs w:val="24"/>
                    <w:shd w:val="clear" w:color="auto" w:fill="FFFFFF"/>
                    <w:lang w:eastAsia="lt-LT"/>
                  </w:rPr>
                </w:pPr>
              </w:p>
              <w:p w14:paraId="01DC0903" w14:textId="77777777">
                <w:pPr>
                  <w:widowControl w:val="0"/>
                  <w:suppressAutoHyphens/>
                  <w:snapToGrid w:val="0"/>
                  <w:jc w:val="both"/>
                  <w:rPr>
                    <w:rFonts w:eastAsia="Arial Unicode MS"/>
                    <w:color w:val="000000"/>
                    <w:szCs w:val="24"/>
                    <w:shd w:val="clear" w:color="auto" w:fill="FFFFFF"/>
                    <w:lang w:eastAsia="lt-LT"/>
                  </w:rPr>
                </w:pPr>
              </w:p>
              <w:p w14:paraId="71527142" w14:textId="77777777">
                <w:pPr>
                  <w:widowControl w:val="0"/>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10. Valstybės narės iki 2017 m. sausio 1 d. praneša Komisijai apie sertifikavimo ir mokymo programas.</w:t>
                </w:r>
              </w:p>
              <w:p w14:paraId="02CFE186" w14:textId="77777777">
                <w:pPr>
                  <w:widowControl w:val="0"/>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Valstybės narės pripažįsta kitose valstybėse narėse pagal šį straipsnį išduotus sertifikatus ir mokymo pažymėjimus. Jos neriboja laisvės teikti paslaugas arba įsisteigimo laisvės dėl to, kad sertifikatas išduotas kitoje valstybėje narėje.</w:t>
                </w:r>
              </w:p>
              <w:p w14:paraId="7C0B957D" w14:textId="77777777">
                <w:pPr>
                  <w:widowControl w:val="0"/>
                  <w:suppressAutoHyphens/>
                  <w:snapToGrid w:val="0"/>
                  <w:jc w:val="both"/>
                  <w:rPr>
                    <w:rFonts w:eastAsia="Arial Unicode MS"/>
                    <w:color w:val="000000"/>
                    <w:szCs w:val="24"/>
                    <w:shd w:val="clear" w:color="auto" w:fill="FFFFFF"/>
                    <w:lang w:eastAsia="lt-LT"/>
                  </w:rPr>
                </w:pPr>
              </w:p>
              <w:p w14:paraId="6372C503" w14:textId="77777777">
                <w:pPr>
                  <w:widowControl w:val="0"/>
                  <w:suppressAutoHyphens/>
                  <w:snapToGrid w:val="0"/>
                  <w:jc w:val="both"/>
                  <w:rPr>
                    <w:rFonts w:eastAsia="Arial Unicode MS"/>
                    <w:color w:val="000000"/>
                    <w:szCs w:val="24"/>
                    <w:shd w:val="clear" w:color="auto" w:fill="FFFFFF"/>
                    <w:lang w:eastAsia="lt-LT"/>
                  </w:rPr>
                </w:pPr>
              </w:p>
              <w:p w14:paraId="44FCE486" w14:textId="77777777">
                <w:pPr>
                  <w:widowControl w:val="0"/>
                  <w:suppressAutoHyphens/>
                  <w:snapToGrid w:val="0"/>
                  <w:jc w:val="both"/>
                  <w:rPr>
                    <w:rFonts w:eastAsia="Arial Unicode MS"/>
                    <w:color w:val="000000"/>
                    <w:szCs w:val="24"/>
                    <w:shd w:val="clear" w:color="auto" w:fill="FFFFFF"/>
                    <w:lang w:eastAsia="lt-LT"/>
                  </w:rPr>
                </w:pPr>
              </w:p>
              <w:p w14:paraId="34D7B9C1" w14:textId="77777777">
                <w:pPr>
                  <w:widowControl w:val="0"/>
                  <w:suppressAutoHyphens/>
                  <w:snapToGrid w:val="0"/>
                  <w:jc w:val="both"/>
                  <w:rPr>
                    <w:rFonts w:eastAsia="Arial Unicode MS"/>
                    <w:color w:val="000000"/>
                    <w:szCs w:val="24"/>
                    <w:shd w:val="clear" w:color="auto" w:fill="FFFFFF"/>
                    <w:lang w:eastAsia="lt-LT"/>
                  </w:rPr>
                </w:pPr>
              </w:p>
              <w:p w14:paraId="52FDE91E" w14:textId="77777777">
                <w:pPr>
                  <w:widowControl w:val="0"/>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11. Įmonė, pavedanti vieną iš pagal 1 dalį reikalaujamų užduočių kitai įmonei, imasi pagrįstų priemonių, kad įsitikintų, jog ta kita įmonė turi būtinus sertifikatus pagal šį straipsnį reikalaujamoms užduotims atlikti.</w:t>
                </w:r>
              </w:p>
              <w:p w14:paraId="71E51317" w14:textId="77777777">
                <w:pPr>
                  <w:widowControl w:val="0"/>
                  <w:suppressAutoHyphens/>
                  <w:snapToGrid w:val="0"/>
                  <w:jc w:val="both"/>
                  <w:rPr>
                    <w:rFonts w:eastAsia="Arial Unicode MS"/>
                    <w:color w:val="000000"/>
                    <w:szCs w:val="24"/>
                    <w:shd w:val="clear" w:color="auto" w:fill="FFFFFF"/>
                    <w:lang w:eastAsia="lt-LT"/>
                  </w:rPr>
                </w:pPr>
              </w:p>
              <w:p w14:paraId="7C1A4879" w14:textId="77777777">
                <w:pPr>
                  <w:widowControl w:val="0"/>
                  <w:suppressAutoHyphens/>
                  <w:snapToGrid w:val="0"/>
                  <w:jc w:val="both"/>
                  <w:rPr>
                    <w:rFonts w:eastAsia="Arial Unicode MS"/>
                    <w:color w:val="000000"/>
                    <w:szCs w:val="24"/>
                    <w:shd w:val="clear" w:color="auto" w:fill="FFFFFF"/>
                    <w:lang w:eastAsia="lt-LT"/>
                  </w:rPr>
                </w:pPr>
              </w:p>
              <w:p w14:paraId="175B322F" w14:textId="77777777">
                <w:pPr>
                  <w:widowControl w:val="0"/>
                  <w:suppressAutoHyphens/>
                  <w:snapToGrid w:val="0"/>
                  <w:jc w:val="both"/>
                  <w:rPr>
                    <w:rFonts w:eastAsia="Arial Unicode MS"/>
                    <w:color w:val="000000"/>
                    <w:szCs w:val="24"/>
                    <w:shd w:val="clear" w:color="auto" w:fill="FFFFFF"/>
                    <w:lang w:eastAsia="lt-LT"/>
                  </w:rPr>
                </w:pPr>
              </w:p>
              <w:p w14:paraId="20A10207" w14:textId="77777777">
                <w:pPr>
                  <w:widowControl w:val="0"/>
                  <w:suppressAutoHyphens/>
                  <w:snapToGrid w:val="0"/>
                  <w:jc w:val="both"/>
                  <w:rPr>
                    <w:rFonts w:eastAsia="Arial Unicode MS"/>
                    <w:color w:val="000000"/>
                    <w:szCs w:val="24"/>
                    <w:shd w:val="clear" w:color="auto" w:fill="FFFFFF"/>
                    <w:lang w:eastAsia="lt-LT"/>
                  </w:rPr>
                </w:pPr>
              </w:p>
              <w:p w14:paraId="5BD78EEC" w14:textId="77777777">
                <w:pPr>
                  <w:widowControl w:val="0"/>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14. Jeigu pagal šį straipsnį nustatytomis pareigomis, susijusiomis su sertifikavimo ir mokymo užtikrinimu, tam tikrai valstybei narei dėl mažo jos gyventojų skaičiaus ir dėl atitinkamai nepakankamos tokio mokymo ir sertifikavimo paklausos būtų nustatyta neproporcinga našta, jų laikymąsi galima užtikrinti, jeigu bus pripažįstami kitose valstybėse narėse išduoti sertifikatai.</w:t>
                </w:r>
              </w:p>
              <w:p w14:paraId="7792DF67" w14:textId="77777777">
                <w:pPr>
                  <w:widowControl w:val="0"/>
                  <w:suppressAutoHyphens/>
                  <w:snapToGrid w:val="0"/>
                  <w:jc w:val="both"/>
                  <w:rPr>
                    <w:rFonts w:eastAsia="Arial Unicode MS"/>
                    <w:color w:val="000000"/>
                    <w:szCs w:val="24"/>
                    <w:shd w:val="clear" w:color="auto" w:fill="FFFFFF"/>
                    <w:lang w:eastAsia="lt-LT"/>
                  </w:rPr>
                </w:pPr>
                <w:r>
                  <w:rPr>
                    <w:rFonts w:eastAsia="Arial Unicode MS"/>
                    <w:color w:val="000000"/>
                    <w:szCs w:val="24"/>
                    <w:shd w:val="clear" w:color="auto" w:fill="FFFFFF"/>
                    <w:lang w:eastAsia="lt-LT"/>
                  </w:rPr>
                  <w:t xml:space="preserve">Šią dalį taikančios valstybės narės informuoja Komisiją, o Komisija informuoja kitas valstybes nares. </w:t>
                </w:r>
              </w:p>
            </w:tc>
            <w:tc>
              <w:tcPr>
                <w:tcW w:w="8363" w:type="dxa"/>
                <w:tcMar>
                  <w:top w:w="55" w:type="dxa"/>
                  <w:left w:w="55" w:type="dxa"/>
                  <w:bottom w:w="55" w:type="dxa"/>
                  <w:right w:w="55" w:type="dxa"/>
                </w:tcMar>
              </w:tcPr>
              <w:p w14:paraId="5891734B" w14:textId="77777777">
                <w:pPr>
                  <w:widowControl w:val="0"/>
                  <w:tabs>
                    <w:tab w:val="left" w:pos="470"/>
                  </w:tabs>
                  <w:suppressAutoHyphens/>
                  <w:jc w:val="both"/>
                  <w:rPr>
                    <w:rFonts w:eastAsia="Arial Unicode MS"/>
                    <w:b/>
                    <w:bCs/>
                    <w:szCs w:val="24"/>
                    <w:lang w:eastAsia="lt-LT"/>
                  </w:rPr>
                </w:pPr>
                <w:r>
                  <w:rPr>
                    <w:rFonts w:eastAsia="Arial Unicode MS"/>
                    <w:b/>
                    <w:bCs/>
                    <w:szCs w:val="24"/>
                    <w:lang w:eastAsia="lt-LT"/>
                  </w:rPr>
                  <w:t>Įsakymo projektas</w:t>
                </w:r>
              </w:p>
              <w:p w14:paraId="5F00EE45" w14:textId="77777777">
                <w:pPr>
                  <w:widowControl w:val="0"/>
                  <w:tabs>
                    <w:tab w:val="left" w:pos="470"/>
                  </w:tabs>
                  <w:suppressAutoHyphens/>
                  <w:jc w:val="both"/>
                  <w:rPr>
                    <w:b/>
                    <w:bCs/>
                    <w:sz w:val="22"/>
                    <w:szCs w:val="22"/>
                  </w:rPr>
                </w:pPr>
                <w:r>
                  <w:rPr>
                    <w:rFonts w:eastAsia="Arial Unicode MS"/>
                    <w:b/>
                    <w:szCs w:val="24"/>
                    <w:lang w:eastAsia="lt-LT"/>
                  </w:rPr>
                  <w:t>Darbuotojų, dirbančių su fluorintomis šiltnamio efektą sukeliančiomis dujomis ir ozono sluoksnį ardančiomis medžiagomis bei jų turinčia įranga, atestavimo, sertifikavimo ir kvalifikacijos tobulinimo programų vykdymo tvarkos aprašas</w:t>
                </w:r>
              </w:p>
              <w:p w14:paraId="41C1A7BB" w14:textId="77777777">
                <w:pPr>
                  <w:widowControl w:val="0"/>
                  <w:suppressAutoHyphens/>
                  <w:jc w:val="both"/>
                  <w:rPr>
                    <w:rFonts w:eastAsia="Arial Unicode MS"/>
                    <w:b/>
                    <w:bCs/>
                    <w:color w:val="000000"/>
                    <w:szCs w:val="24"/>
                    <w:lang w:eastAsia="lt-LT"/>
                  </w:rPr>
                </w:pPr>
                <w:r>
                  <w:rPr>
                    <w:rFonts w:eastAsia="Arial Unicode MS"/>
                    <w:b/>
                    <w:bCs/>
                    <w:color w:val="000000"/>
                    <w:szCs w:val="24"/>
                    <w:lang w:eastAsia="lt-LT"/>
                  </w:rPr>
                  <w:t xml:space="preserve">12 punktas </w:t>
                </w:r>
              </w:p>
              <w:p w14:paraId="3D4C8288" w14:textId="77777777">
                <w:pPr>
                  <w:widowControl w:val="0"/>
                  <w:suppressAutoHyphens/>
                  <w:jc w:val="both"/>
                  <w:rPr>
                    <w:rFonts w:eastAsia="Arial Unicode MS"/>
                    <w:b/>
                    <w:bCs/>
                    <w:szCs w:val="24"/>
                    <w:lang w:eastAsia="lt-LT"/>
                  </w:rPr>
                </w:pPr>
                <w:r>
                  <w:rPr>
                    <w:rFonts w:eastAsia="Arial Unicode MS"/>
                    <w:b/>
                    <w:bCs/>
                    <w:color w:val="000000"/>
                    <w:szCs w:val="24"/>
                    <w:lang w:eastAsia="lt-LT"/>
                  </w:rPr>
                  <w:t>Veiklos rūšys, kurioms išduodamas pažymėjimas:</w:t>
                </w:r>
              </w:p>
              <w:p w14:paraId="3B386DD4" w14:textId="77777777">
                <w:pPr>
                  <w:widowControl w:val="0"/>
                  <w:suppressAutoHyphens/>
                  <w:jc w:val="both"/>
                  <w:rPr>
                    <w:rFonts w:eastAsia="Andale Sans UI" w:cs="Tahoma"/>
                    <w:szCs w:val="24"/>
                    <w:lang w:eastAsia="lt-LT" w:bidi="en-US"/>
                  </w:rPr>
                </w:pPr>
                <w:r>
                  <w:rPr>
                    <w:rFonts w:eastAsia="Arial Unicode MS"/>
                    <w:color w:val="000000"/>
                    <w:szCs w:val="24"/>
                    <w:lang w:eastAsia="lt-LT"/>
                  </w:rPr>
                  <w:t xml:space="preserve">12.1. stacionarios šaldymo, oro kondicionavimo, šilumos siurblių įrangos ir izoterminių sunkvežimių ir priekabų šaldymo įrenginių montavimo, techninės priežiūros ir eksploatacijos nutraukimas. Ši veiklos rūšis apima </w:t>
                </w:r>
                <w:r>
                  <w:rPr>
                    <w:rFonts w:eastAsia="Andale Sans UI" w:cs="Tahoma"/>
                    <w:szCs w:val="24"/>
                    <w:lang w:eastAsia="lt-LT" w:bidi="en-US"/>
                  </w:rPr>
                  <w:t>stacionarios šaldymo, oro kondicionavimo, stacionarių šilumos siurblių įrangos</w:t>
                </w:r>
                <w:r>
                  <w:rPr>
                    <w:rFonts w:eastAsia="Arial Unicode MS"/>
                    <w:color w:val="000000"/>
                    <w:szCs w:val="24"/>
                    <w:lang w:eastAsia="lt-LT"/>
                  </w:rPr>
                  <w:t>, kurioje yra F-dujų ar OAM,</w:t>
                </w:r>
                <w:r>
                  <w:rPr>
                    <w:rFonts w:eastAsia="Andale Sans UI" w:cs="Tahoma"/>
                    <w:szCs w:val="24"/>
                    <w:lang w:eastAsia="lt-LT" w:bidi="en-US"/>
                  </w:rPr>
                  <w:t xml:space="preserve"> izoterminių sunkvežimių ir priekabų šaldymo įrenginių, </w:t>
                </w:r>
                <w:r>
                  <w:rPr>
                    <w:rFonts w:eastAsia="Arial Unicode MS"/>
                    <w:color w:val="000000"/>
                    <w:szCs w:val="24"/>
                    <w:lang w:eastAsia="lt-LT"/>
                  </w:rPr>
                  <w:t xml:space="preserve">kuriuose yra F-dujų, </w:t>
                </w:r>
                <w:r>
                  <w:rPr>
                    <w:rFonts w:eastAsia="Andale Sans UI" w:cs="Tahoma"/>
                    <w:szCs w:val="24"/>
                    <w:lang w:eastAsia="lt-LT" w:bidi="en-US"/>
                  </w:rPr>
                  <w:t xml:space="preserve">montavimą, techninę priežiūrą, remontą, nuotėkio patikrą, eksploatacijos nutraukimą, F-dujų ir OAM surinkimą, </w:t>
                </w:r>
                <w:r>
                  <w:rPr>
                    <w:rFonts w:eastAsia="Arial Unicode MS"/>
                    <w:color w:val="000000"/>
                    <w:szCs w:val="24"/>
                    <w:lang w:eastAsia="lt-LT"/>
                  </w:rPr>
                  <w:t>kad dujos būtų pakartotinai panaudotos ar recirkuliuotos, regeneruotos arba suardytos</w:t>
                </w:r>
                <w:r>
                  <w:rPr>
                    <w:rFonts w:eastAsia="Andale Sans UI" w:cs="Tahoma"/>
                    <w:szCs w:val="24"/>
                    <w:lang w:eastAsia="lt-LT" w:bidi="en-US"/>
                  </w:rPr>
                  <w:t>;</w:t>
                </w:r>
              </w:p>
              <w:p w14:paraId="7EDA305C" w14:textId="77777777">
                <w:pPr>
                  <w:widowControl w:val="0"/>
                  <w:suppressAutoHyphens/>
                  <w:jc w:val="both"/>
                  <w:rPr>
                    <w:rFonts w:eastAsia="Arial Unicode MS"/>
                    <w:color w:val="000000"/>
                    <w:szCs w:val="24"/>
                    <w:lang w:eastAsia="lt-LT"/>
                  </w:rPr>
                </w:pPr>
                <w:r>
                  <w:rPr>
                    <w:rFonts w:eastAsia="Andale Sans UI" w:cs="Tahoma"/>
                    <w:szCs w:val="24"/>
                    <w:lang w:eastAsia="lt-LT" w:bidi="en-US"/>
                  </w:rPr>
                  <w:t xml:space="preserve">12.2. stacionarių priešgaisrinių sistemų ir gesintuvų </w:t>
                </w:r>
                <w:r>
                  <w:rPr>
                    <w:rFonts w:eastAsia="Arial Unicode MS"/>
                    <w:color w:val="000000"/>
                    <w:szCs w:val="24"/>
                    <w:lang w:eastAsia="lt-LT"/>
                  </w:rPr>
                  <w:t>montavimo, techninės priežiūros ir eksploatacijos nutraukimas</w:t>
                </w:r>
                <w:r>
                  <w:rPr>
                    <w:rFonts w:eastAsia="Andale Sans UI" w:cs="Tahoma"/>
                    <w:szCs w:val="24"/>
                    <w:lang w:eastAsia="lt-LT" w:bidi="en-US"/>
                  </w:rPr>
                  <w:t xml:space="preserve">. </w:t>
                </w:r>
                <w:r>
                  <w:rPr>
                    <w:rFonts w:eastAsia="Arial Unicode MS"/>
                    <w:color w:val="000000"/>
                    <w:szCs w:val="24"/>
                    <w:lang w:eastAsia="lt-LT"/>
                  </w:rPr>
                  <w:t xml:space="preserve">Ši veiklos rūšis apima gesintuvų ir </w:t>
                </w:r>
                <w:r>
                  <w:rPr>
                    <w:rFonts w:eastAsia="Andale Sans UI" w:cs="Tahoma"/>
                    <w:szCs w:val="24"/>
                    <w:lang w:eastAsia="lt-LT" w:bidi="en-US"/>
                  </w:rPr>
                  <w:t xml:space="preserve">stacionarios gaisro gesinimo įrangos, </w:t>
                </w:r>
                <w:r>
                  <w:rPr>
                    <w:rFonts w:eastAsia="Arial Unicode MS"/>
                    <w:color w:val="000000"/>
                    <w:szCs w:val="24"/>
                    <w:lang w:eastAsia="lt-LT"/>
                  </w:rPr>
                  <w:t>kurioje yra F-dujų ar OAM,</w:t>
                </w:r>
                <w:r>
                  <w:rPr>
                    <w:rFonts w:eastAsia="Andale Sans UI" w:cs="Tahoma"/>
                    <w:szCs w:val="24"/>
                    <w:lang w:eastAsia="lt-LT" w:bidi="en-US"/>
                  </w:rPr>
                  <w:t xml:space="preserve"> montavimą, techninę priežiūrą ir remontą, nuotėkio patikrą, eksploatacijos nutraukimą, F-dujų ir OAM surinkimą, </w:t>
                </w:r>
                <w:r>
                  <w:rPr>
                    <w:rFonts w:eastAsia="Arial Unicode MS"/>
                    <w:color w:val="000000"/>
                    <w:szCs w:val="24"/>
                    <w:lang w:eastAsia="lt-LT"/>
                  </w:rPr>
                  <w:t>kad dujos būtų pakartotinai panaudotos ar recirkuliuotos, regeneruotos arba suardytos;</w:t>
                </w:r>
              </w:p>
              <w:p w14:paraId="137E2B2B" w14:textId="77777777">
                <w:pPr>
                  <w:widowControl w:val="0"/>
                  <w:suppressAutoHyphens/>
                  <w:jc w:val="both"/>
                  <w:rPr>
                    <w:rFonts w:eastAsia="Andale Sans UI" w:cs="Tahoma"/>
                    <w:szCs w:val="24"/>
                    <w:lang w:eastAsia="lt-LT" w:bidi="en-US"/>
                  </w:rPr>
                </w:pPr>
                <w:r>
                  <w:rPr>
                    <w:rFonts w:eastAsia="Andale Sans UI" w:cs="Tahoma"/>
                    <w:szCs w:val="24"/>
                    <w:lang w:eastAsia="lt-LT" w:bidi="en-US"/>
                  </w:rPr>
                  <w:t>12.3. elektros skirstomųjų įrenginių montavimo, techninės priežiūros, eksploatacijos nutraukimas.</w:t>
                </w:r>
                <w:r>
                  <w:rPr>
                    <w:rFonts w:eastAsia="Andale Sans UI" w:cs="Tahoma"/>
                    <w:b/>
                    <w:bCs/>
                    <w:szCs w:val="24"/>
                    <w:lang w:eastAsia="lt-LT" w:bidi="en-US"/>
                  </w:rPr>
                  <w:t xml:space="preserve"> </w:t>
                </w:r>
                <w:r>
                  <w:rPr>
                    <w:rFonts w:eastAsia="Arial Unicode MS"/>
                    <w:color w:val="000000"/>
                    <w:szCs w:val="24"/>
                    <w:lang w:eastAsia="lt-LT"/>
                  </w:rPr>
                  <w:t xml:space="preserve">Ši veiklos rūšis apima </w:t>
                </w:r>
                <w:r>
                  <w:rPr>
                    <w:rFonts w:eastAsia="Andale Sans UI" w:cs="Tahoma"/>
                    <w:szCs w:val="24"/>
                    <w:lang w:eastAsia="lt-LT" w:bidi="en-US"/>
                  </w:rPr>
                  <w:t xml:space="preserve">stacionarių elektros skirstomųjų įrenginių, </w:t>
                </w:r>
                <w:r>
                  <w:rPr>
                    <w:rFonts w:eastAsia="Arial Unicode MS"/>
                    <w:color w:val="000000"/>
                    <w:szCs w:val="24"/>
                    <w:lang w:eastAsia="lt-LT"/>
                  </w:rPr>
                  <w:t>kuriuose yra F</w:t>
                  <w:noBreakHyphen/>
                  <w:t>dujų,</w:t>
                </w:r>
                <w:r>
                  <w:rPr>
                    <w:rFonts w:eastAsia="Andale Sans UI" w:cs="Tahoma"/>
                    <w:szCs w:val="24"/>
                    <w:lang w:eastAsia="lt-LT" w:bidi="en-US"/>
                  </w:rPr>
                  <w:t xml:space="preserve"> montavimą, techninę priežiūrą, nuotėkio patikrą, remontą ar eksploatacijos nutraukimą ir F-dujų surinkimą, </w:t>
                </w:r>
                <w:r>
                  <w:rPr>
                    <w:rFonts w:eastAsia="Arial Unicode MS"/>
                    <w:color w:val="000000"/>
                    <w:szCs w:val="24"/>
                    <w:lang w:eastAsia="lt-LT"/>
                  </w:rPr>
                  <w:t>kad dujos būtų pakartotinai panaudotos, regeneruotos arba suardytos;</w:t>
                </w:r>
              </w:p>
              <w:p w14:paraId="6A4AB9E8" w14:textId="77777777">
                <w:pPr>
                  <w:widowControl w:val="0"/>
                  <w:suppressAutoHyphens/>
                  <w:jc w:val="both"/>
                  <w:rPr>
                    <w:rFonts w:eastAsia="Andale Sans UI" w:cs="Tahoma"/>
                    <w:szCs w:val="24"/>
                    <w:lang w:eastAsia="lt-LT" w:bidi="en-US"/>
                  </w:rPr>
                </w:pPr>
                <w:r>
                  <w:rPr>
                    <w:rFonts w:eastAsia="Andale Sans UI" w:cs="Tahoma"/>
                    <w:szCs w:val="24"/>
                    <w:lang w:eastAsia="lt-LT" w:bidi="en-US"/>
                  </w:rPr>
                  <w:t>12.4. motorinių transporto priemonių oro kondicionavimo sistemų montavimo, techninės priežiūros, eksploatacijos nutraukimas.</w:t>
                </w:r>
                <w:r>
                  <w:rPr>
                    <w:rFonts w:eastAsia="Andale Sans UI" w:cs="Tahoma"/>
                    <w:b/>
                    <w:bCs/>
                    <w:szCs w:val="24"/>
                    <w:lang w:eastAsia="lt-LT" w:bidi="en-US"/>
                  </w:rPr>
                  <w:t xml:space="preserve"> </w:t>
                </w:r>
                <w:r>
                  <w:rPr>
                    <w:rFonts w:eastAsia="Arial Unicode MS"/>
                    <w:color w:val="000000"/>
                    <w:szCs w:val="24"/>
                    <w:lang w:eastAsia="lt-LT"/>
                  </w:rPr>
                  <w:t xml:space="preserve">Ši veiklos rūšis apima transporto priemonių oro kondicionavimo sistemų montavimą, techninę priežiūrą, nuotėkio patikrą, remontą ar eksploatacijos nutraukimą ir F-dujų surinkimą iš </w:t>
                </w:r>
                <w:r>
                  <w:rPr>
                    <w:rFonts w:eastAsia="Andale Sans UI" w:cs="Tahoma"/>
                    <w:szCs w:val="24"/>
                    <w:lang w:eastAsia="lt-LT" w:bidi="en-US"/>
                  </w:rPr>
                  <w:t>motorinių transporto priemonių oro kondicionavimo sistemų, kurioms taikomi reikalavimai, nustatyti</w:t>
                </w:r>
                <w:r>
                  <w:rPr>
                    <w:rFonts w:eastAsia="Arial Unicode MS"/>
                    <w:szCs w:val="24"/>
                    <w:lang w:eastAsia="lt-LT"/>
                  </w:rPr>
                  <w:t xml:space="preserve"> Europos Parlamento ir Tarybos direktyvoje </w:t>
                </w:r>
                <w:fldSimple w:instr="HYPERLINK http://eur-lex.europa.eu/legal-content/LIT/TXT/?uri=CELEX:32006L0040&amp;locale=lt \t _blank">
                  <w:r>
                    <w:rPr>
                      <w:rFonts w:eastAsia="Arial Unicode MS"/>
                      <w:szCs w:val="24"/>
                      <w:lang w:eastAsia="lt-LT"/>
                      <w:u w:val="single"/>
                      <w:color w:val="0000FF" w:themeColor="hyperlink"/>
                    </w:rPr>
                    <w:t>2006/40/EB</w:t>
                  </w:r>
                </w:fldSimple>
                <w:r>
                  <w:rPr>
                    <w:rFonts w:eastAsia="Arial Unicode MS"/>
                    <w:szCs w:val="24"/>
                    <w:lang w:eastAsia="lt-LT"/>
                  </w:rPr>
                  <w:t xml:space="preserve">, </w:t>
                </w:r>
                <w:r>
                  <w:rPr>
                    <w:rFonts w:eastAsia="Arial Unicode MS"/>
                    <w:color w:val="000000"/>
                    <w:szCs w:val="24"/>
                    <w:lang w:eastAsia="lt-LT"/>
                  </w:rPr>
                  <w:t>kad dujos būtų pakartotinai panaudotos, regeneruotos arba suardytos</w:t>
                </w:r>
                <w:r>
                  <w:rPr>
                    <w:rFonts w:eastAsia="Arial Unicode MS"/>
                    <w:szCs w:val="24"/>
                    <w:lang w:eastAsia="lt-LT"/>
                  </w:rPr>
                  <w:t>.</w:t>
                </w:r>
              </w:p>
              <w:p w14:paraId="4FCAD657" w14:textId="77777777">
                <w:pPr>
                  <w:widowControl w:val="0"/>
                  <w:suppressAutoHyphens/>
                  <w:jc w:val="both"/>
                  <w:rPr>
                    <w:rFonts w:eastAsia="Arial Unicode MS"/>
                    <w:b/>
                    <w:bCs/>
                    <w:szCs w:val="24"/>
                    <w:lang w:eastAsia="lt-LT"/>
                  </w:rPr>
                </w:pPr>
              </w:p>
              <w:p w14:paraId="338DB860" w14:textId="77777777">
                <w:pPr>
                  <w:widowControl w:val="0"/>
                  <w:tabs>
                    <w:tab w:val="left" w:pos="470"/>
                  </w:tabs>
                  <w:suppressAutoHyphens/>
                  <w:jc w:val="both"/>
                  <w:rPr>
                    <w:rFonts w:eastAsia="Arial Unicode MS"/>
                    <w:b/>
                    <w:bCs/>
                    <w:szCs w:val="24"/>
                    <w:lang w:eastAsia="lt-LT"/>
                  </w:rPr>
                </w:pPr>
                <w:r>
                  <w:rPr>
                    <w:rFonts w:eastAsia="Arial Unicode MS"/>
                    <w:b/>
                    <w:bCs/>
                    <w:szCs w:val="24"/>
                    <w:lang w:eastAsia="lt-LT"/>
                  </w:rPr>
                  <w:t>Įsakymo projektas</w:t>
                </w:r>
              </w:p>
              <w:p w14:paraId="5EE6FC83" w14:textId="77777777">
                <w:pPr>
                  <w:widowControl w:val="0"/>
                  <w:tabs>
                    <w:tab w:val="left" w:pos="470"/>
                  </w:tabs>
                  <w:suppressAutoHyphens/>
                  <w:jc w:val="both"/>
                  <w:rPr>
                    <w:b/>
                    <w:bCs/>
                    <w:sz w:val="22"/>
                    <w:szCs w:val="22"/>
                  </w:rPr>
                </w:pPr>
                <w:r>
                  <w:rPr>
                    <w:rFonts w:eastAsia="Arial Unicode MS"/>
                    <w:b/>
                    <w:szCs w:val="24"/>
                    <w:lang w:eastAsia="lt-LT"/>
                  </w:rPr>
                  <w:t>Darbuotojų, dirbančių su fluorintomis šiltnamio efektą sukeliančiomis dujomis ir ozono sluoksnį ardančiomis medžiagomis bei jų turinčia įranga, atestavimo, sertifikavimo ir kvalifikacijos tobulinimo programų vykdymo tvarkos aprašas</w:t>
                </w:r>
              </w:p>
              <w:p w14:paraId="5E720BEC" w14:textId="77777777">
                <w:pPr>
                  <w:widowControl w:val="0"/>
                  <w:suppressAutoHyphens/>
                  <w:jc w:val="both"/>
                  <w:rPr>
                    <w:rFonts w:eastAsia="Arial Unicode MS"/>
                    <w:b/>
                    <w:bCs/>
                    <w:szCs w:val="24"/>
                    <w:lang w:eastAsia="lt-LT"/>
                  </w:rPr>
                </w:pPr>
                <w:r>
                  <w:rPr>
                    <w:rFonts w:eastAsia="Arial Unicode MS"/>
                    <w:b/>
                    <w:bCs/>
                    <w:szCs w:val="24"/>
                    <w:lang w:eastAsia="lt-LT"/>
                  </w:rPr>
                  <w:t>12.4 papunktis</w:t>
                </w:r>
              </w:p>
              <w:p w14:paraId="584050DF" w14:textId="77777777">
                <w:pPr>
                  <w:widowControl w:val="0"/>
                  <w:suppressAutoHyphens/>
                  <w:jc w:val="both"/>
                  <w:rPr>
                    <w:rFonts w:eastAsia="Andale Sans UI" w:cs="Tahoma"/>
                    <w:szCs w:val="24"/>
                    <w:lang w:eastAsia="lt-LT" w:bidi="en-US"/>
                  </w:rPr>
                </w:pPr>
                <w:r>
                  <w:rPr>
                    <w:rFonts w:eastAsia="Andale Sans UI" w:cs="Tahoma"/>
                    <w:szCs w:val="24"/>
                    <w:lang w:eastAsia="lt-LT" w:bidi="en-US"/>
                  </w:rPr>
                  <w:t>12.4. motorinių transporto priemonių oro kondicionavimo sistemų montavimo, techninės priežiūros, eksploatacijos nutraukimas.</w:t>
                </w:r>
                <w:r>
                  <w:rPr>
                    <w:rFonts w:eastAsia="Andale Sans UI" w:cs="Tahoma"/>
                    <w:b/>
                    <w:bCs/>
                    <w:szCs w:val="24"/>
                    <w:lang w:eastAsia="lt-LT" w:bidi="en-US"/>
                  </w:rPr>
                  <w:t xml:space="preserve"> </w:t>
                </w:r>
                <w:r>
                  <w:rPr>
                    <w:rFonts w:eastAsia="Arial Unicode MS"/>
                    <w:color w:val="000000"/>
                    <w:szCs w:val="24"/>
                    <w:lang w:eastAsia="lt-LT"/>
                  </w:rPr>
                  <w:t xml:space="preserve">Ši veiklos rūšis apima transporto priemonių oro kondicionavimo sistemų montavimą, techninę priežiūrą, nuotėkio patikrą, remontą ar eksploatacijos nutraukimą ir F-dujų surinkimą iš </w:t>
                </w:r>
                <w:r>
                  <w:rPr>
                    <w:rFonts w:eastAsia="Andale Sans UI" w:cs="Tahoma"/>
                    <w:szCs w:val="24"/>
                    <w:lang w:eastAsia="lt-LT" w:bidi="en-US"/>
                  </w:rPr>
                  <w:t>motorinių transporto priemonių oro kondicionavimo sistemų, kurioms taikomi reikalavimai, nustatyti</w:t>
                </w:r>
                <w:r>
                  <w:rPr>
                    <w:rFonts w:eastAsia="Arial Unicode MS"/>
                    <w:szCs w:val="24"/>
                    <w:lang w:eastAsia="lt-LT"/>
                  </w:rPr>
                  <w:t xml:space="preserve"> Europos Parlamento ir Tarybos direktyvoje </w:t>
                </w:r>
                <w:fldSimple w:instr="HYPERLINK http://eur-lex.europa.eu/legal-content/LIT/TXT/?uri=CELEX:32006L0040&amp;locale=lt \t _blank">
                  <w:r>
                    <w:rPr>
                      <w:rFonts w:eastAsia="Arial Unicode MS"/>
                      <w:szCs w:val="24"/>
                      <w:lang w:eastAsia="lt-LT"/>
                      <w:u w:val="single"/>
                      <w:color w:val="0000FF" w:themeColor="hyperlink"/>
                    </w:rPr>
                    <w:t>2006/40/EB</w:t>
                  </w:r>
                </w:fldSimple>
                <w:r>
                  <w:rPr>
                    <w:rFonts w:eastAsia="Arial Unicode MS"/>
                    <w:szCs w:val="24"/>
                    <w:lang w:eastAsia="lt-LT"/>
                  </w:rPr>
                  <w:t xml:space="preserve">, </w:t>
                </w:r>
                <w:r>
                  <w:rPr>
                    <w:rFonts w:eastAsia="Arial Unicode MS"/>
                    <w:color w:val="000000"/>
                    <w:szCs w:val="24"/>
                    <w:lang w:eastAsia="lt-LT"/>
                  </w:rPr>
                  <w:t>kad dujos būtų pakartotinai panaudotos, regeneruotos arba suardytos</w:t>
                </w:r>
                <w:r>
                  <w:rPr>
                    <w:rFonts w:eastAsia="Arial Unicode MS"/>
                    <w:szCs w:val="24"/>
                    <w:lang w:eastAsia="lt-LT"/>
                  </w:rPr>
                  <w:t>.</w:t>
                </w:r>
              </w:p>
              <w:p w14:paraId="366B69AF" w14:textId="77777777">
                <w:pPr>
                  <w:widowControl w:val="0"/>
                  <w:suppressAutoHyphens/>
                  <w:jc w:val="both"/>
                  <w:rPr>
                    <w:rFonts w:eastAsia="Arial Unicode MS"/>
                    <w:b/>
                    <w:bCs/>
                    <w:szCs w:val="24"/>
                    <w:lang w:eastAsia="lt-LT"/>
                  </w:rPr>
                </w:pPr>
              </w:p>
              <w:p w14:paraId="51C21CEA" w14:textId="77777777">
                <w:pPr>
                  <w:widowControl w:val="0"/>
                  <w:tabs>
                    <w:tab w:val="left" w:pos="470"/>
                  </w:tabs>
                  <w:suppressAutoHyphens/>
                  <w:jc w:val="both"/>
                  <w:rPr>
                    <w:rFonts w:eastAsia="Arial Unicode MS"/>
                    <w:b/>
                    <w:bCs/>
                    <w:szCs w:val="24"/>
                    <w:lang w:eastAsia="lt-LT"/>
                  </w:rPr>
                </w:pPr>
                <w:r>
                  <w:rPr>
                    <w:rFonts w:eastAsia="Arial Unicode MS"/>
                    <w:b/>
                    <w:bCs/>
                    <w:szCs w:val="24"/>
                    <w:lang w:eastAsia="lt-LT"/>
                  </w:rPr>
                  <w:t>Įsakymo projektas</w:t>
                </w:r>
              </w:p>
              <w:p w14:paraId="1EDC1BA5" w14:textId="77777777">
                <w:pPr>
                  <w:widowControl w:val="0"/>
                  <w:tabs>
                    <w:tab w:val="left" w:pos="470"/>
                  </w:tabs>
                  <w:suppressAutoHyphens/>
                  <w:jc w:val="both"/>
                  <w:rPr>
                    <w:b/>
                    <w:bCs/>
                    <w:sz w:val="22"/>
                    <w:szCs w:val="22"/>
                  </w:rPr>
                </w:pPr>
                <w:r>
                  <w:rPr>
                    <w:rFonts w:eastAsia="Arial Unicode MS"/>
                    <w:b/>
                    <w:szCs w:val="24"/>
                    <w:lang w:eastAsia="lt-LT"/>
                  </w:rPr>
                  <w:t>Darbuotojų, dirbančių su fluorintomis šiltnamio efektą sukeliančiomis dujomis ir ozono sluoksnį ardančiomis medžiagomis bei jų turinčia įranga, atestavimo, sertifikavimo ir kvalifikacijos tobulinimo programų vykdymo tvarkos aprašas</w:t>
                </w:r>
              </w:p>
              <w:p w14:paraId="7D1D4C39" w14:textId="77777777">
                <w:pPr>
                  <w:widowControl w:val="0"/>
                  <w:suppressAutoHyphens/>
                  <w:jc w:val="both"/>
                  <w:rPr>
                    <w:rFonts w:eastAsia="Arial Unicode MS"/>
                    <w:b/>
                    <w:bCs/>
                    <w:szCs w:val="24"/>
                    <w:lang w:eastAsia="lt-LT"/>
                  </w:rPr>
                </w:pPr>
                <w:r>
                  <w:rPr>
                    <w:rFonts w:eastAsia="Arial Unicode MS"/>
                    <w:b/>
                    <w:bCs/>
                    <w:szCs w:val="24"/>
                    <w:lang w:eastAsia="lt-LT"/>
                  </w:rPr>
                  <w:t>2.1.1-2.1.4 papunkčiuose nurodytose programose</w:t>
                </w:r>
              </w:p>
              <w:p w14:paraId="68022B41"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2.1.1. </w:t>
                </w:r>
                <w:r>
                  <w:rPr>
                    <w:rFonts w:eastAsia="Arial Unicode MS"/>
                    <w:szCs w:val="24"/>
                    <w:lang w:eastAsia="lt-LT"/>
                  </w:rPr>
                  <w:t xml:space="preserve">Darbuotojų, dirbančių su stacionaria </w:t>
                </w:r>
                <w:r>
                  <w:rPr>
                    <w:rFonts w:eastAsia="Arial Unicode MS"/>
                    <w:bCs/>
                    <w:color w:val="000000"/>
                    <w:szCs w:val="24"/>
                    <w:lang w:eastAsia="lt-LT"/>
                  </w:rPr>
                  <w:t xml:space="preserve">šaldymo, oro kondicionavimo, šilumos siurblių įranga, kurioje yra ozono sluoksnį ardančių medžiagų ar fluorintų šiltnamio efektą sukeliančių dujų ir izoterminių sunkvežimių, šaldymo priekabų įrenginių, kuriuose yra </w:t>
                </w:r>
                <w:r>
                  <w:rPr>
                    <w:rFonts w:eastAsia="Arial Unicode MS"/>
                    <w:szCs w:val="24"/>
                    <w:lang w:eastAsia="lt-LT"/>
                  </w:rPr>
                  <w:t xml:space="preserve">fluorintų šiltnamio efektą sukeliančių dujų, sertifikavimo ir  kvalifikacijos tobulinimo programą;</w:t>
                </w:r>
              </w:p>
              <w:p w14:paraId="364242E4"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2.1.2. </w:t>
                </w:r>
                <w:r>
                  <w:rPr>
                    <w:rFonts w:eastAsia="Arial Unicode MS"/>
                    <w:szCs w:val="24"/>
                    <w:lang w:eastAsia="lt-LT"/>
                  </w:rPr>
                  <w:t>Darbuotojų, dirbančių su stacionariomis priešgaisrinėmis sistemomis ir gesintuvais, kuriuose yra fluorintų šiltnamio efektą sukeliančių dujų ar ozono sluoksnį ardančių medžiagų, sertifikavimo ir kvalifikacijos tobulinimo programą;</w:t>
                </w:r>
              </w:p>
              <w:p w14:paraId="270CFC59"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2.1.3. </w:t>
                </w:r>
                <w:r>
                  <w:rPr>
                    <w:rFonts w:eastAsia="Arial Unicode MS"/>
                    <w:szCs w:val="24"/>
                    <w:lang w:eastAsia="lt-LT"/>
                  </w:rPr>
                  <w:t>Darbuotojų, dirbančių su motorinių transporto priemonių oro kondicionavimo sistemomis, kuriose yra fluorintų šiltnamio efektą sukeliančių dujų, atestavimo ir kvalifikacijos tobulinimo programą;</w:t>
                </w:r>
              </w:p>
              <w:p w14:paraId="38399BCE"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2.1.4. </w:t>
                </w:r>
                <w:r>
                  <w:rPr>
                    <w:rFonts w:eastAsia="Arial Unicode MS"/>
                    <w:szCs w:val="24"/>
                    <w:lang w:eastAsia="lt-LT"/>
                  </w:rPr>
                  <w:t>Darbuotojų, dirbančių su elektros skirstomaisiais įrenginiais, kuriuose yra fluorintų šiltnamio efektą sukeliančių dujų, sertifikavimo ir kvalifikacijos tobulinimo programą;</w:t>
                </w:r>
              </w:p>
              <w:p w14:paraId="151AED87" w14:textId="77777777">
                <w:pPr>
                  <w:widowControl w:val="0"/>
                  <w:suppressAutoHyphens/>
                  <w:jc w:val="both"/>
                  <w:rPr>
                    <w:rFonts w:eastAsia="Arial Unicode MS"/>
                    <w:szCs w:val="24"/>
                    <w:lang w:eastAsia="lt-LT"/>
                  </w:rPr>
                </w:pPr>
              </w:p>
              <w:p w14:paraId="451716A7" w14:textId="77777777">
                <w:pPr>
                  <w:widowControl w:val="0"/>
                  <w:tabs>
                    <w:tab w:val="left" w:pos="470"/>
                  </w:tabs>
                  <w:suppressAutoHyphens/>
                  <w:jc w:val="both"/>
                  <w:rPr>
                    <w:rFonts w:eastAsia="Arial Unicode MS"/>
                    <w:b/>
                    <w:bCs/>
                    <w:szCs w:val="24"/>
                    <w:lang w:eastAsia="lt-LT"/>
                  </w:rPr>
                </w:pPr>
                <w:r>
                  <w:rPr>
                    <w:rFonts w:eastAsia="Arial Unicode MS"/>
                    <w:b/>
                    <w:bCs/>
                    <w:szCs w:val="24"/>
                    <w:lang w:eastAsia="lt-LT"/>
                  </w:rPr>
                  <w:t>Įsakymo projektas</w:t>
                </w:r>
              </w:p>
              <w:p w14:paraId="21CCF0DE" w14:textId="77777777">
                <w:pPr>
                  <w:widowControl w:val="0"/>
                  <w:tabs>
                    <w:tab w:val="left" w:pos="470"/>
                  </w:tabs>
                  <w:suppressAutoHyphens/>
                  <w:jc w:val="both"/>
                  <w:rPr>
                    <w:b/>
                    <w:bCs/>
                    <w:sz w:val="22"/>
                    <w:szCs w:val="22"/>
                  </w:rPr>
                </w:pPr>
                <w:r>
                  <w:rPr>
                    <w:rFonts w:eastAsia="Arial Unicode MS"/>
                    <w:b/>
                    <w:szCs w:val="24"/>
                    <w:lang w:eastAsia="lt-LT"/>
                  </w:rPr>
                  <w:t>Darbuotojų, dirbančių su fluorintomis šiltnamio efektą sukeliančiomis dujomis ir ozono sluoksnį ardančiomis medžiagomis bei jų turinčia įranga, atestavimo, sertifikavimo ir kvalifikacijos tobulinimo programų vykdymo tvarkos aprašas</w:t>
                </w:r>
              </w:p>
              <w:p w14:paraId="4E413337" w14:textId="77777777">
                <w:pPr>
                  <w:widowControl w:val="0"/>
                  <w:suppressAutoHyphens/>
                  <w:jc w:val="both"/>
                  <w:rPr>
                    <w:rFonts w:eastAsia="Arial Unicode MS"/>
                    <w:b/>
                    <w:bCs/>
                    <w:color w:val="000000"/>
                    <w:szCs w:val="24"/>
                    <w:lang w:eastAsia="lt-LT"/>
                  </w:rPr>
                </w:pPr>
                <w:r>
                  <w:rPr>
                    <w:rFonts w:eastAsia="Arial Unicode MS"/>
                    <w:b/>
                    <w:bCs/>
                    <w:color w:val="000000"/>
                    <w:szCs w:val="24"/>
                    <w:lang w:eastAsia="lt-LT"/>
                  </w:rPr>
                  <w:t>32.6 papunktis</w:t>
                </w:r>
              </w:p>
              <w:p w14:paraId="36569228" w14:textId="77777777">
                <w:pPr>
                  <w:widowControl w:val="0"/>
                  <w:suppressAutoHyphens/>
                  <w:jc w:val="both"/>
                  <w:rPr>
                    <w:rFonts w:eastAsia="Arial Unicode MS"/>
                    <w:color w:val="000000"/>
                    <w:szCs w:val="24"/>
                    <w:lang w:eastAsia="lt-LT"/>
                  </w:rPr>
                </w:pPr>
                <w:r>
                  <w:rPr>
                    <w:rFonts w:eastAsia="Arial Unicode MS"/>
                    <w:color w:val="000000"/>
                    <w:szCs w:val="24"/>
                    <w:lang w:eastAsia="lt-LT"/>
                  </w:rPr>
                  <w:t>32.6. sėkmingai egzaminą (teorinę ir praktinę dalis) išlaikiusiems asmenims išduoti pažymėjimus;</w:t>
                </w:r>
              </w:p>
              <w:p w14:paraId="3231E5D1" w14:textId="77777777">
                <w:pPr>
                  <w:widowControl w:val="0"/>
                  <w:suppressAutoHyphens/>
                  <w:jc w:val="both"/>
                  <w:rPr>
                    <w:rFonts w:eastAsia="Arial Unicode MS"/>
                    <w:szCs w:val="24"/>
                    <w:lang w:eastAsia="lt-LT"/>
                  </w:rPr>
                </w:pPr>
              </w:p>
              <w:p w14:paraId="3F4A623C" w14:textId="77777777">
                <w:pPr>
                  <w:widowControl w:val="0"/>
                  <w:suppressAutoHyphens/>
                  <w:jc w:val="both"/>
                  <w:rPr>
                    <w:rFonts w:eastAsia="Arial Unicode MS"/>
                    <w:szCs w:val="24"/>
                    <w:lang w:eastAsia="lt-LT"/>
                  </w:rPr>
                </w:pPr>
              </w:p>
              <w:p w14:paraId="23A77370" w14:textId="77777777">
                <w:pPr>
                  <w:widowControl w:val="0"/>
                  <w:suppressAutoHyphens/>
                  <w:jc w:val="both"/>
                  <w:rPr>
                    <w:rFonts w:eastAsia="Arial Unicode MS"/>
                    <w:szCs w:val="24"/>
                    <w:lang w:eastAsia="lt-LT"/>
                  </w:rPr>
                </w:pPr>
              </w:p>
              <w:p w14:paraId="6A0448C8" w14:textId="77777777">
                <w:pPr>
                  <w:widowControl w:val="0"/>
                  <w:tabs>
                    <w:tab w:val="left" w:pos="470"/>
                  </w:tabs>
                  <w:suppressAutoHyphens/>
                  <w:jc w:val="both"/>
                  <w:rPr>
                    <w:rFonts w:eastAsia="Arial Unicode MS"/>
                    <w:b/>
                    <w:bCs/>
                    <w:szCs w:val="24"/>
                    <w:lang w:eastAsia="lt-LT"/>
                  </w:rPr>
                </w:pPr>
                <w:r>
                  <w:rPr>
                    <w:rFonts w:eastAsia="Arial Unicode MS"/>
                    <w:b/>
                    <w:bCs/>
                    <w:szCs w:val="24"/>
                    <w:lang w:eastAsia="lt-LT"/>
                  </w:rPr>
                  <w:t>Įsakymo projektas</w:t>
                </w:r>
              </w:p>
              <w:p w14:paraId="41690A3B" w14:textId="77777777">
                <w:pPr>
                  <w:widowControl w:val="0"/>
                  <w:tabs>
                    <w:tab w:val="left" w:pos="470"/>
                  </w:tabs>
                  <w:suppressAutoHyphens/>
                  <w:jc w:val="both"/>
                  <w:rPr>
                    <w:b/>
                    <w:bCs/>
                    <w:sz w:val="22"/>
                    <w:szCs w:val="22"/>
                  </w:rPr>
                </w:pPr>
                <w:r>
                  <w:rPr>
                    <w:rFonts w:eastAsia="Arial Unicode MS"/>
                    <w:b/>
                    <w:szCs w:val="24"/>
                    <w:lang w:eastAsia="lt-LT"/>
                  </w:rPr>
                  <w:t>Darbuotojų, dirbančių su fluorintomis šiltnamio efektą sukeliančiomis dujomis ir ozono sluoksnį ardančiomis medžiagomis bei jų turinčia įranga, atestavimo, sertifikavimo ir kvalifikacijos tobulinimo programų vykdymo tvarkos aprašas</w:t>
                </w:r>
              </w:p>
              <w:p w14:paraId="75BA50A6" w14:textId="77777777">
                <w:pPr>
                  <w:widowControl w:val="0"/>
                  <w:suppressAutoHyphens/>
                  <w:jc w:val="both"/>
                  <w:rPr>
                    <w:rFonts w:eastAsia="Arial Unicode MS"/>
                    <w:b/>
                    <w:bCs/>
                    <w:szCs w:val="24"/>
                    <w:lang w:eastAsia="lt-LT"/>
                  </w:rPr>
                </w:pPr>
                <w:r>
                  <w:rPr>
                    <w:rFonts w:eastAsia="Arial Unicode MS"/>
                    <w:b/>
                    <w:bCs/>
                    <w:szCs w:val="24"/>
                    <w:lang w:eastAsia="lt-LT"/>
                  </w:rPr>
                  <w:t>2.1.1-2.1.4 papunkčiuose nurodytose programose</w:t>
                </w:r>
              </w:p>
              <w:p w14:paraId="07B4DAA2"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2.1.1. </w:t>
                </w:r>
                <w:r>
                  <w:rPr>
                    <w:rFonts w:eastAsia="Arial Unicode MS"/>
                    <w:szCs w:val="24"/>
                    <w:lang w:eastAsia="lt-LT"/>
                  </w:rPr>
                  <w:t xml:space="preserve">Darbuotojų, dirbančių su stacionaria </w:t>
                </w:r>
                <w:r>
                  <w:rPr>
                    <w:rFonts w:eastAsia="Arial Unicode MS"/>
                    <w:bCs/>
                    <w:color w:val="000000"/>
                    <w:szCs w:val="24"/>
                    <w:lang w:eastAsia="lt-LT"/>
                  </w:rPr>
                  <w:t xml:space="preserve">šaldymo, oro kondicionavimo, šilumos siurblių įranga, kurioje yra ozono sluoksnį ardančių medžiagų ar fluorintų šiltnamio efektą sukeliančių dujų ir izoterminių sunkvežimių, šaldymo priekabų įrenginių, kuriuose yra </w:t>
                </w:r>
                <w:r>
                  <w:rPr>
                    <w:rFonts w:eastAsia="Arial Unicode MS"/>
                    <w:szCs w:val="24"/>
                    <w:lang w:eastAsia="lt-LT"/>
                  </w:rPr>
                  <w:t xml:space="preserve">fluorintų šiltnamio efektą sukeliančių dujų, sertifikavimo ir  kvalifikacijos tobulinimo programą;</w:t>
                </w:r>
              </w:p>
              <w:p w14:paraId="403422BD"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2.1.2. </w:t>
                </w:r>
                <w:r>
                  <w:rPr>
                    <w:rFonts w:eastAsia="Arial Unicode MS"/>
                    <w:szCs w:val="24"/>
                    <w:lang w:eastAsia="lt-LT"/>
                  </w:rPr>
                  <w:t>Darbuotojų, dirbančių su stacionariomis priešgaisrinėmis sistemomis ir gesintuvais, kuriuose yra fluorintų šiltnamio efektą sukeliančių dujų ar ozono sluoksnį ardančių medžiagų, sertifikavimo ir kvalifikacijos tobulinimo programą;</w:t>
                </w:r>
              </w:p>
              <w:p w14:paraId="2B2574BE"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2.1.3. </w:t>
                </w:r>
                <w:r>
                  <w:rPr>
                    <w:rFonts w:eastAsia="Arial Unicode MS"/>
                    <w:szCs w:val="24"/>
                    <w:lang w:eastAsia="lt-LT"/>
                  </w:rPr>
                  <w:t>Darbuotojų, dirbančių su motorinių transporto priemonių oro kondicionavimo sistemomis, kuriose yra fluorintų šiltnamio efektą sukeliančių dujų, atestavimo ir kvalifikacijos tobulinimo programą;</w:t>
                </w:r>
              </w:p>
              <w:p w14:paraId="56FC6CD2"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2.1.4. </w:t>
                </w:r>
                <w:r>
                  <w:rPr>
                    <w:rFonts w:eastAsia="Arial Unicode MS"/>
                    <w:szCs w:val="24"/>
                    <w:lang w:eastAsia="lt-LT"/>
                  </w:rPr>
                  <w:t>Darbuotojų, dirbančių su elektros skirstomaisiais įrenginiais, kuriuose yra fluorintų šiltnamio efektą sukeliančių dujų, sertifikavimo ir kvalifikacijos tobulinimo programą;</w:t>
                </w:r>
              </w:p>
              <w:p w14:paraId="2CE79F4A" w14:textId="77777777">
                <w:pPr>
                  <w:widowControl w:val="0"/>
                  <w:suppressAutoHyphens/>
                  <w:jc w:val="both"/>
                  <w:rPr>
                    <w:rFonts w:eastAsia="Arial Unicode MS"/>
                    <w:b/>
                    <w:bCs/>
                    <w:szCs w:val="24"/>
                    <w:lang w:val="en-US" w:eastAsia="lt-LT"/>
                  </w:rPr>
                </w:pPr>
                <w:r>
                  <w:rPr>
                    <w:rFonts w:eastAsia="Arial Unicode MS"/>
                    <w:b/>
                    <w:bCs/>
                    <w:szCs w:val="24"/>
                    <w:lang w:eastAsia="lt-LT"/>
                  </w:rPr>
                  <w:t xml:space="preserve">Projekto </w:t>
                </w:r>
                <w:r>
                  <w:rPr>
                    <w:rFonts w:eastAsia="Arial Unicode MS"/>
                    <w:b/>
                    <w:bCs/>
                    <w:szCs w:val="24"/>
                    <w:lang w:val="en-US" w:eastAsia="lt-LT"/>
                  </w:rPr>
                  <w:t>6 punktas</w:t>
                </w:r>
              </w:p>
              <w:p w14:paraId="4CD69C0B" w14:textId="77777777">
                <w:pPr>
                  <w:widowControl w:val="0"/>
                  <w:suppressAutoHyphens/>
                  <w:jc w:val="both"/>
                  <w:rPr>
                    <w:rFonts w:eastAsia="Arial Unicode MS"/>
                    <w:color w:val="000000"/>
                    <w:szCs w:val="24"/>
                    <w:lang w:eastAsia="lt-LT"/>
                  </w:rPr>
                </w:pPr>
                <w:r>
                  <w:rPr>
                    <w:rFonts w:eastAsia="Arial Unicode MS"/>
                    <w:szCs w:val="24"/>
                    <w:lang w:eastAsia="lt-LT"/>
                  </w:rPr>
                  <w:t xml:space="preserve">6. Kitos Europos Sąjungos valstybės narės ar Europos ekonominės erdvės valstybės (toliau </w:t>
                </w:r>
                <w:r>
                  <w:rPr>
                    <w:rFonts w:eastAsia="Arial Unicode MS"/>
                    <w:color w:val="000000"/>
                    <w:szCs w:val="24"/>
                    <w:lang w:eastAsia="lt-LT"/>
                  </w:rPr>
                  <w:t>– valstybė narė) piliečiai, kiti asmenys, kurie naudojasi Europos Sąjungos teisės aktų jiems suteiktomis judėjimo valstybėse narėse teisėmis, arba valstybėje narėje įsteigtų juridinių asmenų, kitų organizacijų ar jų padalinių darbuotojai gali vykdyti Tvarkos aprašo 4 punkte nurodytą veiklą turėdami valstybės narės išduotą pažymėjimą arba kitą dokumentą, suteikiantį teisę ją vykdyti.</w:t>
                </w:r>
              </w:p>
              <w:p w14:paraId="602D3ABF" w14:textId="77777777">
                <w:pPr>
                  <w:widowControl w:val="0"/>
                  <w:suppressAutoHyphens/>
                  <w:jc w:val="both"/>
                  <w:rPr>
                    <w:rFonts w:eastAsia="Arial Unicode MS"/>
                    <w:szCs w:val="24"/>
                    <w:lang w:eastAsia="lt-LT"/>
                  </w:rPr>
                </w:pPr>
              </w:p>
              <w:p w14:paraId="423388AE" w14:textId="77777777">
                <w:pPr>
                  <w:widowControl w:val="0"/>
                  <w:tabs>
                    <w:tab w:val="left" w:pos="470"/>
                  </w:tabs>
                  <w:suppressAutoHyphens/>
                  <w:jc w:val="both"/>
                  <w:rPr>
                    <w:rFonts w:eastAsia="Arial Unicode MS"/>
                    <w:b/>
                    <w:bCs/>
                    <w:szCs w:val="24"/>
                    <w:lang w:eastAsia="lt-LT"/>
                  </w:rPr>
                </w:pPr>
                <w:r>
                  <w:rPr>
                    <w:rFonts w:eastAsia="Arial Unicode MS"/>
                    <w:b/>
                    <w:bCs/>
                    <w:szCs w:val="24"/>
                    <w:lang w:eastAsia="lt-LT"/>
                  </w:rPr>
                  <w:t>Įsakymo projektas</w:t>
                </w:r>
              </w:p>
              <w:p w14:paraId="4E0F4624" w14:textId="77777777">
                <w:pPr>
                  <w:widowControl w:val="0"/>
                  <w:tabs>
                    <w:tab w:val="left" w:pos="470"/>
                  </w:tabs>
                  <w:suppressAutoHyphens/>
                  <w:jc w:val="both"/>
                  <w:rPr>
                    <w:b/>
                    <w:bCs/>
                    <w:sz w:val="22"/>
                    <w:szCs w:val="22"/>
                  </w:rPr>
                </w:pPr>
                <w:r>
                  <w:rPr>
                    <w:rFonts w:eastAsia="Arial Unicode MS"/>
                    <w:b/>
                    <w:szCs w:val="24"/>
                    <w:lang w:eastAsia="lt-LT"/>
                  </w:rPr>
                  <w:t>Darbuotojų, dirbančių su fluorintomis šiltnamio efektą sukeliančiomis dujomis ir ozono sluoksnį ardančiomis medžiagomis bei jų turinčia įranga, atestavimo, sertifikavimo ir kvalifikacijos tobulinimo programų vykdymo tvarkos aprašas</w:t>
                </w:r>
              </w:p>
              <w:p w14:paraId="3B029F22" w14:textId="77777777">
                <w:pPr>
                  <w:widowControl w:val="0"/>
                  <w:suppressAutoHyphens/>
                  <w:jc w:val="both"/>
                  <w:rPr>
                    <w:rFonts w:eastAsia="Arial Unicode MS"/>
                    <w:b/>
                    <w:bCs/>
                    <w:szCs w:val="24"/>
                    <w:lang w:eastAsia="lt-LT"/>
                  </w:rPr>
                </w:pPr>
                <w:r>
                  <w:rPr>
                    <w:rFonts w:eastAsia="Arial Unicode MS"/>
                    <w:b/>
                    <w:bCs/>
                    <w:szCs w:val="24"/>
                    <w:lang w:eastAsia="lt-LT"/>
                  </w:rPr>
                  <w:t>2.1.1-2.1.4 papunkčiuose nurodytose programose</w:t>
                </w:r>
              </w:p>
              <w:p w14:paraId="6E9F9CD6"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2.1.1. </w:t>
                </w:r>
                <w:r>
                  <w:rPr>
                    <w:rFonts w:eastAsia="Arial Unicode MS"/>
                    <w:szCs w:val="24"/>
                    <w:lang w:eastAsia="lt-LT"/>
                  </w:rPr>
                  <w:t xml:space="preserve">Darbuotojų, dirbančių su stacionaria </w:t>
                </w:r>
                <w:r>
                  <w:rPr>
                    <w:rFonts w:eastAsia="Arial Unicode MS"/>
                    <w:bCs/>
                    <w:color w:val="000000"/>
                    <w:szCs w:val="24"/>
                    <w:lang w:eastAsia="lt-LT"/>
                  </w:rPr>
                  <w:t xml:space="preserve">šaldymo, oro kondicionavimo, šilumos siurblių įranga, kurioje yra ozono sluoksnį ardančių medžiagų ir fluorintų šiltnamio efektą sukeliančių dujų ir izoterminių sunkvežimių, šaldymo priekabų įrenginių, kuriuose yra </w:t>
                </w:r>
                <w:r>
                  <w:rPr>
                    <w:rFonts w:eastAsia="Arial Unicode MS"/>
                    <w:szCs w:val="24"/>
                    <w:lang w:eastAsia="lt-LT"/>
                  </w:rPr>
                  <w:t xml:space="preserve">fluorintų šiltnamio efektą sukeliančių dujų, sertifikavimo ir  kvalifikacijos tobulinimo programą;</w:t>
                </w:r>
              </w:p>
              <w:p w14:paraId="7C50B480"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2.1.2. </w:t>
                </w:r>
                <w:r>
                  <w:rPr>
                    <w:rFonts w:eastAsia="Arial Unicode MS"/>
                    <w:szCs w:val="24"/>
                    <w:lang w:eastAsia="lt-LT"/>
                  </w:rPr>
                  <w:t>Darbuotojų, dirbančių su stacionariomis priešgaisrinėmis sistemomis ir gesintuvais, kuriuose yra fluorintų šiltnamio efektą sukeliančių dujų ar ozono sluoksnį ardančių medžiagų, sertifikavimo ir kvalifikacijos tobulinimo programą;</w:t>
                </w:r>
              </w:p>
              <w:p w14:paraId="3F298EF5"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2.1.3. </w:t>
                </w:r>
                <w:r>
                  <w:rPr>
                    <w:rFonts w:eastAsia="Arial Unicode MS"/>
                    <w:szCs w:val="24"/>
                    <w:lang w:eastAsia="lt-LT"/>
                  </w:rPr>
                  <w:t>Darbuotojų, dirbančių su motorinių transporto priemonių oro kondicionavimo sistemomis, kuriose yra fluorintų šiltnamio efektą sukeliančių dujų, atestavimo ir kvalifikacijos tobulinimo programą;</w:t>
                </w:r>
              </w:p>
              <w:p w14:paraId="385E1B9B"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2.1.4. </w:t>
                </w:r>
                <w:r>
                  <w:rPr>
                    <w:rFonts w:eastAsia="Arial Unicode MS"/>
                    <w:szCs w:val="24"/>
                    <w:lang w:eastAsia="lt-LT"/>
                  </w:rPr>
                  <w:t>Darbuotojų, dirbančių su elektros skirstomaisiais įrenginiais, kuriuose yra fluorintų šiltnamio efektą sukeliančių dujų, sertifikavimo ir kvalifikacijos tobulinimo programą;</w:t>
                </w:r>
              </w:p>
              <w:p w14:paraId="0D55D18B" w14:textId="77777777">
                <w:pPr>
                  <w:widowControl w:val="0"/>
                  <w:suppressAutoHyphens/>
                  <w:jc w:val="both"/>
                  <w:rPr>
                    <w:rFonts w:eastAsia="Arial Unicode MS"/>
                    <w:szCs w:val="24"/>
                    <w:lang w:eastAsia="lt-LT"/>
                  </w:rPr>
                </w:pPr>
              </w:p>
              <w:p w14:paraId="305478DF" w14:textId="77777777">
                <w:pPr>
                  <w:widowControl w:val="0"/>
                  <w:tabs>
                    <w:tab w:val="left" w:pos="470"/>
                  </w:tabs>
                  <w:suppressAutoHyphens/>
                  <w:jc w:val="both"/>
                  <w:rPr>
                    <w:rFonts w:eastAsia="Arial Unicode MS"/>
                    <w:b/>
                    <w:bCs/>
                    <w:szCs w:val="24"/>
                    <w:lang w:eastAsia="lt-LT"/>
                  </w:rPr>
                </w:pPr>
                <w:r>
                  <w:rPr>
                    <w:rFonts w:eastAsia="Arial Unicode MS"/>
                    <w:b/>
                    <w:bCs/>
                    <w:szCs w:val="24"/>
                    <w:lang w:eastAsia="lt-LT"/>
                  </w:rPr>
                  <w:t>Įsakymo projektas</w:t>
                </w:r>
              </w:p>
              <w:p w14:paraId="33ADBF68" w14:textId="77777777">
                <w:pPr>
                  <w:widowControl w:val="0"/>
                  <w:tabs>
                    <w:tab w:val="left" w:pos="470"/>
                  </w:tabs>
                  <w:suppressAutoHyphens/>
                  <w:jc w:val="both"/>
                  <w:rPr>
                    <w:b/>
                    <w:bCs/>
                    <w:sz w:val="22"/>
                    <w:szCs w:val="22"/>
                  </w:rPr>
                </w:pPr>
                <w:r>
                  <w:rPr>
                    <w:rFonts w:eastAsia="Arial Unicode MS"/>
                    <w:b/>
                    <w:szCs w:val="24"/>
                    <w:lang w:eastAsia="lt-LT"/>
                  </w:rPr>
                  <w:t>Darbuotojų, dirbančių su fluorintomis šiltnamio efektą sukeliančiomis dujomis ir ozono sluoksnį ardančiomis medžiagomis bei jų turinčia įranga, atestavimo, sertifikavimo ir kvalifikacijos tobulinimo programų vykdymo tvarkos aprašas</w:t>
                </w:r>
              </w:p>
              <w:p w14:paraId="2B94BBB2" w14:textId="77777777">
                <w:pPr>
                  <w:widowControl w:val="0"/>
                  <w:suppressAutoHyphens/>
                  <w:jc w:val="both"/>
                  <w:rPr>
                    <w:rFonts w:eastAsia="Arial Unicode MS"/>
                    <w:b/>
                    <w:bCs/>
                    <w:szCs w:val="24"/>
                    <w:lang w:eastAsia="lt-LT"/>
                  </w:rPr>
                </w:pPr>
                <w:r>
                  <w:rPr>
                    <w:rFonts w:eastAsia="Arial Unicode MS"/>
                    <w:b/>
                    <w:bCs/>
                    <w:szCs w:val="24"/>
                    <w:lang w:eastAsia="lt-LT"/>
                  </w:rPr>
                  <w:t>59 ir 60 punktai</w:t>
                </w:r>
              </w:p>
              <w:p w14:paraId="03F15703" w14:textId="77777777">
                <w:pPr>
                  <w:widowControl w:val="0"/>
                  <w:suppressAutoHyphens/>
                  <w:jc w:val="both"/>
                  <w:rPr>
                    <w:rFonts w:eastAsia="Arial Unicode MS"/>
                    <w:color w:val="000000"/>
                    <w:szCs w:val="24"/>
                    <w:lang w:eastAsia="lt-LT"/>
                  </w:rPr>
                </w:pPr>
                <w:r>
                  <w:rPr>
                    <w:rFonts w:eastAsia="Arial Unicode MS"/>
                    <w:color w:val="000000"/>
                    <w:szCs w:val="24"/>
                    <w:lang w:eastAsia="lt-LT"/>
                  </w:rPr>
                  <w:t>59. Asmenų, kurie laiku neatnaujino pažymėjimo per 2 metus nuo Tvarkos aprašo įsigaliojimo datos, anksčiau išduoti pažymėjimai laikomi negaliojančiais.</w:t>
                </w:r>
              </w:p>
              <w:p w14:paraId="5CA3BC2B"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60. Asmenų, kurie laiku neatnaujino pažymėjimo per 7 metus nuo jo išdavimo datos, anksčiau  išduoti pažymėjimai laikomi negaliojančiais.</w:t>
                </w:r>
              </w:p>
              <w:p w14:paraId="1076B2AA" w14:textId="77777777">
                <w:pPr>
                  <w:widowControl w:val="0"/>
                  <w:suppressAutoHyphens/>
                  <w:jc w:val="both"/>
                  <w:rPr>
                    <w:rFonts w:eastAsia="Arial Unicode MS"/>
                    <w:szCs w:val="24"/>
                    <w:lang w:eastAsia="lt-LT"/>
                  </w:rPr>
                </w:pPr>
              </w:p>
              <w:p w14:paraId="34B0CC98" w14:textId="77777777">
                <w:pPr>
                  <w:widowControl w:val="0"/>
                  <w:tabs>
                    <w:tab w:val="left" w:pos="470"/>
                  </w:tabs>
                  <w:suppressAutoHyphens/>
                  <w:jc w:val="both"/>
                  <w:rPr>
                    <w:rFonts w:eastAsia="Arial Unicode MS"/>
                    <w:b/>
                    <w:bCs/>
                    <w:szCs w:val="24"/>
                    <w:lang w:eastAsia="lt-LT"/>
                  </w:rPr>
                </w:pPr>
                <w:r>
                  <w:rPr>
                    <w:rFonts w:eastAsia="Arial Unicode MS"/>
                    <w:b/>
                    <w:bCs/>
                    <w:szCs w:val="24"/>
                    <w:lang w:eastAsia="lt-LT"/>
                  </w:rPr>
                  <w:t>Įsakymo projektas</w:t>
                </w:r>
              </w:p>
              <w:p w14:paraId="7DA5BCD4" w14:textId="77777777">
                <w:pPr>
                  <w:widowControl w:val="0"/>
                  <w:tabs>
                    <w:tab w:val="left" w:pos="470"/>
                  </w:tabs>
                  <w:suppressAutoHyphens/>
                  <w:jc w:val="both"/>
                  <w:rPr>
                    <w:b/>
                    <w:bCs/>
                    <w:sz w:val="22"/>
                    <w:szCs w:val="22"/>
                  </w:rPr>
                </w:pPr>
                <w:r>
                  <w:rPr>
                    <w:rFonts w:eastAsia="Arial Unicode MS"/>
                    <w:b/>
                    <w:szCs w:val="24"/>
                    <w:lang w:eastAsia="lt-LT"/>
                  </w:rPr>
                  <w:t>Darbuotojų, dirbančių su fluorintomis šiltnamio efektą sukeliančiomis dujomis ir ozono sluoksnį ardančiomis medžiagomis bei jų turinčia įranga, atestavimo, sertifikavimo ir kvalifikacijos tobulinimo programų vykdymo tvarkos aprašas</w:t>
                </w:r>
              </w:p>
              <w:p w14:paraId="5A4A1A82" w14:textId="77777777">
                <w:pPr>
                  <w:widowControl w:val="0"/>
                  <w:suppressAutoHyphens/>
                  <w:jc w:val="both"/>
                  <w:rPr>
                    <w:rFonts w:eastAsia="Arial Unicode MS"/>
                    <w:b/>
                    <w:bCs/>
                    <w:szCs w:val="24"/>
                    <w:lang w:eastAsia="lt-LT"/>
                  </w:rPr>
                </w:pPr>
                <w:r>
                  <w:rPr>
                    <w:rFonts w:eastAsia="Arial Unicode MS"/>
                    <w:b/>
                    <w:bCs/>
                    <w:szCs w:val="24"/>
                    <w:lang w:eastAsia="lt-LT"/>
                  </w:rPr>
                  <w:t>2.1.1-2.1.4 papunkčiuose nurodytose programose</w:t>
                </w:r>
              </w:p>
              <w:p w14:paraId="67E7D30D"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2.1.1. </w:t>
                </w:r>
                <w:r>
                  <w:rPr>
                    <w:rFonts w:eastAsia="Arial Unicode MS"/>
                    <w:szCs w:val="24"/>
                    <w:lang w:eastAsia="lt-LT"/>
                  </w:rPr>
                  <w:t xml:space="preserve">Darbuotojų, dirbančių su stacionaria </w:t>
                </w:r>
                <w:r>
                  <w:rPr>
                    <w:rFonts w:eastAsia="Arial Unicode MS"/>
                    <w:bCs/>
                    <w:color w:val="000000"/>
                    <w:szCs w:val="24"/>
                    <w:lang w:eastAsia="lt-LT"/>
                  </w:rPr>
                  <w:t xml:space="preserve">šaldymo, oro kondicionavimo, šilumos siurblių įranga, kurioje yra ozono sluoksnį ardančių medžiagų ir fluorintų šiltnamio efektą sukeliančių dujų ir izoterminių sunkvežimių, šaldymo priekabų įrenginių, kuriuose yra </w:t>
                </w:r>
                <w:r>
                  <w:rPr>
                    <w:rFonts w:eastAsia="Arial Unicode MS"/>
                    <w:szCs w:val="24"/>
                    <w:lang w:eastAsia="lt-LT"/>
                  </w:rPr>
                  <w:t xml:space="preserve">fluorintų šiltnamio efektą sukeliančių dujų, sertifikavimo ir  kvalifikacijos tobulinimo programą;</w:t>
                </w:r>
              </w:p>
              <w:p w14:paraId="43989428"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2.1.2. </w:t>
                </w:r>
                <w:r>
                  <w:rPr>
                    <w:rFonts w:eastAsia="Arial Unicode MS"/>
                    <w:szCs w:val="24"/>
                    <w:lang w:eastAsia="lt-LT"/>
                  </w:rPr>
                  <w:t>Darbuotojų, dirbančių su stacionariomis priešgaisrinėmis sistemomis ir gesintuvais, kuriuose yra fluorintų šiltnamio efektą sukeliančių dujų ar ozono sluoksnį ardančių medžiagų, sertifikavimo ir kvalifikacijos tobulinimo programą;</w:t>
                </w:r>
              </w:p>
              <w:p w14:paraId="4F7894BA"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2.1.3. </w:t>
                </w:r>
                <w:r>
                  <w:rPr>
                    <w:rFonts w:eastAsia="Arial Unicode MS"/>
                    <w:szCs w:val="24"/>
                    <w:lang w:eastAsia="lt-LT"/>
                  </w:rPr>
                  <w:t>Darbuotojų, dirbančių su motorinių transporto priemonių oro kondicionavimo sistemomis, kuriose yra fluorintų šiltnamio efektą sukeliančių dujų, atestavimo ir kvalifikacijos tobulinimo programą;</w:t>
                </w:r>
              </w:p>
              <w:p w14:paraId="5FEE8760"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2.1.4. </w:t>
                </w:r>
                <w:r>
                  <w:rPr>
                    <w:rFonts w:eastAsia="Arial Unicode MS"/>
                    <w:szCs w:val="24"/>
                    <w:lang w:eastAsia="lt-LT"/>
                  </w:rPr>
                  <w:t>Darbuotojų, dirbančių su elektros skirstomaisiais įrenginiais, kuriuose yra fluorintų šiltnamio efektą sukeliančių dujų, sertifikavimo ir kvalifikacijos tobulinimo programą;</w:t>
                </w:r>
              </w:p>
              <w:p w14:paraId="5CCC459D" w14:textId="77777777">
                <w:pPr>
                  <w:widowControl w:val="0"/>
                  <w:suppressAutoHyphens/>
                  <w:jc w:val="both"/>
                  <w:rPr>
                    <w:rFonts w:eastAsia="Arial Unicode MS"/>
                    <w:b/>
                    <w:bCs/>
                    <w:szCs w:val="24"/>
                    <w:lang w:eastAsia="lt-LT"/>
                  </w:rPr>
                </w:pPr>
              </w:p>
              <w:p w14:paraId="23978CC7" w14:textId="77777777">
                <w:pPr>
                  <w:widowControl w:val="0"/>
                  <w:tabs>
                    <w:tab w:val="left" w:pos="470"/>
                  </w:tabs>
                  <w:suppressAutoHyphens/>
                  <w:jc w:val="both"/>
                  <w:rPr>
                    <w:rFonts w:eastAsia="Arial Unicode MS"/>
                    <w:b/>
                    <w:bCs/>
                    <w:szCs w:val="24"/>
                    <w:lang w:eastAsia="lt-LT"/>
                  </w:rPr>
                </w:pPr>
                <w:r>
                  <w:rPr>
                    <w:rFonts w:eastAsia="Arial Unicode MS"/>
                    <w:b/>
                    <w:bCs/>
                    <w:szCs w:val="24"/>
                    <w:lang w:eastAsia="lt-LT"/>
                  </w:rPr>
                  <w:t>Įsakymo projektas</w:t>
                </w:r>
              </w:p>
              <w:p w14:paraId="0800619F" w14:textId="77777777">
                <w:pPr>
                  <w:widowControl w:val="0"/>
                  <w:tabs>
                    <w:tab w:val="left" w:pos="470"/>
                  </w:tabs>
                  <w:suppressAutoHyphens/>
                  <w:jc w:val="both"/>
                  <w:rPr>
                    <w:b/>
                    <w:bCs/>
                    <w:sz w:val="22"/>
                    <w:szCs w:val="22"/>
                  </w:rPr>
                </w:pPr>
                <w:r>
                  <w:rPr>
                    <w:rFonts w:eastAsia="Arial Unicode MS"/>
                    <w:b/>
                    <w:szCs w:val="24"/>
                    <w:lang w:eastAsia="lt-LT"/>
                  </w:rPr>
                  <w:t>Darbuotojų, dirbančių su fluorintomis šiltnamio efektą sukeliančiomis dujomis ir ozono sluoksnį ardančiomis medžiagomis bei jų turinčia įranga, atestavimo, sertifikavimo ir kvalifikacijos tobulinimo programų vykdymo tvarkos aprašas</w:t>
                </w:r>
              </w:p>
              <w:p w14:paraId="11ADD480" w14:textId="77777777">
                <w:pPr>
                  <w:widowControl w:val="0"/>
                  <w:suppressAutoHyphens/>
                  <w:jc w:val="both"/>
                  <w:rPr>
                    <w:rFonts w:eastAsia="Arial Unicode MS"/>
                    <w:b/>
                    <w:bCs/>
                    <w:szCs w:val="24"/>
                    <w:lang w:eastAsia="lt-LT"/>
                  </w:rPr>
                </w:pPr>
                <w:r>
                  <w:rPr>
                    <w:rFonts w:eastAsia="Arial Unicode MS"/>
                    <w:b/>
                    <w:bCs/>
                    <w:szCs w:val="24"/>
                    <w:lang w:eastAsia="lt-LT"/>
                  </w:rPr>
                  <w:t>2.1.1-2.1.4 papunkčiuose nurodytose programose</w:t>
                </w:r>
              </w:p>
              <w:p w14:paraId="54BDEDC4"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2.1.1. </w:t>
                </w:r>
                <w:r>
                  <w:rPr>
                    <w:rFonts w:eastAsia="Arial Unicode MS"/>
                    <w:szCs w:val="24"/>
                    <w:lang w:eastAsia="lt-LT"/>
                  </w:rPr>
                  <w:t xml:space="preserve">Darbuotojų, dirbančių su stacionaria </w:t>
                </w:r>
                <w:r>
                  <w:rPr>
                    <w:rFonts w:eastAsia="Arial Unicode MS"/>
                    <w:bCs/>
                    <w:color w:val="000000"/>
                    <w:szCs w:val="24"/>
                    <w:lang w:eastAsia="lt-LT"/>
                  </w:rPr>
                  <w:t xml:space="preserve">šaldymo, oro kondicionavimo, šilumos siurblių įranga, kurioje yra ozono sluoksnį ardančių medžiagų ir fluorintų šiltnamio efektą sukeliančių dujų ir izoterminių sunkvežimių, šaldymo priekabų įrenginių, kuriuose yra </w:t>
                </w:r>
                <w:r>
                  <w:rPr>
                    <w:rFonts w:eastAsia="Arial Unicode MS"/>
                    <w:szCs w:val="24"/>
                    <w:lang w:eastAsia="lt-LT"/>
                  </w:rPr>
                  <w:t xml:space="preserve">fluorintų šiltnamio efektą sukeliančių dujų, sertifikavimo ir  kvalifikacijos tobulinimo programą;</w:t>
                </w:r>
              </w:p>
              <w:p w14:paraId="15576C0C"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2.1.2. </w:t>
                </w:r>
                <w:r>
                  <w:rPr>
                    <w:rFonts w:eastAsia="Arial Unicode MS"/>
                    <w:szCs w:val="24"/>
                    <w:lang w:eastAsia="lt-LT"/>
                  </w:rPr>
                  <w:t>Darbuotojų, dirbančių su stacionariomis priešgaisrinėmis sistemomis ir gesintuvais, kuriuose yra fluorintų šiltnamio efektą sukeliančių dujų ar ozono sluoksnį ardančių medžiagų, sertifikavimo ir kvalifikacijos tobulinimo programą;</w:t>
                </w:r>
              </w:p>
              <w:p w14:paraId="55D8B4CA" w14:textId="77777777">
                <w:pPr>
                  <w:widowControl w:val="0"/>
                  <w:suppressAutoHyphens/>
                  <w:jc w:val="both"/>
                  <w:rPr>
                    <w:rFonts w:eastAsia="Arial Unicode MS"/>
                    <w:color w:val="000000"/>
                    <w:szCs w:val="24"/>
                    <w:lang w:eastAsia="lt-LT"/>
                  </w:rPr>
                </w:pPr>
                <w:r>
                  <w:rPr>
                    <w:rFonts w:eastAsia="Arial Unicode MS"/>
                    <w:color w:val="000000"/>
                    <w:szCs w:val="24"/>
                    <w:lang w:eastAsia="lt-LT"/>
                  </w:rPr>
                  <w:t xml:space="preserve">2.1.3. </w:t>
                </w:r>
                <w:r>
                  <w:rPr>
                    <w:rFonts w:eastAsia="Arial Unicode MS"/>
                    <w:szCs w:val="24"/>
                    <w:lang w:eastAsia="lt-LT"/>
                  </w:rPr>
                  <w:t>Darbuotojų, dirbančių su motorinių transporto priemonių oro kondicionavimo sistemomis, kuriose yra fluorintų šiltnamio efektą sukeliančių dujų, atestavimo ir kvalifikacijos tobulinimo programą;</w:t>
                </w:r>
              </w:p>
              <w:p w14:paraId="759C9E91" w14:textId="77777777">
                <w:pPr>
                  <w:widowControl w:val="0"/>
                  <w:suppressAutoHyphens/>
                  <w:jc w:val="both"/>
                  <w:rPr>
                    <w:rFonts w:eastAsia="Arial Unicode MS"/>
                    <w:szCs w:val="24"/>
                    <w:lang w:eastAsia="lt-LT"/>
                  </w:rPr>
                </w:pPr>
                <w:r>
                  <w:rPr>
                    <w:rFonts w:eastAsia="Arial Unicode MS"/>
                    <w:color w:val="000000"/>
                    <w:szCs w:val="24"/>
                    <w:lang w:eastAsia="lt-LT"/>
                  </w:rPr>
                  <w:t xml:space="preserve">2.1.4. </w:t>
                </w:r>
                <w:r>
                  <w:rPr>
                    <w:rFonts w:eastAsia="Arial Unicode MS"/>
                    <w:szCs w:val="24"/>
                    <w:lang w:eastAsia="lt-LT"/>
                  </w:rPr>
                  <w:t>Darbuotojų, dirbančių su elektros skirstomaisiais įrenginiais, kuriuose yra fluorintų šiltnamio efektą sukeliančių dujų, sertifikavimo ir kvalifikacijos tobulinimo programą;</w:t>
                </w:r>
              </w:p>
              <w:p w14:paraId="147C242E" w14:textId="77777777">
                <w:pPr>
                  <w:widowControl w:val="0"/>
                  <w:suppressAutoHyphens/>
                  <w:jc w:val="both"/>
                  <w:rPr>
                    <w:rFonts w:eastAsia="Arial Unicode MS"/>
                    <w:b/>
                    <w:bCs/>
                    <w:szCs w:val="24"/>
                    <w:lang w:eastAsia="lt-LT"/>
                  </w:rPr>
                </w:pPr>
              </w:p>
              <w:p w14:paraId="7984A3CB" w14:textId="77777777">
                <w:pPr>
                  <w:widowControl w:val="0"/>
                  <w:tabs>
                    <w:tab w:val="left" w:pos="470"/>
                  </w:tabs>
                  <w:suppressAutoHyphens/>
                  <w:jc w:val="both"/>
                  <w:rPr>
                    <w:rFonts w:eastAsia="Arial Unicode MS"/>
                    <w:b/>
                    <w:bCs/>
                    <w:szCs w:val="24"/>
                    <w:lang w:eastAsia="lt-LT"/>
                  </w:rPr>
                </w:pPr>
                <w:r>
                  <w:rPr>
                    <w:rFonts w:eastAsia="Arial Unicode MS"/>
                    <w:b/>
                    <w:bCs/>
                    <w:szCs w:val="24"/>
                    <w:lang w:eastAsia="lt-LT"/>
                  </w:rPr>
                  <w:t>Įsakymo projektas</w:t>
                </w:r>
              </w:p>
              <w:p w14:paraId="708C8D97" w14:textId="77777777">
                <w:pPr>
                  <w:widowControl w:val="0"/>
                  <w:tabs>
                    <w:tab w:val="left" w:pos="470"/>
                  </w:tabs>
                  <w:suppressAutoHyphens/>
                  <w:jc w:val="both"/>
                  <w:rPr>
                    <w:b/>
                    <w:bCs/>
                    <w:sz w:val="22"/>
                    <w:szCs w:val="22"/>
                  </w:rPr>
                </w:pPr>
                <w:r>
                  <w:rPr>
                    <w:rFonts w:eastAsia="Arial Unicode MS"/>
                    <w:b/>
                    <w:szCs w:val="24"/>
                    <w:lang w:eastAsia="lt-LT"/>
                  </w:rPr>
                  <w:t>Darbuotojų, dirbančių su fluorintomis šiltnamio efektą sukeliančiomis dujomis ir ozono sluoksnį ardančiomis medžiagomis bei jų turinčia įranga, atestavimo, sertifikavimo ir kvalifikacijos tobulinimo programų vykdymo tvarkos aprašas</w:t>
                </w:r>
              </w:p>
              <w:p w14:paraId="5B20DAF5" w14:textId="77777777">
                <w:pPr>
                  <w:widowControl w:val="0"/>
                  <w:suppressAutoHyphens/>
                  <w:ind w:firstLine="62"/>
                  <w:jc w:val="both"/>
                  <w:rPr>
                    <w:rFonts w:eastAsia="Arial Unicode MS"/>
                    <w:b/>
                    <w:bCs/>
                    <w:szCs w:val="24"/>
                    <w:lang w:val="en-US" w:eastAsia="lt-LT"/>
                  </w:rPr>
                </w:pPr>
                <w:r>
                  <w:rPr>
                    <w:rFonts w:eastAsia="Arial Unicode MS"/>
                    <w:b/>
                    <w:bCs/>
                    <w:szCs w:val="24"/>
                    <w:lang w:val="en-US" w:eastAsia="lt-LT"/>
                  </w:rPr>
                  <w:t>6 punktas</w:t>
                </w:r>
              </w:p>
              <w:p w14:paraId="167CC1A6" w14:textId="77777777">
                <w:pPr>
                  <w:widowControl w:val="0"/>
                  <w:suppressAutoHyphens/>
                  <w:jc w:val="both"/>
                  <w:rPr>
                    <w:rFonts w:eastAsia="Arial Unicode MS"/>
                    <w:color w:val="000000"/>
                    <w:szCs w:val="24"/>
                    <w:lang w:eastAsia="lt-LT"/>
                  </w:rPr>
                </w:pPr>
                <w:r>
                  <w:rPr>
                    <w:rFonts w:eastAsia="Arial Unicode MS"/>
                    <w:szCs w:val="24"/>
                    <w:lang w:eastAsia="lt-LT"/>
                  </w:rPr>
                  <w:t xml:space="preserve">6. Kitos Europos Sąjungos valstybės narės ar Europos ekonominės erdvės valstybės (toliau </w:t>
                </w:r>
                <w:r>
                  <w:rPr>
                    <w:rFonts w:eastAsia="Arial Unicode MS"/>
                    <w:color w:val="000000"/>
                    <w:szCs w:val="24"/>
                    <w:lang w:eastAsia="lt-LT"/>
                  </w:rPr>
                  <w:t>– valstybė narė) piliečiai, kiti asmenys, kurie naudojasi Europos Sąjungos teisės aktų jiems suteiktomis judėjimo valstybėse narėse teisėmis, arba valstybėje narėje įsteigtų juridinių asmenų, kitų organizacijų ar jų padalinių darbuotojai gali vykdyti Tvarkos aprašo 4 punkte nurodytą veiklą turėdami valstybės narės išduotą pažymėjimą arba kitą dokumentą, suteikiantį teisę ją vykdyti.</w:t>
                </w:r>
              </w:p>
              <w:p w14:paraId="4B1DAC36" w14:textId="77777777">
                <w:pPr>
                  <w:widowControl w:val="0"/>
                  <w:suppressAutoHyphens/>
                  <w:jc w:val="both"/>
                  <w:rPr>
                    <w:rFonts w:eastAsia="Arial Unicode MS"/>
                    <w:color w:val="000000"/>
                    <w:szCs w:val="24"/>
                    <w:lang w:eastAsia="lt-LT"/>
                  </w:rPr>
                </w:pPr>
              </w:p>
              <w:p w14:paraId="4C646237" w14:textId="77777777">
                <w:pPr>
                  <w:widowControl w:val="0"/>
                  <w:tabs>
                    <w:tab w:val="left" w:pos="470"/>
                  </w:tabs>
                  <w:suppressAutoHyphens/>
                  <w:jc w:val="both"/>
                  <w:rPr>
                    <w:rFonts w:eastAsia="Arial Unicode MS"/>
                    <w:b/>
                    <w:bCs/>
                    <w:szCs w:val="24"/>
                    <w:lang w:eastAsia="lt-LT"/>
                  </w:rPr>
                </w:pPr>
                <w:r>
                  <w:rPr>
                    <w:rFonts w:eastAsia="Arial Unicode MS"/>
                    <w:b/>
                    <w:bCs/>
                    <w:szCs w:val="24"/>
                    <w:lang w:eastAsia="lt-LT"/>
                  </w:rPr>
                  <w:t>Įsakymo projektas</w:t>
                </w:r>
              </w:p>
              <w:p w14:paraId="4218C693" w14:textId="77777777">
                <w:pPr>
                  <w:widowControl w:val="0"/>
                  <w:tabs>
                    <w:tab w:val="left" w:pos="470"/>
                  </w:tabs>
                  <w:suppressAutoHyphens/>
                  <w:jc w:val="both"/>
                  <w:rPr>
                    <w:b/>
                    <w:bCs/>
                    <w:sz w:val="22"/>
                    <w:szCs w:val="22"/>
                  </w:rPr>
                </w:pPr>
                <w:r>
                  <w:rPr>
                    <w:rFonts w:eastAsia="Arial Unicode MS"/>
                    <w:b/>
                    <w:szCs w:val="24"/>
                    <w:lang w:eastAsia="lt-LT"/>
                  </w:rPr>
                  <w:t>Darbuotojų, dirbančių su fluorintomis šiltnamio efektą sukeliančiomis dujomis ir ozono sluoksnį ardančiomis medžiagomis bei jų turinčia įranga, atestavimo, sertifikavimo ir kvalifikacijos tobulinimo programų vykdymo tvarkos aprašas</w:t>
                </w:r>
              </w:p>
              <w:p w14:paraId="4B86D323" w14:textId="77777777">
                <w:pPr>
                  <w:widowControl w:val="0"/>
                  <w:suppressAutoHyphens/>
                  <w:jc w:val="both"/>
                  <w:rPr>
                    <w:rFonts w:eastAsia="Arial Unicode MS"/>
                    <w:b/>
                    <w:bCs/>
                    <w:szCs w:val="24"/>
                    <w:lang w:eastAsia="lt-LT"/>
                  </w:rPr>
                </w:pPr>
                <w:r>
                  <w:rPr>
                    <w:rFonts w:eastAsia="Arial Unicode MS"/>
                    <w:b/>
                    <w:bCs/>
                    <w:szCs w:val="24"/>
                    <w:lang w:eastAsia="lt-LT"/>
                  </w:rPr>
                  <w:t>3 punktas</w:t>
                </w:r>
              </w:p>
              <w:p w14:paraId="0E5EC879" w14:textId="77777777">
                <w:pPr>
                  <w:widowControl w:val="0"/>
                  <w:suppressAutoHyphens/>
                  <w:jc w:val="both"/>
                  <w:rPr>
                    <w:rFonts w:eastAsia="Arial Unicode MS"/>
                    <w:szCs w:val="24"/>
                    <w:lang w:eastAsia="lt-LT"/>
                  </w:rPr>
                </w:pPr>
                <w:r>
                  <w:rPr>
                    <w:rFonts w:eastAsia="Arial Unicode MS"/>
                    <w:szCs w:val="24"/>
                    <w:lang w:eastAsia="lt-LT"/>
                  </w:rPr>
                  <w:t xml:space="preserve">3. Įmonių vadovai užtikrina, kad darbuotojai, dirbantys su F-dujomis ir OAM bei jų turinčia įranga, turėtų galiojančius pažymėjimus pagal darbuotojo atliekamas funkcijas. </w:t>
                </w:r>
              </w:p>
              <w:p w14:paraId="653D8CDE" w14:textId="77777777">
                <w:pPr>
                  <w:widowControl w:val="0"/>
                  <w:suppressAutoHyphens/>
                  <w:jc w:val="both"/>
                  <w:rPr>
                    <w:rFonts w:eastAsia="Arial Unicode MS"/>
                    <w:szCs w:val="24"/>
                    <w:lang w:eastAsia="lt-LT"/>
                  </w:rPr>
                </w:pPr>
              </w:p>
              <w:p w14:paraId="0552025C" w14:textId="77777777">
                <w:pPr>
                  <w:widowControl w:val="0"/>
                  <w:tabs>
                    <w:tab w:val="left" w:pos="470"/>
                  </w:tabs>
                  <w:suppressAutoHyphens/>
                  <w:jc w:val="both"/>
                  <w:rPr>
                    <w:rFonts w:eastAsia="Arial Unicode MS"/>
                    <w:b/>
                    <w:bCs/>
                    <w:szCs w:val="24"/>
                    <w:lang w:eastAsia="lt-LT"/>
                  </w:rPr>
                </w:pPr>
                <w:r>
                  <w:rPr>
                    <w:rFonts w:eastAsia="Arial Unicode MS"/>
                    <w:b/>
                    <w:bCs/>
                    <w:szCs w:val="24"/>
                    <w:lang w:eastAsia="lt-LT"/>
                  </w:rPr>
                  <w:t>Įsakymo projektas</w:t>
                </w:r>
              </w:p>
              <w:p w14:paraId="36313181" w14:textId="77777777">
                <w:pPr>
                  <w:widowControl w:val="0"/>
                  <w:tabs>
                    <w:tab w:val="left" w:pos="470"/>
                  </w:tabs>
                  <w:suppressAutoHyphens/>
                  <w:jc w:val="both"/>
                  <w:rPr>
                    <w:b/>
                    <w:bCs/>
                    <w:sz w:val="22"/>
                    <w:szCs w:val="22"/>
                  </w:rPr>
                </w:pPr>
                <w:r>
                  <w:rPr>
                    <w:rFonts w:eastAsia="Arial Unicode MS"/>
                    <w:b/>
                    <w:szCs w:val="24"/>
                    <w:lang w:eastAsia="lt-LT"/>
                  </w:rPr>
                  <w:t>Darbuotojų, dirbančių su fluorintomis šiltnamio efektą sukeliančiomis dujomis ir ozono sluoksnį ardančiomis medžiagomis bei jų turinčia įranga, atestavimo, sertifikavimo ir kvalifikacijos tobulinimo programų vykdymo tvarkos aprašas</w:t>
                </w:r>
              </w:p>
              <w:p w14:paraId="1844F08A" w14:textId="77777777">
                <w:pPr>
                  <w:widowControl w:val="0"/>
                  <w:suppressAutoHyphens/>
                  <w:jc w:val="both"/>
                  <w:rPr>
                    <w:rFonts w:eastAsia="Arial Unicode MS"/>
                    <w:b/>
                    <w:bCs/>
                    <w:szCs w:val="24"/>
                    <w:lang w:eastAsia="lt-LT"/>
                  </w:rPr>
                </w:pPr>
                <w:r>
                  <w:rPr>
                    <w:rFonts w:eastAsia="Arial Unicode MS"/>
                    <w:b/>
                    <w:bCs/>
                    <w:szCs w:val="24"/>
                    <w:lang w:eastAsia="lt-LT"/>
                  </w:rPr>
                  <w:t>6 punktas</w:t>
                </w:r>
              </w:p>
              <w:p w14:paraId="27CCAD55" w14:textId="77777777">
                <w:pPr>
                  <w:widowControl w:val="0"/>
                  <w:suppressAutoHyphens/>
                  <w:jc w:val="both"/>
                  <w:rPr>
                    <w:rFonts w:eastAsia="Arial Unicode MS"/>
                    <w:color w:val="000000"/>
                    <w:szCs w:val="24"/>
                    <w:lang w:eastAsia="lt-LT"/>
                  </w:rPr>
                </w:pPr>
                <w:r>
                  <w:rPr>
                    <w:rFonts w:eastAsia="Arial Unicode MS"/>
                    <w:szCs w:val="24"/>
                    <w:lang w:eastAsia="lt-LT"/>
                  </w:rPr>
                  <w:t xml:space="preserve">6. Kitos Europos Sąjungos valstybės narės ar Europos ekonominės erdvės valstybės (toliau </w:t>
                </w:r>
                <w:r>
                  <w:rPr>
                    <w:rFonts w:eastAsia="Arial Unicode MS"/>
                    <w:color w:val="000000"/>
                    <w:szCs w:val="24"/>
                    <w:lang w:eastAsia="lt-LT"/>
                  </w:rPr>
                  <w:t>– valstybė narė) piliečiai, kiti asmenys, kurie naudojasi Europos Sąjungos teisės aktų jiems suteiktomis judėjimo valstybėse narėse teisėmis, arba valstybėje narėje įsteigtų juridinių asmenų, kitų organizacijų ar jų padalinių darbuotojai gali vykdyti Tvarkos aprašo 4 punkte nurodytą veiklą turėdami valstybės narės išduotą pažymėjimą arba kitą dokumentą, suteikiantį teisę ją vykdyti.</w:t>
                </w:r>
              </w:p>
              <w:p w14:paraId="72226F7E" w14:textId="77777777">
                <w:pPr>
                  <w:widowControl w:val="0"/>
                  <w:suppressAutoHyphens/>
                  <w:jc w:val="both"/>
                  <w:rPr>
                    <w:rFonts w:eastAsia="Arial Unicode MS"/>
                    <w:szCs w:val="24"/>
                    <w:lang w:eastAsia="lt-LT"/>
                  </w:rPr>
                </w:pPr>
              </w:p>
            </w:tc>
            <w:tc>
              <w:tcPr>
                <w:tcW w:w="2126" w:type="dxa"/>
                <w:tcMar>
                  <w:top w:w="55" w:type="dxa"/>
                  <w:left w:w="55" w:type="dxa"/>
                  <w:bottom w:w="55" w:type="dxa"/>
                  <w:right w:w="55" w:type="dxa"/>
                </w:tcMar>
              </w:tcPr>
              <w:p w14:paraId="2E1C17E8" w14:textId="77777777">
                <w:pPr>
                  <w:widowControl w:val="0"/>
                  <w:tabs>
                    <w:tab w:val="left" w:pos="0"/>
                  </w:tabs>
                  <w:suppressAutoHyphens/>
                  <w:snapToGrid w:val="0"/>
                  <w:jc w:val="both"/>
                  <w:rPr>
                    <w:szCs w:val="24"/>
                    <w:lang w:eastAsia="ar-SA"/>
                  </w:rPr>
                </w:pPr>
                <w:r>
                  <w:rPr>
                    <w:szCs w:val="24"/>
                    <w:lang w:val="de-DE" w:eastAsia="ar-SA"/>
                  </w:rPr>
                  <w:t xml:space="preserve">Dalinis, nes sertifikavimo programa susijusi su </w:t>
                </w:r>
                <w:r>
                  <w:rPr>
                    <w:rFonts w:eastAsia="Arial Unicode MS"/>
                    <w:szCs w:val="24"/>
                    <w:lang w:eastAsia="lt-LT"/>
                  </w:rPr>
                  <w:t xml:space="preserve">stacionaria įranga, kurioje yra tirpiklių, kurių pagrindas yra fluorintos šiltnamio efektą sukeliančios dujos </w:t>
                </w:r>
                <w:r>
                  <w:rPr>
                    <w:szCs w:val="24"/>
                    <w:lang w:eastAsia="ar-SA"/>
                  </w:rPr>
                  <w:t xml:space="preserve">nėra parengta remiantis Reglamento </w:t>
                </w:r>
                <w:r>
                  <w:rPr>
                    <w:bCs/>
                    <w:szCs w:val="24"/>
                  </w:rPr>
                  <w:t>517/2014 10 straipsnio 14 dalies išimtimi (toliau – Reglamento 517/2014 10 str. 14 dalies išimtis).</w:t>
                </w:r>
              </w:p>
              <w:p w14:paraId="06CDDEC0" w14:textId="77777777">
                <w:pPr>
                  <w:widowControl w:val="0"/>
                  <w:tabs>
                    <w:tab w:val="left" w:pos="0"/>
                  </w:tabs>
                  <w:suppressAutoHyphens/>
                  <w:snapToGrid w:val="0"/>
                  <w:jc w:val="both"/>
                  <w:rPr>
                    <w:szCs w:val="24"/>
                    <w:lang w:val="de-DE" w:eastAsia="ar-SA"/>
                  </w:rPr>
                </w:pPr>
              </w:p>
              <w:p w14:paraId="22E71975" w14:textId="77777777">
                <w:pPr>
                  <w:widowControl w:val="0"/>
                  <w:tabs>
                    <w:tab w:val="left" w:pos="0"/>
                  </w:tabs>
                  <w:suppressAutoHyphens/>
                  <w:snapToGrid w:val="0"/>
                  <w:jc w:val="both"/>
                  <w:rPr>
                    <w:szCs w:val="24"/>
                    <w:u w:val="single"/>
                    <w:lang w:val="de-DE" w:eastAsia="ar-SA"/>
                  </w:rPr>
                </w:pPr>
              </w:p>
              <w:p w14:paraId="16C86FB4" w14:textId="77777777">
                <w:pPr>
                  <w:widowControl w:val="0"/>
                  <w:tabs>
                    <w:tab w:val="left" w:pos="0"/>
                  </w:tabs>
                  <w:suppressAutoHyphens/>
                  <w:snapToGrid w:val="0"/>
                  <w:jc w:val="both"/>
                  <w:rPr>
                    <w:szCs w:val="24"/>
                    <w:u w:val="single"/>
                    <w:lang w:val="de-DE" w:eastAsia="ar-SA"/>
                  </w:rPr>
                </w:pPr>
              </w:p>
              <w:p w14:paraId="227209D5" w14:textId="77777777">
                <w:pPr>
                  <w:widowControl w:val="0"/>
                  <w:tabs>
                    <w:tab w:val="left" w:pos="0"/>
                  </w:tabs>
                  <w:suppressAutoHyphens/>
                  <w:snapToGrid w:val="0"/>
                  <w:jc w:val="both"/>
                  <w:rPr>
                    <w:szCs w:val="24"/>
                    <w:u w:val="single"/>
                    <w:lang w:val="de-DE" w:eastAsia="ar-SA"/>
                  </w:rPr>
                </w:pPr>
              </w:p>
              <w:p w14:paraId="0BF00820" w14:textId="77777777">
                <w:pPr>
                  <w:widowControl w:val="0"/>
                  <w:tabs>
                    <w:tab w:val="left" w:pos="0"/>
                  </w:tabs>
                  <w:suppressAutoHyphens/>
                  <w:snapToGrid w:val="0"/>
                  <w:jc w:val="both"/>
                  <w:rPr>
                    <w:szCs w:val="24"/>
                    <w:u w:val="single"/>
                    <w:lang w:val="de-DE" w:eastAsia="ar-SA"/>
                  </w:rPr>
                </w:pPr>
              </w:p>
              <w:p w14:paraId="12745BA4" w14:textId="77777777">
                <w:pPr>
                  <w:widowControl w:val="0"/>
                  <w:tabs>
                    <w:tab w:val="left" w:pos="0"/>
                  </w:tabs>
                  <w:suppressAutoHyphens/>
                  <w:snapToGrid w:val="0"/>
                  <w:jc w:val="both"/>
                  <w:rPr>
                    <w:szCs w:val="24"/>
                    <w:u w:val="single"/>
                    <w:lang w:val="de-DE" w:eastAsia="ar-SA"/>
                  </w:rPr>
                </w:pPr>
              </w:p>
              <w:p w14:paraId="14EC55E8" w14:textId="77777777">
                <w:pPr>
                  <w:widowControl w:val="0"/>
                  <w:tabs>
                    <w:tab w:val="left" w:pos="0"/>
                  </w:tabs>
                  <w:suppressAutoHyphens/>
                  <w:snapToGrid w:val="0"/>
                  <w:jc w:val="both"/>
                  <w:rPr>
                    <w:szCs w:val="24"/>
                    <w:u w:val="single"/>
                    <w:lang w:val="de-DE" w:eastAsia="ar-SA"/>
                  </w:rPr>
                </w:pPr>
              </w:p>
              <w:p w14:paraId="49A86904" w14:textId="77777777">
                <w:pPr>
                  <w:widowControl w:val="0"/>
                  <w:tabs>
                    <w:tab w:val="left" w:pos="0"/>
                  </w:tabs>
                  <w:suppressAutoHyphens/>
                  <w:snapToGrid w:val="0"/>
                  <w:jc w:val="both"/>
                  <w:rPr>
                    <w:szCs w:val="24"/>
                    <w:u w:val="single"/>
                    <w:lang w:val="de-DE" w:eastAsia="ar-SA"/>
                  </w:rPr>
                </w:pPr>
              </w:p>
              <w:p w14:paraId="5CD1A015" w14:textId="77777777">
                <w:pPr>
                  <w:widowControl w:val="0"/>
                  <w:tabs>
                    <w:tab w:val="left" w:pos="0"/>
                  </w:tabs>
                  <w:suppressAutoHyphens/>
                  <w:snapToGrid w:val="0"/>
                  <w:jc w:val="both"/>
                  <w:rPr>
                    <w:szCs w:val="24"/>
                    <w:u w:val="single"/>
                    <w:lang w:val="de-DE" w:eastAsia="ar-SA"/>
                  </w:rPr>
                </w:pPr>
              </w:p>
              <w:p w14:paraId="70F73977" w14:textId="77777777">
                <w:pPr>
                  <w:widowControl w:val="0"/>
                  <w:tabs>
                    <w:tab w:val="left" w:pos="0"/>
                  </w:tabs>
                  <w:suppressAutoHyphens/>
                  <w:snapToGrid w:val="0"/>
                  <w:jc w:val="both"/>
                  <w:rPr>
                    <w:szCs w:val="24"/>
                    <w:u w:val="single"/>
                    <w:lang w:val="de-DE" w:eastAsia="ar-SA"/>
                  </w:rPr>
                </w:pPr>
              </w:p>
              <w:p w14:paraId="57648363" w14:textId="77777777">
                <w:pPr>
                  <w:widowControl w:val="0"/>
                  <w:tabs>
                    <w:tab w:val="left" w:pos="0"/>
                  </w:tabs>
                  <w:suppressAutoHyphens/>
                  <w:snapToGrid w:val="0"/>
                  <w:jc w:val="both"/>
                  <w:rPr>
                    <w:szCs w:val="24"/>
                    <w:u w:val="single"/>
                    <w:lang w:val="de-DE" w:eastAsia="ar-SA"/>
                  </w:rPr>
                </w:pPr>
              </w:p>
              <w:p w14:paraId="4611623A" w14:textId="77777777">
                <w:pPr>
                  <w:widowControl w:val="0"/>
                  <w:tabs>
                    <w:tab w:val="left" w:pos="0"/>
                  </w:tabs>
                  <w:suppressAutoHyphens/>
                  <w:snapToGrid w:val="0"/>
                  <w:jc w:val="both"/>
                  <w:rPr>
                    <w:szCs w:val="24"/>
                    <w:u w:val="single"/>
                    <w:lang w:val="de-DE" w:eastAsia="ar-SA"/>
                  </w:rPr>
                </w:pPr>
              </w:p>
              <w:p w14:paraId="23F22F2D" w14:textId="77777777">
                <w:pPr>
                  <w:widowControl w:val="0"/>
                  <w:tabs>
                    <w:tab w:val="left" w:pos="0"/>
                  </w:tabs>
                  <w:suppressAutoHyphens/>
                  <w:snapToGrid w:val="0"/>
                  <w:jc w:val="both"/>
                  <w:rPr>
                    <w:szCs w:val="24"/>
                    <w:u w:val="single"/>
                    <w:lang w:val="de-DE" w:eastAsia="ar-SA"/>
                  </w:rPr>
                </w:pPr>
              </w:p>
              <w:p w14:paraId="1D089E9A" w14:textId="77777777">
                <w:pPr>
                  <w:widowControl w:val="0"/>
                  <w:tabs>
                    <w:tab w:val="left" w:pos="0"/>
                  </w:tabs>
                  <w:suppressAutoHyphens/>
                  <w:snapToGrid w:val="0"/>
                  <w:jc w:val="both"/>
                  <w:rPr>
                    <w:szCs w:val="24"/>
                    <w:u w:val="single"/>
                    <w:lang w:val="de-DE" w:eastAsia="ar-SA"/>
                  </w:rPr>
                </w:pPr>
              </w:p>
              <w:p w14:paraId="6EB937D5" w14:textId="77777777">
                <w:pPr>
                  <w:widowControl w:val="0"/>
                  <w:tabs>
                    <w:tab w:val="left" w:pos="0"/>
                  </w:tabs>
                  <w:suppressAutoHyphens/>
                  <w:snapToGrid w:val="0"/>
                  <w:jc w:val="both"/>
                  <w:rPr>
                    <w:szCs w:val="24"/>
                    <w:lang w:val="de-DE" w:eastAsia="ar-SA"/>
                  </w:rPr>
                </w:pPr>
              </w:p>
              <w:p w14:paraId="529FE7EE" w14:textId="77777777">
                <w:pPr>
                  <w:widowControl w:val="0"/>
                  <w:tabs>
                    <w:tab w:val="left" w:pos="0"/>
                  </w:tabs>
                  <w:suppressAutoHyphens/>
                  <w:snapToGrid w:val="0"/>
                  <w:jc w:val="both"/>
                  <w:rPr>
                    <w:szCs w:val="24"/>
                    <w:lang w:val="de-DE" w:eastAsia="ar-SA"/>
                  </w:rPr>
                </w:pPr>
                <w:r>
                  <w:rPr>
                    <w:szCs w:val="24"/>
                    <w:lang w:val="de-DE" w:eastAsia="ar-SA"/>
                  </w:rPr>
                  <w:t>Visiškas</w:t>
                </w:r>
              </w:p>
              <w:p w14:paraId="5B91718C" w14:textId="77777777">
                <w:pPr>
                  <w:widowControl w:val="0"/>
                  <w:tabs>
                    <w:tab w:val="left" w:pos="0"/>
                  </w:tabs>
                  <w:suppressAutoHyphens/>
                  <w:snapToGrid w:val="0"/>
                  <w:jc w:val="both"/>
                  <w:rPr>
                    <w:szCs w:val="24"/>
                    <w:lang w:val="de-DE" w:eastAsia="ar-SA"/>
                  </w:rPr>
                </w:pPr>
              </w:p>
              <w:p w14:paraId="75BDEAC3" w14:textId="77777777">
                <w:pPr>
                  <w:widowControl w:val="0"/>
                  <w:tabs>
                    <w:tab w:val="left" w:pos="0"/>
                  </w:tabs>
                  <w:suppressAutoHyphens/>
                  <w:snapToGrid w:val="0"/>
                  <w:jc w:val="both"/>
                  <w:rPr>
                    <w:szCs w:val="24"/>
                    <w:lang w:val="de-DE" w:eastAsia="ar-SA"/>
                  </w:rPr>
                </w:pPr>
              </w:p>
              <w:p w14:paraId="11E4320E" w14:textId="77777777">
                <w:pPr>
                  <w:widowControl w:val="0"/>
                  <w:tabs>
                    <w:tab w:val="left" w:pos="0"/>
                  </w:tabs>
                  <w:suppressAutoHyphens/>
                  <w:snapToGrid w:val="0"/>
                  <w:jc w:val="both"/>
                  <w:rPr>
                    <w:szCs w:val="24"/>
                    <w:lang w:val="de-DE" w:eastAsia="ar-SA"/>
                  </w:rPr>
                </w:pPr>
              </w:p>
              <w:p w14:paraId="7A60F642" w14:textId="77777777">
                <w:pPr>
                  <w:widowControl w:val="0"/>
                  <w:tabs>
                    <w:tab w:val="left" w:pos="0"/>
                  </w:tabs>
                  <w:suppressAutoHyphens/>
                  <w:snapToGrid w:val="0"/>
                  <w:jc w:val="both"/>
                  <w:rPr>
                    <w:szCs w:val="24"/>
                    <w:lang w:val="de-DE" w:eastAsia="ar-SA"/>
                  </w:rPr>
                </w:pPr>
              </w:p>
              <w:p w14:paraId="74D44480" w14:textId="77777777">
                <w:pPr>
                  <w:widowControl w:val="0"/>
                  <w:tabs>
                    <w:tab w:val="left" w:pos="0"/>
                  </w:tabs>
                  <w:suppressAutoHyphens/>
                  <w:snapToGrid w:val="0"/>
                  <w:jc w:val="both"/>
                  <w:rPr>
                    <w:szCs w:val="24"/>
                    <w:lang w:val="de-DE" w:eastAsia="ar-SA"/>
                  </w:rPr>
                </w:pPr>
              </w:p>
              <w:p w14:paraId="0E54CC87" w14:textId="77777777">
                <w:pPr>
                  <w:widowControl w:val="0"/>
                  <w:tabs>
                    <w:tab w:val="left" w:pos="0"/>
                  </w:tabs>
                  <w:suppressAutoHyphens/>
                  <w:snapToGrid w:val="0"/>
                  <w:jc w:val="both"/>
                  <w:rPr>
                    <w:szCs w:val="24"/>
                    <w:lang w:val="de-DE" w:eastAsia="ar-SA"/>
                  </w:rPr>
                </w:pPr>
              </w:p>
              <w:p w14:paraId="66370B6A" w14:textId="77777777">
                <w:pPr>
                  <w:widowControl w:val="0"/>
                  <w:tabs>
                    <w:tab w:val="left" w:pos="0"/>
                  </w:tabs>
                  <w:suppressAutoHyphens/>
                  <w:snapToGrid w:val="0"/>
                  <w:jc w:val="both"/>
                  <w:rPr>
                    <w:szCs w:val="24"/>
                    <w:lang w:val="de-DE" w:eastAsia="ar-SA"/>
                  </w:rPr>
                </w:pPr>
              </w:p>
              <w:p w14:paraId="68BDE06F" w14:textId="77777777">
                <w:pPr>
                  <w:widowControl w:val="0"/>
                  <w:tabs>
                    <w:tab w:val="left" w:pos="0"/>
                  </w:tabs>
                  <w:suppressAutoHyphens/>
                  <w:snapToGrid w:val="0"/>
                  <w:jc w:val="both"/>
                  <w:rPr>
                    <w:szCs w:val="24"/>
                    <w:lang w:val="de-DE" w:eastAsia="ar-SA"/>
                  </w:rPr>
                </w:pPr>
              </w:p>
              <w:p w14:paraId="5757F6FD" w14:textId="77777777">
                <w:pPr>
                  <w:widowControl w:val="0"/>
                  <w:tabs>
                    <w:tab w:val="left" w:pos="0"/>
                  </w:tabs>
                  <w:suppressAutoHyphens/>
                  <w:snapToGrid w:val="0"/>
                  <w:jc w:val="both"/>
                  <w:rPr>
                    <w:szCs w:val="24"/>
                    <w:lang w:val="de-DE" w:eastAsia="ar-SA"/>
                  </w:rPr>
                </w:pPr>
              </w:p>
              <w:p w14:paraId="64AB1AA1" w14:textId="77777777">
                <w:pPr>
                  <w:widowControl w:val="0"/>
                  <w:tabs>
                    <w:tab w:val="left" w:pos="0"/>
                  </w:tabs>
                  <w:suppressAutoHyphens/>
                  <w:snapToGrid w:val="0"/>
                  <w:jc w:val="both"/>
                  <w:rPr>
                    <w:szCs w:val="24"/>
                    <w:lang w:val="de-DE" w:eastAsia="ar-SA"/>
                  </w:rPr>
                </w:pPr>
              </w:p>
              <w:p w14:paraId="132980B6" w14:textId="77777777">
                <w:pPr>
                  <w:widowControl w:val="0"/>
                  <w:tabs>
                    <w:tab w:val="left" w:pos="0"/>
                  </w:tabs>
                  <w:suppressAutoHyphens/>
                  <w:snapToGrid w:val="0"/>
                  <w:jc w:val="both"/>
                  <w:rPr>
                    <w:szCs w:val="24"/>
                    <w:lang w:val="de-DE" w:eastAsia="ar-SA"/>
                  </w:rPr>
                </w:pPr>
              </w:p>
              <w:p w14:paraId="3A3B8103" w14:textId="77777777">
                <w:pPr>
                  <w:widowControl w:val="0"/>
                  <w:tabs>
                    <w:tab w:val="left" w:pos="0"/>
                  </w:tabs>
                  <w:suppressAutoHyphens/>
                  <w:snapToGrid w:val="0"/>
                  <w:jc w:val="both"/>
                  <w:rPr>
                    <w:szCs w:val="24"/>
                    <w:lang w:val="de-DE" w:eastAsia="ar-SA"/>
                  </w:rPr>
                </w:pPr>
              </w:p>
              <w:p w14:paraId="17D12117" w14:textId="77777777">
                <w:pPr>
                  <w:widowControl w:val="0"/>
                  <w:tabs>
                    <w:tab w:val="left" w:pos="0"/>
                  </w:tabs>
                  <w:suppressAutoHyphens/>
                  <w:snapToGrid w:val="0"/>
                  <w:jc w:val="both"/>
                  <w:rPr>
                    <w:szCs w:val="24"/>
                    <w:lang w:eastAsia="ar-SA"/>
                  </w:rPr>
                </w:pPr>
                <w:r>
                  <w:rPr>
                    <w:szCs w:val="24"/>
                    <w:lang w:val="de-DE" w:eastAsia="ar-SA"/>
                  </w:rPr>
                  <w:t>Dalinis</w:t>
                </w:r>
                <w:r>
                  <w:rPr>
                    <w:szCs w:val="24"/>
                    <w:lang w:eastAsia="ar-SA"/>
                  </w:rPr>
                  <w:t xml:space="preserve">, pagal </w:t>
                </w:r>
                <w:r>
                  <w:rPr>
                    <w:bCs/>
                    <w:szCs w:val="24"/>
                  </w:rPr>
                  <w:t>Reglamento 517/2014 10 str. 14 dalies išimtį</w:t>
                </w:r>
              </w:p>
              <w:p w14:paraId="4CEF3065" w14:textId="77777777">
                <w:pPr>
                  <w:widowControl w:val="0"/>
                  <w:tabs>
                    <w:tab w:val="left" w:pos="0"/>
                  </w:tabs>
                  <w:suppressAutoHyphens/>
                  <w:snapToGrid w:val="0"/>
                  <w:jc w:val="both"/>
                  <w:rPr>
                    <w:szCs w:val="24"/>
                    <w:lang w:eastAsia="ar-SA"/>
                  </w:rPr>
                </w:pPr>
              </w:p>
              <w:p w14:paraId="0F205FA5" w14:textId="77777777">
                <w:pPr>
                  <w:widowControl w:val="0"/>
                  <w:tabs>
                    <w:tab w:val="left" w:pos="0"/>
                  </w:tabs>
                  <w:suppressAutoHyphens/>
                  <w:snapToGrid w:val="0"/>
                  <w:jc w:val="both"/>
                  <w:rPr>
                    <w:szCs w:val="24"/>
                    <w:lang w:eastAsia="ar-SA"/>
                  </w:rPr>
                </w:pPr>
              </w:p>
              <w:p w14:paraId="68020552" w14:textId="77777777">
                <w:pPr>
                  <w:widowControl w:val="0"/>
                  <w:tabs>
                    <w:tab w:val="left" w:pos="0"/>
                  </w:tabs>
                  <w:suppressAutoHyphens/>
                  <w:snapToGrid w:val="0"/>
                  <w:jc w:val="both"/>
                  <w:rPr>
                    <w:szCs w:val="24"/>
                    <w:lang w:eastAsia="ar-SA"/>
                  </w:rPr>
                </w:pPr>
              </w:p>
              <w:p w14:paraId="30930676" w14:textId="77777777">
                <w:pPr>
                  <w:widowControl w:val="0"/>
                  <w:tabs>
                    <w:tab w:val="left" w:pos="0"/>
                  </w:tabs>
                  <w:suppressAutoHyphens/>
                  <w:snapToGrid w:val="0"/>
                  <w:jc w:val="both"/>
                  <w:rPr>
                    <w:szCs w:val="24"/>
                    <w:lang w:eastAsia="ar-SA"/>
                  </w:rPr>
                </w:pPr>
              </w:p>
              <w:p w14:paraId="136BB762" w14:textId="77777777">
                <w:pPr>
                  <w:widowControl w:val="0"/>
                  <w:tabs>
                    <w:tab w:val="left" w:pos="0"/>
                  </w:tabs>
                  <w:suppressAutoHyphens/>
                  <w:snapToGrid w:val="0"/>
                  <w:jc w:val="both"/>
                  <w:rPr>
                    <w:szCs w:val="24"/>
                    <w:lang w:eastAsia="ar-SA"/>
                  </w:rPr>
                </w:pPr>
              </w:p>
              <w:p w14:paraId="2666EE44" w14:textId="77777777">
                <w:pPr>
                  <w:widowControl w:val="0"/>
                  <w:tabs>
                    <w:tab w:val="left" w:pos="0"/>
                  </w:tabs>
                  <w:suppressAutoHyphens/>
                  <w:snapToGrid w:val="0"/>
                  <w:jc w:val="both"/>
                  <w:rPr>
                    <w:szCs w:val="24"/>
                    <w:lang w:eastAsia="ar-SA"/>
                  </w:rPr>
                </w:pPr>
              </w:p>
              <w:p w14:paraId="55CF5B01" w14:textId="77777777">
                <w:pPr>
                  <w:widowControl w:val="0"/>
                  <w:tabs>
                    <w:tab w:val="left" w:pos="0"/>
                  </w:tabs>
                  <w:suppressAutoHyphens/>
                  <w:snapToGrid w:val="0"/>
                  <w:jc w:val="both"/>
                  <w:rPr>
                    <w:szCs w:val="24"/>
                    <w:lang w:eastAsia="ar-SA"/>
                  </w:rPr>
                </w:pPr>
              </w:p>
              <w:p w14:paraId="0EE306F7" w14:textId="77777777">
                <w:pPr>
                  <w:widowControl w:val="0"/>
                  <w:tabs>
                    <w:tab w:val="left" w:pos="0"/>
                  </w:tabs>
                  <w:suppressAutoHyphens/>
                  <w:snapToGrid w:val="0"/>
                  <w:jc w:val="both"/>
                  <w:rPr>
                    <w:szCs w:val="24"/>
                    <w:lang w:eastAsia="ar-SA"/>
                  </w:rPr>
                </w:pPr>
              </w:p>
              <w:p w14:paraId="368EDDCA" w14:textId="77777777">
                <w:pPr>
                  <w:widowControl w:val="0"/>
                  <w:tabs>
                    <w:tab w:val="left" w:pos="0"/>
                  </w:tabs>
                  <w:suppressAutoHyphens/>
                  <w:snapToGrid w:val="0"/>
                  <w:jc w:val="both"/>
                  <w:rPr>
                    <w:szCs w:val="24"/>
                    <w:lang w:eastAsia="ar-SA"/>
                  </w:rPr>
                </w:pPr>
              </w:p>
              <w:p w14:paraId="21DF60BB" w14:textId="77777777">
                <w:pPr>
                  <w:widowControl w:val="0"/>
                  <w:tabs>
                    <w:tab w:val="left" w:pos="0"/>
                  </w:tabs>
                  <w:suppressAutoHyphens/>
                  <w:snapToGrid w:val="0"/>
                  <w:jc w:val="both"/>
                  <w:rPr>
                    <w:szCs w:val="24"/>
                    <w:lang w:eastAsia="ar-SA"/>
                  </w:rPr>
                </w:pPr>
              </w:p>
              <w:p w14:paraId="118EB151" w14:textId="77777777">
                <w:pPr>
                  <w:widowControl w:val="0"/>
                  <w:tabs>
                    <w:tab w:val="left" w:pos="0"/>
                  </w:tabs>
                  <w:suppressAutoHyphens/>
                  <w:snapToGrid w:val="0"/>
                  <w:jc w:val="both"/>
                  <w:rPr>
                    <w:szCs w:val="24"/>
                    <w:lang w:eastAsia="ar-SA"/>
                  </w:rPr>
                </w:pPr>
              </w:p>
              <w:p w14:paraId="2A351990" w14:textId="77777777">
                <w:pPr>
                  <w:widowControl w:val="0"/>
                  <w:tabs>
                    <w:tab w:val="left" w:pos="0"/>
                  </w:tabs>
                  <w:suppressAutoHyphens/>
                  <w:snapToGrid w:val="0"/>
                  <w:jc w:val="both"/>
                  <w:rPr>
                    <w:szCs w:val="24"/>
                    <w:lang w:eastAsia="ar-SA"/>
                  </w:rPr>
                </w:pPr>
              </w:p>
              <w:p w14:paraId="52227870" w14:textId="77777777">
                <w:pPr>
                  <w:widowControl w:val="0"/>
                  <w:tabs>
                    <w:tab w:val="left" w:pos="0"/>
                  </w:tabs>
                  <w:suppressAutoHyphens/>
                  <w:snapToGrid w:val="0"/>
                  <w:jc w:val="both"/>
                  <w:rPr>
                    <w:szCs w:val="24"/>
                    <w:lang w:eastAsia="ar-SA"/>
                  </w:rPr>
                </w:pPr>
              </w:p>
              <w:p w14:paraId="0F733356" w14:textId="77777777">
                <w:pPr>
                  <w:widowControl w:val="0"/>
                  <w:tabs>
                    <w:tab w:val="left" w:pos="0"/>
                  </w:tabs>
                  <w:suppressAutoHyphens/>
                  <w:snapToGrid w:val="0"/>
                  <w:jc w:val="both"/>
                  <w:rPr>
                    <w:szCs w:val="24"/>
                    <w:lang w:eastAsia="ar-SA"/>
                  </w:rPr>
                </w:pPr>
              </w:p>
              <w:p w14:paraId="51852B21" w14:textId="77777777">
                <w:pPr>
                  <w:widowControl w:val="0"/>
                  <w:tabs>
                    <w:tab w:val="left" w:pos="0"/>
                  </w:tabs>
                  <w:suppressAutoHyphens/>
                  <w:snapToGrid w:val="0"/>
                  <w:jc w:val="both"/>
                  <w:rPr>
                    <w:szCs w:val="24"/>
                    <w:lang w:eastAsia="ar-SA"/>
                  </w:rPr>
                </w:pPr>
              </w:p>
              <w:p w14:paraId="7CD4765D" w14:textId="77777777">
                <w:pPr>
                  <w:widowControl w:val="0"/>
                  <w:tabs>
                    <w:tab w:val="left" w:pos="0"/>
                  </w:tabs>
                  <w:suppressAutoHyphens/>
                  <w:snapToGrid w:val="0"/>
                  <w:jc w:val="both"/>
                  <w:rPr>
                    <w:szCs w:val="24"/>
                    <w:lang w:eastAsia="ar-SA"/>
                  </w:rPr>
                </w:pPr>
              </w:p>
              <w:p w14:paraId="7DCDC4C5" w14:textId="77777777">
                <w:pPr>
                  <w:widowControl w:val="0"/>
                  <w:tabs>
                    <w:tab w:val="left" w:pos="0"/>
                  </w:tabs>
                  <w:suppressAutoHyphens/>
                  <w:snapToGrid w:val="0"/>
                  <w:jc w:val="both"/>
                  <w:rPr>
                    <w:bCs/>
                    <w:szCs w:val="24"/>
                  </w:rPr>
                </w:pPr>
                <w:r>
                  <w:rPr>
                    <w:szCs w:val="24"/>
                    <w:lang w:eastAsia="ar-SA"/>
                  </w:rPr>
                  <w:t xml:space="preserve">Dalinis, pagal </w:t>
                </w:r>
                <w:r>
                  <w:rPr>
                    <w:bCs/>
                    <w:szCs w:val="24"/>
                  </w:rPr>
                  <w:t>Reglamento 517/2014 10 str. 14 dalies išimtį</w:t>
                </w:r>
              </w:p>
              <w:p w14:paraId="5A02A47D" w14:textId="77777777">
                <w:pPr>
                  <w:widowControl w:val="0"/>
                  <w:suppressAutoHyphens/>
                  <w:rPr>
                    <w:szCs w:val="24"/>
                    <w:lang w:eastAsia="ar-SA"/>
                  </w:rPr>
                </w:pPr>
              </w:p>
              <w:p w14:paraId="326D310B" w14:textId="77777777">
                <w:pPr>
                  <w:widowControl w:val="0"/>
                  <w:suppressAutoHyphens/>
                  <w:rPr>
                    <w:bCs/>
                    <w:szCs w:val="24"/>
                  </w:rPr>
                </w:pPr>
              </w:p>
              <w:p w14:paraId="21FF4079" w14:textId="77777777">
                <w:pPr>
                  <w:widowControl w:val="0"/>
                  <w:suppressAutoHyphens/>
                  <w:rPr>
                    <w:bCs/>
                    <w:szCs w:val="24"/>
                  </w:rPr>
                </w:pPr>
              </w:p>
              <w:p w14:paraId="585934C0" w14:textId="77777777">
                <w:pPr>
                  <w:widowControl w:val="0"/>
                  <w:suppressAutoHyphens/>
                  <w:rPr>
                    <w:bCs/>
                    <w:szCs w:val="24"/>
                  </w:rPr>
                </w:pPr>
              </w:p>
              <w:p w14:paraId="71499EEF" w14:textId="77777777">
                <w:pPr>
                  <w:widowControl w:val="0"/>
                  <w:suppressAutoHyphens/>
                  <w:rPr>
                    <w:bCs/>
                    <w:szCs w:val="24"/>
                  </w:rPr>
                </w:pPr>
              </w:p>
              <w:p w14:paraId="30633A53" w14:textId="77777777">
                <w:pPr>
                  <w:widowControl w:val="0"/>
                  <w:suppressAutoHyphens/>
                  <w:rPr>
                    <w:bCs/>
                    <w:szCs w:val="24"/>
                  </w:rPr>
                </w:pPr>
              </w:p>
              <w:p w14:paraId="69C15399" w14:textId="77777777">
                <w:pPr>
                  <w:widowControl w:val="0"/>
                  <w:suppressAutoHyphens/>
                  <w:rPr>
                    <w:bCs/>
                    <w:szCs w:val="24"/>
                  </w:rPr>
                </w:pPr>
                <w:r>
                  <w:rPr>
                    <w:bCs/>
                    <w:szCs w:val="24"/>
                  </w:rPr>
                  <w:t>Dalinis, pagal Reglamento 517/2014 10 str. 14 dalies išimtį</w:t>
                </w:r>
              </w:p>
              <w:p w14:paraId="38B0FF6E" w14:textId="77777777">
                <w:pPr>
                  <w:widowControl w:val="0"/>
                  <w:suppressAutoHyphens/>
                  <w:rPr>
                    <w:bCs/>
                    <w:szCs w:val="24"/>
                  </w:rPr>
                </w:pPr>
              </w:p>
              <w:p w14:paraId="7943F98C" w14:textId="77777777">
                <w:pPr>
                  <w:widowControl w:val="0"/>
                  <w:suppressAutoHyphens/>
                  <w:rPr>
                    <w:bCs/>
                    <w:szCs w:val="24"/>
                  </w:rPr>
                </w:pPr>
              </w:p>
              <w:p w14:paraId="3FC960DA" w14:textId="77777777">
                <w:pPr>
                  <w:widowControl w:val="0"/>
                  <w:suppressAutoHyphens/>
                  <w:rPr>
                    <w:bCs/>
                    <w:szCs w:val="24"/>
                  </w:rPr>
                </w:pPr>
              </w:p>
              <w:p w14:paraId="2B9561BD" w14:textId="77777777">
                <w:pPr>
                  <w:widowControl w:val="0"/>
                  <w:suppressAutoHyphens/>
                  <w:rPr>
                    <w:bCs/>
                    <w:szCs w:val="24"/>
                  </w:rPr>
                </w:pPr>
              </w:p>
              <w:p w14:paraId="1CD361A2" w14:textId="77777777">
                <w:pPr>
                  <w:widowControl w:val="0"/>
                  <w:suppressAutoHyphens/>
                  <w:rPr>
                    <w:bCs/>
                    <w:szCs w:val="24"/>
                  </w:rPr>
                </w:pPr>
              </w:p>
              <w:p w14:paraId="745552C0" w14:textId="77777777">
                <w:pPr>
                  <w:widowControl w:val="0"/>
                  <w:suppressAutoHyphens/>
                  <w:rPr>
                    <w:bCs/>
                    <w:szCs w:val="24"/>
                  </w:rPr>
                </w:pPr>
              </w:p>
              <w:p w14:paraId="085473DC" w14:textId="77777777">
                <w:pPr>
                  <w:widowControl w:val="0"/>
                  <w:suppressAutoHyphens/>
                  <w:rPr>
                    <w:bCs/>
                    <w:szCs w:val="24"/>
                  </w:rPr>
                </w:pPr>
              </w:p>
              <w:p w14:paraId="2AED65D0" w14:textId="77777777">
                <w:pPr>
                  <w:widowControl w:val="0"/>
                  <w:suppressAutoHyphens/>
                  <w:rPr>
                    <w:bCs/>
                    <w:szCs w:val="24"/>
                  </w:rPr>
                </w:pPr>
              </w:p>
              <w:p w14:paraId="70679A73" w14:textId="77777777">
                <w:pPr>
                  <w:widowControl w:val="0"/>
                  <w:suppressAutoHyphens/>
                  <w:rPr>
                    <w:bCs/>
                    <w:szCs w:val="24"/>
                  </w:rPr>
                </w:pPr>
              </w:p>
              <w:p w14:paraId="519D2F54" w14:textId="77777777">
                <w:pPr>
                  <w:widowControl w:val="0"/>
                  <w:suppressAutoHyphens/>
                  <w:rPr>
                    <w:bCs/>
                    <w:szCs w:val="24"/>
                  </w:rPr>
                </w:pPr>
              </w:p>
              <w:p w14:paraId="162D859B" w14:textId="77777777">
                <w:pPr>
                  <w:widowControl w:val="0"/>
                  <w:suppressAutoHyphens/>
                  <w:rPr>
                    <w:bCs/>
                    <w:szCs w:val="24"/>
                  </w:rPr>
                </w:pPr>
              </w:p>
              <w:p w14:paraId="6B6B47D9" w14:textId="77777777">
                <w:pPr>
                  <w:widowControl w:val="0"/>
                  <w:suppressAutoHyphens/>
                  <w:rPr>
                    <w:bCs/>
                    <w:szCs w:val="24"/>
                  </w:rPr>
                </w:pPr>
              </w:p>
              <w:p w14:paraId="0DB0470C" w14:textId="77777777">
                <w:pPr>
                  <w:widowControl w:val="0"/>
                  <w:suppressAutoHyphens/>
                  <w:rPr>
                    <w:bCs/>
                    <w:szCs w:val="24"/>
                  </w:rPr>
                </w:pPr>
              </w:p>
              <w:p w14:paraId="3EA24A89" w14:textId="77777777">
                <w:pPr>
                  <w:widowControl w:val="0"/>
                  <w:suppressAutoHyphens/>
                  <w:rPr>
                    <w:bCs/>
                    <w:szCs w:val="24"/>
                  </w:rPr>
                </w:pPr>
              </w:p>
              <w:p w14:paraId="731245EE" w14:textId="77777777">
                <w:pPr>
                  <w:widowControl w:val="0"/>
                  <w:suppressAutoHyphens/>
                  <w:rPr>
                    <w:bCs/>
                    <w:szCs w:val="24"/>
                  </w:rPr>
                </w:pPr>
              </w:p>
              <w:p w14:paraId="1F11A556" w14:textId="77777777">
                <w:pPr>
                  <w:widowControl w:val="0"/>
                  <w:suppressAutoHyphens/>
                  <w:rPr>
                    <w:bCs/>
                    <w:szCs w:val="24"/>
                  </w:rPr>
                </w:pPr>
              </w:p>
              <w:p w14:paraId="0300A10C" w14:textId="77777777">
                <w:pPr>
                  <w:widowControl w:val="0"/>
                  <w:suppressAutoHyphens/>
                  <w:rPr>
                    <w:bCs/>
                    <w:szCs w:val="24"/>
                  </w:rPr>
                </w:pPr>
              </w:p>
              <w:p w14:paraId="4A2F03CE" w14:textId="77777777">
                <w:pPr>
                  <w:widowControl w:val="0"/>
                  <w:suppressAutoHyphens/>
                  <w:rPr>
                    <w:bCs/>
                    <w:szCs w:val="24"/>
                  </w:rPr>
                </w:pPr>
              </w:p>
              <w:p w14:paraId="08B1C365" w14:textId="77777777">
                <w:pPr>
                  <w:widowControl w:val="0"/>
                  <w:suppressAutoHyphens/>
                  <w:rPr>
                    <w:bCs/>
                    <w:szCs w:val="24"/>
                  </w:rPr>
                </w:pPr>
              </w:p>
              <w:p w14:paraId="26A19DBC" w14:textId="77777777">
                <w:pPr>
                  <w:widowControl w:val="0"/>
                  <w:suppressAutoHyphens/>
                  <w:rPr>
                    <w:bCs/>
                    <w:szCs w:val="24"/>
                  </w:rPr>
                </w:pPr>
              </w:p>
              <w:p w14:paraId="212CF6F0" w14:textId="77777777">
                <w:pPr>
                  <w:widowControl w:val="0"/>
                  <w:suppressAutoHyphens/>
                  <w:rPr>
                    <w:bCs/>
                    <w:szCs w:val="24"/>
                  </w:rPr>
                </w:pPr>
              </w:p>
              <w:p w14:paraId="550A0D28" w14:textId="77777777">
                <w:pPr>
                  <w:widowControl w:val="0"/>
                  <w:suppressAutoHyphens/>
                  <w:rPr>
                    <w:bCs/>
                    <w:szCs w:val="24"/>
                  </w:rPr>
                </w:pPr>
              </w:p>
              <w:p w14:paraId="7DA7ABAB" w14:textId="77777777">
                <w:pPr>
                  <w:widowControl w:val="0"/>
                  <w:suppressAutoHyphens/>
                  <w:rPr>
                    <w:bCs/>
                    <w:szCs w:val="24"/>
                  </w:rPr>
                </w:pPr>
              </w:p>
              <w:p w14:paraId="2471ADCB" w14:textId="77777777">
                <w:pPr>
                  <w:widowControl w:val="0"/>
                  <w:suppressAutoHyphens/>
                  <w:rPr>
                    <w:bCs/>
                    <w:szCs w:val="24"/>
                  </w:rPr>
                </w:pPr>
                <w:r>
                  <w:rPr>
                    <w:bCs/>
                    <w:szCs w:val="24"/>
                  </w:rPr>
                  <w:t>Dalinis, pagal Reglamento 517/2014 10 str. 14 dalies išimtį</w:t>
                </w:r>
              </w:p>
              <w:p w14:paraId="3825032A" w14:textId="77777777">
                <w:pPr>
                  <w:widowControl w:val="0"/>
                  <w:suppressAutoHyphens/>
                  <w:rPr>
                    <w:bCs/>
                    <w:szCs w:val="24"/>
                  </w:rPr>
                </w:pPr>
              </w:p>
              <w:p w14:paraId="7EF7217E" w14:textId="77777777">
                <w:pPr>
                  <w:widowControl w:val="0"/>
                  <w:suppressAutoHyphens/>
                  <w:rPr>
                    <w:bCs/>
                    <w:szCs w:val="24"/>
                  </w:rPr>
                </w:pPr>
              </w:p>
              <w:p w14:paraId="69CCEAAA" w14:textId="77777777">
                <w:pPr>
                  <w:widowControl w:val="0"/>
                  <w:suppressAutoHyphens/>
                  <w:rPr>
                    <w:bCs/>
                    <w:szCs w:val="24"/>
                  </w:rPr>
                </w:pPr>
              </w:p>
              <w:p w14:paraId="75535A64" w14:textId="77777777">
                <w:pPr>
                  <w:widowControl w:val="0"/>
                  <w:suppressAutoHyphens/>
                  <w:rPr>
                    <w:bCs/>
                    <w:szCs w:val="24"/>
                  </w:rPr>
                </w:pPr>
              </w:p>
              <w:p w14:paraId="19BF97FB" w14:textId="77777777">
                <w:pPr>
                  <w:widowControl w:val="0"/>
                  <w:suppressAutoHyphens/>
                  <w:rPr>
                    <w:bCs/>
                    <w:szCs w:val="24"/>
                  </w:rPr>
                </w:pPr>
              </w:p>
              <w:p w14:paraId="66363027" w14:textId="77777777">
                <w:pPr>
                  <w:widowControl w:val="0"/>
                  <w:suppressAutoHyphens/>
                  <w:rPr>
                    <w:bCs/>
                    <w:szCs w:val="24"/>
                  </w:rPr>
                </w:pPr>
              </w:p>
              <w:p w14:paraId="47E23C4F" w14:textId="77777777">
                <w:pPr>
                  <w:widowControl w:val="0"/>
                  <w:suppressAutoHyphens/>
                  <w:rPr>
                    <w:bCs/>
                    <w:szCs w:val="24"/>
                  </w:rPr>
                </w:pPr>
              </w:p>
              <w:p w14:paraId="4D306B01" w14:textId="77777777">
                <w:pPr>
                  <w:widowControl w:val="0"/>
                  <w:suppressAutoHyphens/>
                  <w:rPr>
                    <w:bCs/>
                    <w:szCs w:val="24"/>
                  </w:rPr>
                </w:pPr>
              </w:p>
              <w:p w14:paraId="5585EA11" w14:textId="77777777">
                <w:pPr>
                  <w:widowControl w:val="0"/>
                  <w:suppressAutoHyphens/>
                  <w:rPr>
                    <w:bCs/>
                    <w:szCs w:val="24"/>
                  </w:rPr>
                </w:pPr>
              </w:p>
              <w:p w14:paraId="0D716CD0" w14:textId="77777777">
                <w:pPr>
                  <w:widowControl w:val="0"/>
                  <w:suppressAutoHyphens/>
                  <w:rPr>
                    <w:bCs/>
                    <w:szCs w:val="24"/>
                  </w:rPr>
                </w:pPr>
              </w:p>
              <w:p w14:paraId="53682AD9" w14:textId="77777777">
                <w:pPr>
                  <w:widowControl w:val="0"/>
                  <w:suppressAutoHyphens/>
                  <w:rPr>
                    <w:bCs/>
                    <w:szCs w:val="24"/>
                  </w:rPr>
                </w:pPr>
              </w:p>
              <w:p w14:paraId="5E40A504" w14:textId="77777777">
                <w:pPr>
                  <w:widowControl w:val="0"/>
                  <w:suppressAutoHyphens/>
                  <w:rPr>
                    <w:bCs/>
                    <w:szCs w:val="24"/>
                  </w:rPr>
                </w:pPr>
              </w:p>
              <w:p w14:paraId="710770A7" w14:textId="77777777">
                <w:pPr>
                  <w:widowControl w:val="0"/>
                  <w:suppressAutoHyphens/>
                  <w:rPr>
                    <w:bCs/>
                    <w:szCs w:val="24"/>
                  </w:rPr>
                </w:pPr>
              </w:p>
              <w:p w14:paraId="4579AD94" w14:textId="77777777">
                <w:pPr>
                  <w:widowControl w:val="0"/>
                  <w:suppressAutoHyphens/>
                  <w:rPr>
                    <w:bCs/>
                    <w:szCs w:val="24"/>
                  </w:rPr>
                </w:pPr>
              </w:p>
              <w:p w14:paraId="6804EACB" w14:textId="77777777">
                <w:pPr>
                  <w:widowControl w:val="0"/>
                  <w:suppressAutoHyphens/>
                  <w:rPr>
                    <w:bCs/>
                    <w:szCs w:val="24"/>
                  </w:rPr>
                </w:pPr>
              </w:p>
              <w:p w14:paraId="1FB05A65" w14:textId="77777777">
                <w:pPr>
                  <w:widowControl w:val="0"/>
                  <w:suppressAutoHyphens/>
                  <w:rPr>
                    <w:bCs/>
                    <w:szCs w:val="24"/>
                  </w:rPr>
                </w:pPr>
              </w:p>
              <w:p w14:paraId="4B8896B4" w14:textId="77777777">
                <w:pPr>
                  <w:widowControl w:val="0"/>
                  <w:suppressAutoHyphens/>
                  <w:rPr>
                    <w:bCs/>
                    <w:szCs w:val="24"/>
                  </w:rPr>
                </w:pPr>
                <w:r>
                  <w:rPr>
                    <w:bCs/>
                    <w:szCs w:val="24"/>
                  </w:rPr>
                  <w:t>Visiškas</w:t>
                </w:r>
              </w:p>
              <w:p w14:paraId="520A5234" w14:textId="77777777">
                <w:pPr>
                  <w:widowControl w:val="0"/>
                  <w:suppressAutoHyphens/>
                  <w:rPr>
                    <w:bCs/>
                    <w:szCs w:val="24"/>
                  </w:rPr>
                </w:pPr>
              </w:p>
              <w:p w14:paraId="7100746C" w14:textId="77777777">
                <w:pPr>
                  <w:widowControl w:val="0"/>
                  <w:suppressAutoHyphens/>
                  <w:rPr>
                    <w:bCs/>
                    <w:szCs w:val="24"/>
                  </w:rPr>
                </w:pPr>
              </w:p>
              <w:p w14:paraId="397F43C7" w14:textId="77777777">
                <w:pPr>
                  <w:widowControl w:val="0"/>
                  <w:suppressAutoHyphens/>
                  <w:rPr>
                    <w:bCs/>
                    <w:szCs w:val="24"/>
                  </w:rPr>
                </w:pPr>
              </w:p>
              <w:p w14:paraId="6257FC89" w14:textId="77777777">
                <w:pPr>
                  <w:widowControl w:val="0"/>
                  <w:suppressAutoHyphens/>
                  <w:rPr>
                    <w:bCs/>
                    <w:szCs w:val="24"/>
                  </w:rPr>
                </w:pPr>
              </w:p>
              <w:p w14:paraId="64800C67" w14:textId="77777777">
                <w:pPr>
                  <w:widowControl w:val="0"/>
                  <w:suppressAutoHyphens/>
                  <w:rPr>
                    <w:bCs/>
                    <w:szCs w:val="24"/>
                  </w:rPr>
                </w:pPr>
              </w:p>
              <w:p w14:paraId="1F68B631" w14:textId="77777777">
                <w:pPr>
                  <w:widowControl w:val="0"/>
                  <w:suppressAutoHyphens/>
                  <w:rPr>
                    <w:bCs/>
                    <w:szCs w:val="24"/>
                  </w:rPr>
                </w:pPr>
              </w:p>
              <w:p w14:paraId="0F22496D" w14:textId="77777777">
                <w:pPr>
                  <w:widowControl w:val="0"/>
                  <w:suppressAutoHyphens/>
                  <w:rPr>
                    <w:bCs/>
                    <w:szCs w:val="24"/>
                  </w:rPr>
                </w:pPr>
              </w:p>
              <w:p w14:paraId="316782FC" w14:textId="77777777">
                <w:pPr>
                  <w:widowControl w:val="0"/>
                  <w:suppressAutoHyphens/>
                  <w:rPr>
                    <w:bCs/>
                    <w:szCs w:val="24"/>
                  </w:rPr>
                </w:pPr>
              </w:p>
              <w:p w14:paraId="6B18D3B6" w14:textId="77777777">
                <w:pPr>
                  <w:widowControl w:val="0"/>
                  <w:suppressAutoHyphens/>
                  <w:rPr>
                    <w:bCs/>
                    <w:szCs w:val="24"/>
                  </w:rPr>
                </w:pPr>
              </w:p>
              <w:p w14:paraId="327EE8FA" w14:textId="77777777">
                <w:pPr>
                  <w:widowControl w:val="0"/>
                  <w:suppressAutoHyphens/>
                  <w:rPr>
                    <w:bCs/>
                    <w:szCs w:val="24"/>
                  </w:rPr>
                </w:pPr>
                <w:r>
                  <w:rPr>
                    <w:bCs/>
                    <w:szCs w:val="24"/>
                  </w:rPr>
                  <w:t>Dalinis, pagal Reglamento 517/2014 10 str. 14 dalies išimtį</w:t>
                </w:r>
              </w:p>
              <w:p w14:paraId="49BC7C09" w14:textId="77777777">
                <w:pPr>
                  <w:widowControl w:val="0"/>
                  <w:suppressAutoHyphens/>
                  <w:rPr>
                    <w:szCs w:val="24"/>
                    <w:lang w:eastAsia="ar-SA"/>
                  </w:rPr>
                </w:pPr>
              </w:p>
              <w:p w14:paraId="5EEF4E78" w14:textId="77777777">
                <w:pPr>
                  <w:widowControl w:val="0"/>
                  <w:suppressAutoHyphens/>
                  <w:rPr>
                    <w:szCs w:val="24"/>
                    <w:lang w:eastAsia="ar-SA"/>
                  </w:rPr>
                </w:pPr>
              </w:p>
              <w:p w14:paraId="1DA22C56" w14:textId="77777777">
                <w:pPr>
                  <w:widowControl w:val="0"/>
                  <w:suppressAutoHyphens/>
                  <w:rPr>
                    <w:szCs w:val="24"/>
                    <w:lang w:eastAsia="ar-SA"/>
                  </w:rPr>
                </w:pPr>
              </w:p>
              <w:p w14:paraId="718B9171" w14:textId="77777777">
                <w:pPr>
                  <w:widowControl w:val="0"/>
                  <w:suppressAutoHyphens/>
                  <w:rPr>
                    <w:szCs w:val="24"/>
                    <w:lang w:eastAsia="ar-SA"/>
                  </w:rPr>
                </w:pPr>
              </w:p>
              <w:p w14:paraId="125790B8" w14:textId="77777777">
                <w:pPr>
                  <w:widowControl w:val="0"/>
                  <w:suppressAutoHyphens/>
                  <w:rPr>
                    <w:szCs w:val="24"/>
                    <w:lang w:eastAsia="ar-SA"/>
                  </w:rPr>
                </w:pPr>
              </w:p>
              <w:p w14:paraId="44578F47" w14:textId="77777777">
                <w:pPr>
                  <w:widowControl w:val="0"/>
                  <w:suppressAutoHyphens/>
                  <w:rPr>
                    <w:szCs w:val="24"/>
                    <w:lang w:eastAsia="ar-SA"/>
                  </w:rPr>
                </w:pPr>
              </w:p>
              <w:p w14:paraId="6E20659D" w14:textId="77777777">
                <w:pPr>
                  <w:widowControl w:val="0"/>
                  <w:suppressAutoHyphens/>
                  <w:rPr>
                    <w:szCs w:val="24"/>
                    <w:lang w:eastAsia="ar-SA"/>
                  </w:rPr>
                </w:pPr>
              </w:p>
              <w:p w14:paraId="6BE73B88" w14:textId="77777777">
                <w:pPr>
                  <w:widowControl w:val="0"/>
                  <w:suppressAutoHyphens/>
                  <w:rPr>
                    <w:szCs w:val="24"/>
                    <w:lang w:eastAsia="ar-SA"/>
                  </w:rPr>
                </w:pPr>
              </w:p>
              <w:p w14:paraId="20E3C838" w14:textId="77777777">
                <w:pPr>
                  <w:widowControl w:val="0"/>
                  <w:suppressAutoHyphens/>
                  <w:rPr>
                    <w:szCs w:val="24"/>
                    <w:lang w:eastAsia="ar-SA"/>
                  </w:rPr>
                </w:pPr>
              </w:p>
              <w:p w14:paraId="5D84D0E7" w14:textId="77777777">
                <w:pPr>
                  <w:widowControl w:val="0"/>
                  <w:suppressAutoHyphens/>
                  <w:rPr>
                    <w:szCs w:val="24"/>
                    <w:lang w:eastAsia="ar-SA"/>
                  </w:rPr>
                </w:pPr>
              </w:p>
              <w:p w14:paraId="4B4F0F79" w14:textId="77777777">
                <w:pPr>
                  <w:widowControl w:val="0"/>
                  <w:suppressAutoHyphens/>
                  <w:rPr>
                    <w:szCs w:val="24"/>
                    <w:lang w:eastAsia="ar-SA"/>
                  </w:rPr>
                </w:pPr>
              </w:p>
              <w:p w14:paraId="331181D4" w14:textId="77777777">
                <w:pPr>
                  <w:widowControl w:val="0"/>
                  <w:suppressAutoHyphens/>
                  <w:rPr>
                    <w:szCs w:val="24"/>
                    <w:lang w:eastAsia="ar-SA"/>
                  </w:rPr>
                </w:pPr>
              </w:p>
              <w:p w14:paraId="41AE78EF" w14:textId="77777777">
                <w:pPr>
                  <w:widowControl w:val="0"/>
                  <w:suppressAutoHyphens/>
                  <w:rPr>
                    <w:szCs w:val="24"/>
                    <w:lang w:eastAsia="ar-SA"/>
                  </w:rPr>
                </w:pPr>
              </w:p>
              <w:p w14:paraId="5D623746" w14:textId="77777777">
                <w:pPr>
                  <w:widowControl w:val="0"/>
                  <w:suppressAutoHyphens/>
                  <w:rPr>
                    <w:szCs w:val="24"/>
                    <w:lang w:eastAsia="ar-SA"/>
                  </w:rPr>
                </w:pPr>
              </w:p>
              <w:p w14:paraId="1BEF5917" w14:textId="77777777">
                <w:pPr>
                  <w:widowControl w:val="0"/>
                  <w:suppressAutoHyphens/>
                  <w:rPr>
                    <w:szCs w:val="24"/>
                    <w:lang w:eastAsia="ar-SA"/>
                  </w:rPr>
                </w:pPr>
              </w:p>
              <w:p w14:paraId="483986F8" w14:textId="77777777">
                <w:pPr>
                  <w:widowControl w:val="0"/>
                  <w:suppressAutoHyphens/>
                  <w:rPr>
                    <w:bCs/>
                    <w:szCs w:val="24"/>
                  </w:rPr>
                </w:pPr>
              </w:p>
              <w:p w14:paraId="61FBBA19" w14:textId="77777777">
                <w:pPr>
                  <w:widowControl w:val="0"/>
                  <w:suppressAutoHyphens/>
                  <w:rPr>
                    <w:bCs/>
                    <w:szCs w:val="24"/>
                  </w:rPr>
                </w:pPr>
                <w:r>
                  <w:rPr>
                    <w:bCs/>
                    <w:szCs w:val="24"/>
                  </w:rPr>
                  <w:t>Visiškas</w:t>
                </w:r>
              </w:p>
              <w:p w14:paraId="111F4167" w14:textId="77777777">
                <w:pPr>
                  <w:widowControl w:val="0"/>
                  <w:suppressAutoHyphens/>
                  <w:rPr>
                    <w:bCs/>
                    <w:szCs w:val="24"/>
                  </w:rPr>
                </w:pPr>
              </w:p>
              <w:p w14:paraId="771CCA9B" w14:textId="77777777">
                <w:pPr>
                  <w:widowControl w:val="0"/>
                  <w:suppressAutoHyphens/>
                  <w:rPr>
                    <w:bCs/>
                    <w:szCs w:val="24"/>
                  </w:rPr>
                </w:pPr>
              </w:p>
              <w:p w14:paraId="2695935F" w14:textId="77777777">
                <w:pPr>
                  <w:widowControl w:val="0"/>
                  <w:suppressAutoHyphens/>
                  <w:rPr>
                    <w:bCs/>
                    <w:szCs w:val="24"/>
                  </w:rPr>
                </w:pPr>
              </w:p>
              <w:p w14:paraId="53436F1D" w14:textId="77777777">
                <w:pPr>
                  <w:widowControl w:val="0"/>
                  <w:suppressAutoHyphens/>
                  <w:rPr>
                    <w:bCs/>
                    <w:szCs w:val="24"/>
                  </w:rPr>
                </w:pPr>
              </w:p>
              <w:p w14:paraId="5D0A8FF0" w14:textId="77777777">
                <w:pPr>
                  <w:widowControl w:val="0"/>
                  <w:suppressAutoHyphens/>
                  <w:rPr>
                    <w:bCs/>
                    <w:szCs w:val="24"/>
                  </w:rPr>
                </w:pPr>
              </w:p>
              <w:p w14:paraId="7940D34F" w14:textId="77777777">
                <w:pPr>
                  <w:widowControl w:val="0"/>
                  <w:suppressAutoHyphens/>
                  <w:rPr>
                    <w:bCs/>
                    <w:szCs w:val="24"/>
                  </w:rPr>
                </w:pPr>
              </w:p>
              <w:p w14:paraId="46F777D5" w14:textId="77777777">
                <w:pPr>
                  <w:widowControl w:val="0"/>
                  <w:suppressAutoHyphens/>
                  <w:rPr>
                    <w:bCs/>
                    <w:szCs w:val="24"/>
                  </w:rPr>
                </w:pPr>
              </w:p>
              <w:p w14:paraId="1EBD0338" w14:textId="77777777">
                <w:pPr>
                  <w:widowControl w:val="0"/>
                  <w:suppressAutoHyphens/>
                  <w:rPr>
                    <w:bCs/>
                    <w:szCs w:val="24"/>
                  </w:rPr>
                </w:pPr>
              </w:p>
              <w:p w14:paraId="543130D7" w14:textId="77777777">
                <w:pPr>
                  <w:widowControl w:val="0"/>
                  <w:suppressAutoHyphens/>
                  <w:rPr>
                    <w:bCs/>
                    <w:szCs w:val="24"/>
                  </w:rPr>
                </w:pPr>
              </w:p>
              <w:p w14:paraId="7E2B9C77" w14:textId="77777777">
                <w:pPr>
                  <w:widowControl w:val="0"/>
                  <w:suppressAutoHyphens/>
                  <w:rPr>
                    <w:bCs/>
                    <w:szCs w:val="24"/>
                  </w:rPr>
                </w:pPr>
              </w:p>
              <w:p w14:paraId="6A1E84CD" w14:textId="77777777">
                <w:pPr>
                  <w:widowControl w:val="0"/>
                  <w:suppressAutoHyphens/>
                  <w:rPr>
                    <w:bCs/>
                    <w:szCs w:val="24"/>
                  </w:rPr>
                </w:pPr>
              </w:p>
              <w:p w14:paraId="2FD9AB2D" w14:textId="77777777">
                <w:pPr>
                  <w:widowControl w:val="0"/>
                  <w:suppressAutoHyphens/>
                  <w:rPr>
                    <w:bCs/>
                    <w:szCs w:val="24"/>
                  </w:rPr>
                </w:pPr>
              </w:p>
              <w:p w14:paraId="4C88BD1B" w14:textId="77777777">
                <w:pPr>
                  <w:widowControl w:val="0"/>
                  <w:suppressAutoHyphens/>
                  <w:rPr>
                    <w:bCs/>
                    <w:szCs w:val="24"/>
                  </w:rPr>
                </w:pPr>
              </w:p>
              <w:p w14:paraId="34CB93E5" w14:textId="77777777">
                <w:pPr>
                  <w:widowControl w:val="0"/>
                  <w:suppressAutoHyphens/>
                  <w:rPr>
                    <w:bCs/>
                    <w:szCs w:val="24"/>
                  </w:rPr>
                </w:pPr>
              </w:p>
              <w:p w14:paraId="00F57EEE" w14:textId="77777777">
                <w:pPr>
                  <w:widowControl w:val="0"/>
                  <w:suppressAutoHyphens/>
                  <w:rPr>
                    <w:bCs/>
                    <w:szCs w:val="24"/>
                  </w:rPr>
                </w:pPr>
              </w:p>
              <w:p w14:paraId="65130F8E" w14:textId="77777777">
                <w:pPr>
                  <w:widowControl w:val="0"/>
                  <w:suppressAutoHyphens/>
                  <w:rPr>
                    <w:bCs/>
                    <w:szCs w:val="24"/>
                  </w:rPr>
                </w:pPr>
              </w:p>
              <w:p w14:paraId="2748A30A" w14:textId="77777777">
                <w:pPr>
                  <w:widowControl w:val="0"/>
                  <w:suppressAutoHyphens/>
                  <w:rPr>
                    <w:bCs/>
                    <w:szCs w:val="24"/>
                  </w:rPr>
                </w:pPr>
              </w:p>
              <w:p w14:paraId="28A37D84" w14:textId="77777777">
                <w:pPr>
                  <w:widowControl w:val="0"/>
                  <w:suppressAutoHyphens/>
                  <w:rPr>
                    <w:bCs/>
                    <w:szCs w:val="24"/>
                  </w:rPr>
                </w:pPr>
              </w:p>
              <w:p w14:paraId="2313045A" w14:textId="77777777">
                <w:pPr>
                  <w:widowControl w:val="0"/>
                  <w:suppressAutoHyphens/>
                  <w:rPr>
                    <w:bCs/>
                    <w:szCs w:val="24"/>
                  </w:rPr>
                </w:pPr>
              </w:p>
              <w:p w14:paraId="2B9AAA8B" w14:textId="77777777">
                <w:pPr>
                  <w:widowControl w:val="0"/>
                  <w:suppressAutoHyphens/>
                  <w:rPr>
                    <w:bCs/>
                    <w:szCs w:val="24"/>
                  </w:rPr>
                </w:pPr>
                <w:r>
                  <w:rPr>
                    <w:bCs/>
                    <w:szCs w:val="24"/>
                  </w:rPr>
                  <w:t>Visiškas</w:t>
                </w:r>
              </w:p>
              <w:p w14:paraId="678D52A9" w14:textId="77777777">
                <w:pPr>
                  <w:widowControl w:val="0"/>
                  <w:suppressAutoHyphens/>
                  <w:rPr>
                    <w:bCs/>
                    <w:szCs w:val="24"/>
                  </w:rPr>
                </w:pPr>
              </w:p>
              <w:p w14:paraId="33A91821" w14:textId="77777777">
                <w:pPr>
                  <w:widowControl w:val="0"/>
                  <w:suppressAutoHyphens/>
                  <w:rPr>
                    <w:bCs/>
                    <w:szCs w:val="24"/>
                  </w:rPr>
                </w:pPr>
              </w:p>
              <w:p w14:paraId="790F71B1" w14:textId="77777777">
                <w:pPr>
                  <w:widowControl w:val="0"/>
                  <w:suppressAutoHyphens/>
                  <w:rPr>
                    <w:bCs/>
                    <w:szCs w:val="24"/>
                  </w:rPr>
                </w:pPr>
              </w:p>
              <w:p w14:paraId="60898CFC" w14:textId="77777777">
                <w:pPr>
                  <w:widowControl w:val="0"/>
                  <w:suppressAutoHyphens/>
                  <w:rPr>
                    <w:bCs/>
                    <w:szCs w:val="24"/>
                  </w:rPr>
                </w:pPr>
              </w:p>
              <w:p w14:paraId="17F278CA" w14:textId="77777777">
                <w:pPr>
                  <w:widowControl w:val="0"/>
                  <w:suppressAutoHyphens/>
                  <w:rPr>
                    <w:bCs/>
                    <w:szCs w:val="24"/>
                  </w:rPr>
                </w:pPr>
              </w:p>
              <w:p w14:paraId="4C109DAC" w14:textId="77777777">
                <w:pPr>
                  <w:widowControl w:val="0"/>
                  <w:suppressAutoHyphens/>
                  <w:rPr>
                    <w:bCs/>
                    <w:szCs w:val="24"/>
                  </w:rPr>
                </w:pPr>
              </w:p>
              <w:p w14:paraId="347DA37B" w14:textId="77777777">
                <w:pPr>
                  <w:widowControl w:val="0"/>
                  <w:suppressAutoHyphens/>
                  <w:rPr>
                    <w:bCs/>
                    <w:szCs w:val="24"/>
                  </w:rPr>
                </w:pPr>
              </w:p>
              <w:p w14:paraId="52F570E9" w14:textId="77777777">
                <w:pPr>
                  <w:widowControl w:val="0"/>
                  <w:suppressAutoHyphens/>
                  <w:rPr>
                    <w:bCs/>
                    <w:szCs w:val="24"/>
                  </w:rPr>
                </w:pPr>
              </w:p>
              <w:p w14:paraId="2CF98292" w14:textId="77777777">
                <w:pPr>
                  <w:widowControl w:val="0"/>
                  <w:suppressAutoHyphens/>
                  <w:rPr>
                    <w:bCs/>
                    <w:szCs w:val="24"/>
                  </w:rPr>
                </w:pPr>
              </w:p>
              <w:p w14:paraId="7B12F267" w14:textId="77777777">
                <w:pPr>
                  <w:widowControl w:val="0"/>
                  <w:suppressAutoHyphens/>
                  <w:rPr>
                    <w:bCs/>
                    <w:szCs w:val="24"/>
                  </w:rPr>
                </w:pPr>
              </w:p>
              <w:p w14:paraId="20EA51AE" w14:textId="77777777">
                <w:pPr>
                  <w:widowControl w:val="0"/>
                  <w:suppressAutoHyphens/>
                  <w:rPr>
                    <w:bCs/>
                    <w:szCs w:val="24"/>
                  </w:rPr>
                </w:pPr>
              </w:p>
              <w:p w14:paraId="584C4837" w14:textId="77777777">
                <w:pPr>
                  <w:widowControl w:val="0"/>
                  <w:suppressAutoHyphens/>
                  <w:rPr>
                    <w:bCs/>
                    <w:szCs w:val="24"/>
                  </w:rPr>
                </w:pPr>
                <w:r>
                  <w:rPr>
                    <w:bCs/>
                    <w:szCs w:val="24"/>
                  </w:rPr>
                  <w:t>Visiškas</w:t>
                </w:r>
              </w:p>
              <w:p w14:paraId="017B552E" w14:textId="77777777">
                <w:pPr>
                  <w:widowControl w:val="0"/>
                  <w:suppressAutoHyphens/>
                  <w:rPr>
                    <w:bCs/>
                    <w:szCs w:val="24"/>
                  </w:rPr>
                </w:pPr>
              </w:p>
              <w:p w14:paraId="737F681A" w14:textId="77777777">
                <w:pPr>
                  <w:widowControl w:val="0"/>
                  <w:suppressAutoHyphens/>
                  <w:rPr>
                    <w:bCs/>
                    <w:szCs w:val="24"/>
                  </w:rPr>
                </w:pPr>
              </w:p>
              <w:p w14:paraId="79C99598" w14:textId="77777777">
                <w:pPr>
                  <w:widowControl w:val="0"/>
                  <w:suppressAutoHyphens/>
                  <w:rPr>
                    <w:bCs/>
                    <w:szCs w:val="24"/>
                  </w:rPr>
                </w:pPr>
              </w:p>
              <w:p w14:paraId="457CE007" w14:textId="77777777">
                <w:pPr>
                  <w:widowControl w:val="0"/>
                  <w:suppressAutoHyphens/>
                  <w:rPr>
                    <w:bCs/>
                    <w:szCs w:val="24"/>
                  </w:rPr>
                </w:pPr>
              </w:p>
              <w:p w14:paraId="62AB5777" w14:textId="77777777">
                <w:pPr>
                  <w:widowControl w:val="0"/>
                  <w:suppressAutoHyphens/>
                  <w:rPr>
                    <w:bCs/>
                    <w:szCs w:val="24"/>
                  </w:rPr>
                </w:pPr>
              </w:p>
              <w:p w14:paraId="624751C9" w14:textId="77777777">
                <w:pPr>
                  <w:widowControl w:val="0"/>
                  <w:suppressAutoHyphens/>
                  <w:rPr>
                    <w:bCs/>
                    <w:szCs w:val="24"/>
                  </w:rPr>
                </w:pPr>
              </w:p>
              <w:p w14:paraId="651978E3" w14:textId="77777777">
                <w:pPr>
                  <w:widowControl w:val="0"/>
                  <w:suppressAutoHyphens/>
                  <w:rPr>
                    <w:bCs/>
                    <w:szCs w:val="24"/>
                  </w:rPr>
                </w:pPr>
              </w:p>
              <w:p w14:paraId="1D3F99BF" w14:textId="77777777">
                <w:pPr>
                  <w:widowControl w:val="0"/>
                  <w:suppressAutoHyphens/>
                  <w:rPr>
                    <w:bCs/>
                    <w:szCs w:val="24"/>
                  </w:rPr>
                </w:pPr>
              </w:p>
              <w:p w14:paraId="2BFA02D7" w14:textId="77777777">
                <w:pPr>
                  <w:widowControl w:val="0"/>
                  <w:suppressAutoHyphens/>
                  <w:rPr>
                    <w:szCs w:val="24"/>
                    <w:lang w:eastAsia="ar-SA"/>
                  </w:rPr>
                </w:pPr>
                <w:r>
                  <w:rPr>
                    <w:bCs/>
                    <w:szCs w:val="24"/>
                  </w:rPr>
                  <w:t>Dalinis, nes Europos Komisija bus informuota p to kai aplinkos ministras pasirašys projektą</w:t>
                </w:r>
              </w:p>
            </w:tc>
          </w:tr>
        </w:tbl>
        <w:p w14:paraId="3F21AB08" w14:textId="77777777">
          <w:pPr>
            <w:widowControl w:val="0"/>
            <w:tabs>
              <w:tab w:val="left" w:pos="0"/>
            </w:tabs>
            <w:suppressAutoHyphens/>
            <w:rPr>
              <w:rFonts w:eastAsia="Arial Unicode MS"/>
              <w:szCs w:val="24"/>
              <w:lang w:eastAsia="lt-LT"/>
            </w:rPr>
          </w:pPr>
        </w:p>
        <w:p w14:paraId="09AB33EB" w14:textId="77777777"/>
      </w:sdtContent>
    </w:sdt>
    <w:sectPr>
      <w:headerReference w:type="even" r:id="rId11"/>
      <w:headerReference w:type="default" r:id="rId12"/>
      <w:footerReference w:type="even" r:id="rId13"/>
      <w:footerReference w:type="default" r:id="rId14"/>
      <w:headerReference w:type="first" r:id="rId15"/>
      <w:footerReference w:type="first" r:id="rId16"/>
      <w:footnotePr>
        <w:pos w:val="beneathText"/>
      </w:footnotePr>
      <w:pgSz w:w="16837" w:h="11905" w:orient="landscape"/>
      <w:pgMar w:top="1134" w:right="851"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264ED0" w14:textId="77777777">
      <w:pPr>
        <w:widowControl w:val="0"/>
        <w:suppressAutoHyphens/>
        <w:rPr>
          <w:rFonts w:eastAsia="Arial Unicode MS"/>
          <w:szCs w:val="24"/>
          <w:lang w:eastAsia="lt-LT"/>
        </w:rPr>
      </w:pPr>
      <w:r>
        <w:rPr>
          <w:rFonts w:eastAsia="Arial Unicode MS"/>
          <w:szCs w:val="24"/>
          <w:lang w:eastAsia="lt-LT"/>
        </w:rPr>
        <w:separator/>
      </w:r>
    </w:p>
  </w:endnote>
  <w:endnote w:type="continuationSeparator" w:id="0">
    <w:p w14:paraId="13D5B167" w14:textId="77777777">
      <w:pPr>
        <w:widowControl w:val="0"/>
        <w:suppressAutoHyphens/>
        <w:rPr>
          <w:rFonts w:eastAsia="Arial Unicode MS"/>
          <w:szCs w:val="24"/>
          <w:lang w:eastAsia="lt-LT"/>
        </w:rPr>
      </w:pPr>
      <w:r>
        <w:rPr>
          <w:rFonts w:eastAsia="Arial Unicode MS"/>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TimesNewRoman">
    <w:altName w:val="Times New Roman"/>
    <w:charset w:val="BA"/>
    <w:family w:val="roman"/>
    <w:pitch w:val="default"/>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7388A2" w14:textId="77777777">
    <w:pPr>
      <w:widowControl w:val="0"/>
      <w:tabs>
        <w:tab w:val="center" w:pos="4819"/>
        <w:tab w:val="right" w:pos="9638"/>
      </w:tabs>
      <w:suppressAutoHyphens/>
      <w:rPr>
        <w:rFonts w:eastAsia="Arial Unicode MS"/>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090567" w14:textId="77777777">
    <w:pPr>
      <w:widowControl w:val="0"/>
      <w:tabs>
        <w:tab w:val="center" w:pos="4819"/>
        <w:tab w:val="right" w:pos="9638"/>
      </w:tabs>
      <w:suppressAutoHyphens/>
      <w:rPr>
        <w:rFonts w:eastAsia="Arial Unicode MS"/>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0C82CD" w14:textId="77777777">
    <w:pPr>
      <w:widowControl w:val="0"/>
      <w:tabs>
        <w:tab w:val="center" w:pos="4819"/>
        <w:tab w:val="right" w:pos="9638"/>
      </w:tabs>
      <w:suppressAutoHyphens/>
      <w:rPr>
        <w:rFonts w:eastAsia="Arial Unicode MS"/>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01FEEC" w14:textId="77777777">
      <w:pPr>
        <w:widowControl w:val="0"/>
        <w:suppressAutoHyphens/>
        <w:rPr>
          <w:rFonts w:eastAsia="Arial Unicode MS"/>
          <w:szCs w:val="24"/>
          <w:lang w:eastAsia="lt-LT"/>
        </w:rPr>
      </w:pPr>
      <w:r>
        <w:rPr>
          <w:rFonts w:eastAsia="Arial Unicode MS"/>
          <w:szCs w:val="24"/>
          <w:lang w:eastAsia="lt-LT"/>
        </w:rPr>
        <w:separator/>
      </w:r>
    </w:p>
  </w:footnote>
  <w:footnote w:type="continuationSeparator" w:id="0">
    <w:p w14:paraId="758891D9" w14:textId="77777777">
      <w:pPr>
        <w:widowControl w:val="0"/>
        <w:suppressAutoHyphens/>
        <w:rPr>
          <w:rFonts w:eastAsia="Arial Unicode MS"/>
          <w:szCs w:val="24"/>
          <w:lang w:eastAsia="lt-LT"/>
        </w:rPr>
      </w:pPr>
      <w:r>
        <w:rPr>
          <w:rFonts w:eastAsia="Arial Unicode MS"/>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95594C" w14:textId="77777777">
    <w:pPr>
      <w:widowControl w:val="0"/>
      <w:tabs>
        <w:tab w:val="center" w:pos="4819"/>
        <w:tab w:val="right" w:pos="9638"/>
      </w:tabs>
      <w:suppressAutoHyphens/>
      <w:rPr>
        <w:rFonts w:eastAsia="Arial Unicode MS"/>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444638" w14:textId="77777777">
    <w:pPr>
      <w:widowControl w:val="0"/>
      <w:tabs>
        <w:tab w:val="center" w:pos="4819"/>
        <w:tab w:val="right" w:pos="9638"/>
      </w:tabs>
      <w:suppressAutoHyphens/>
      <w:jc w:val="center"/>
      <w:rPr>
        <w:rFonts w:eastAsia="Arial Unicode MS"/>
        <w:szCs w:val="24"/>
        <w:lang w:eastAsia="lt-LT"/>
      </w:rPr>
    </w:pPr>
    <w:r>
      <w:rPr>
        <w:rFonts w:eastAsia="Arial Unicode MS"/>
        <w:szCs w:val="24"/>
        <w:lang w:eastAsia="lt-LT"/>
      </w:rPr>
      <w:fldChar w:fldCharType="begin"/>
    </w:r>
    <w:r>
      <w:rPr>
        <w:rFonts w:eastAsia="Arial Unicode MS"/>
        <w:szCs w:val="24"/>
        <w:lang w:eastAsia="lt-LT"/>
      </w:rPr>
      <w:instrText xml:space="preserve"> PAGE   \* MERGEFORMAT </w:instrText>
    </w:r>
    <w:r>
      <w:rPr>
        <w:rFonts w:eastAsia="Arial Unicode MS"/>
        <w:szCs w:val="24"/>
        <w:lang w:eastAsia="lt-LT"/>
      </w:rPr>
      <w:fldChar w:fldCharType="separate"/>
    </w:r>
    <w:r>
      <w:rPr>
        <w:rFonts w:eastAsia="Arial Unicode MS"/>
        <w:szCs w:val="24"/>
        <w:lang w:eastAsia="lt-LT"/>
      </w:rPr>
      <w:t>2</w:t>
    </w:r>
    <w:r>
      <w:rPr>
        <w:rFonts w:eastAsia="Arial Unicode MS"/>
        <w:szCs w:val="24"/>
        <w:lang w:eastAsia="lt-LT"/>
      </w:rPr>
      <w:fldChar w:fldCharType="end"/>
    </w:r>
  </w:p>
  <w:p w14:paraId="3E468572" w14:textId="77777777">
    <w:pPr>
      <w:widowControl w:val="0"/>
      <w:tabs>
        <w:tab w:val="center" w:pos="4819"/>
        <w:tab w:val="right" w:pos="9638"/>
      </w:tabs>
      <w:suppressAutoHyphens/>
      <w:rPr>
        <w:rFonts w:eastAsia="Arial Unicode MS"/>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D9068A" w14:textId="77777777">
    <w:pPr>
      <w:widowControl w:val="0"/>
      <w:tabs>
        <w:tab w:val="center" w:pos="4819"/>
        <w:tab w:val="right" w:pos="9638"/>
      </w:tabs>
      <w:suppressAutoHyphens/>
      <w:rPr>
        <w:rFonts w:eastAsia="Arial Unicode MS"/>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09"/>
  <w:doNotHyphenateCaps/>
  <w:drawingGridHorizontalSpacing w:val="120"/>
  <w:drawingGridVerticalSpacing w:val="0"/>
  <w:displayHorizontalDrawingGridEvery w:val="0"/>
  <w:displayVerticalDrawingGridEvery w:val="0"/>
  <w:noPunctuationKerning/>
  <w:characterSpacingControl w:val="doNotCompress"/>
  <w:strictFirstAndLastChars/>
  <w:footnotePr>
    <w:pos w:val="beneathText"/>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2E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DAD84D"/>
  <w15:chartTrackingRefBased/>
  <w15:docId w15:val="{3F0EB653-FF6C-4E4B-A814-476DC7F23A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5870448">
      <w:bodyDiv w:val="1"/>
      <w:marLeft w:val="0"/>
      <w:marRight w:val="0"/>
      <w:marTop w:val="0"/>
      <w:marBottom w:val="0"/>
      <w:divBdr>
        <w:top w:val="none" w:sz="0" w:space="0" w:color="auto"/>
        <w:left w:val="none" w:sz="0" w:space="0" w:color="auto"/>
        <w:bottom w:val="none" w:sz="0" w:space="0" w:color="auto"/>
        <w:right w:val="none" w:sz="0" w:space="0" w:color="auto"/>
      </w:divBdr>
    </w:div>
    <w:div w:id="262499541">
      <w:bodyDiv w:val="1"/>
      <w:marLeft w:val="0"/>
      <w:marRight w:val="0"/>
      <w:marTop w:val="0"/>
      <w:marBottom w:val="0"/>
      <w:divBdr>
        <w:top w:val="none" w:sz="0" w:space="0" w:color="auto"/>
        <w:left w:val="none" w:sz="0" w:space="0" w:color="auto"/>
        <w:bottom w:val="none" w:sz="0" w:space="0" w:color="auto"/>
        <w:right w:val="none" w:sz="0" w:space="0" w:color="auto"/>
      </w:divBdr>
    </w:div>
    <w:div w:id="383061718">
      <w:bodyDiv w:val="1"/>
      <w:marLeft w:val="0"/>
      <w:marRight w:val="0"/>
      <w:marTop w:val="0"/>
      <w:marBottom w:val="0"/>
      <w:divBdr>
        <w:top w:val="none" w:sz="0" w:space="0" w:color="auto"/>
        <w:left w:val="none" w:sz="0" w:space="0" w:color="auto"/>
        <w:bottom w:val="none" w:sz="0" w:space="0" w:color="auto"/>
        <w:right w:val="none" w:sz="0" w:space="0" w:color="auto"/>
      </w:divBdr>
    </w:div>
    <w:div w:id="486867429">
      <w:bodyDiv w:val="1"/>
      <w:marLeft w:val="0"/>
      <w:marRight w:val="0"/>
      <w:marTop w:val="0"/>
      <w:marBottom w:val="0"/>
      <w:divBdr>
        <w:top w:val="none" w:sz="0" w:space="0" w:color="auto"/>
        <w:left w:val="none" w:sz="0" w:space="0" w:color="auto"/>
        <w:bottom w:val="none" w:sz="0" w:space="0" w:color="auto"/>
        <w:right w:val="none" w:sz="0" w:space="0" w:color="auto"/>
      </w:divBdr>
    </w:div>
    <w:div w:id="1100837084">
      <w:bodyDiv w:val="1"/>
      <w:marLeft w:val="0"/>
      <w:marRight w:val="0"/>
      <w:marTop w:val="0"/>
      <w:marBottom w:val="0"/>
      <w:divBdr>
        <w:top w:val="none" w:sz="0" w:space="0" w:color="auto"/>
        <w:left w:val="none" w:sz="0" w:space="0" w:color="auto"/>
        <w:bottom w:val="none" w:sz="0" w:space="0" w:color="auto"/>
        <w:right w:val="none" w:sz="0" w:space="0" w:color="auto"/>
      </w:divBdr>
    </w:div>
    <w:div w:id="1313213200">
      <w:bodyDiv w:val="1"/>
      <w:marLeft w:val="0"/>
      <w:marRight w:val="0"/>
      <w:marTop w:val="0"/>
      <w:marBottom w:val="0"/>
      <w:divBdr>
        <w:top w:val="none" w:sz="0" w:space="0" w:color="auto"/>
        <w:left w:val="none" w:sz="0" w:space="0" w:color="auto"/>
        <w:bottom w:val="none" w:sz="0" w:space="0" w:color="auto"/>
        <w:right w:val="none" w:sz="0" w:space="0" w:color="auto"/>
      </w:divBdr>
    </w:div>
    <w:div w:id="1505706367">
      <w:bodyDiv w:val="1"/>
      <w:marLeft w:val="0"/>
      <w:marRight w:val="0"/>
      <w:marTop w:val="0"/>
      <w:marBottom w:val="0"/>
      <w:divBdr>
        <w:top w:val="none" w:sz="0" w:space="0" w:color="auto"/>
        <w:left w:val="none" w:sz="0" w:space="0" w:color="auto"/>
        <w:bottom w:val="none" w:sz="0" w:space="0" w:color="auto"/>
        <w:right w:val="none" w:sz="0" w:space="0" w:color="auto"/>
      </w:divBdr>
    </w:div>
    <w:div w:id="1672489833">
      <w:bodyDiv w:val="1"/>
      <w:marLeft w:val="0"/>
      <w:marRight w:val="0"/>
      <w:marTop w:val="0"/>
      <w:marBottom w:val="0"/>
      <w:divBdr>
        <w:top w:val="none" w:sz="0" w:space="0" w:color="auto"/>
        <w:left w:val="none" w:sz="0" w:space="0" w:color="auto"/>
        <w:bottom w:val="none" w:sz="0" w:space="0" w:color="auto"/>
        <w:right w:val="none" w:sz="0" w:space="0" w:color="auto"/>
      </w:divBdr>
    </w:div>
    <w:div w:id="2088183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wmf"/>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8" ma:contentTypeDescription="Create a new document." ma:contentTypeScope="" ma:versionID="c40857f3cf86a7d4f083e4d38bdca69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010680e02a51ec9a08751f8e6c19e373"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hidden="true"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hidden="true" ma:internalName="MediaServiceOCR" ma:readOnly="true">
      <xsd:simpleType>
        <xsd:restriction base="dms:Note"/>
      </xsd:simpleType>
    </xsd:element>
    <xsd:element name="MediaServiceLocation" ma:index="19" nillable="true" ma:displayName="Location" ma:hidden="true" ma:internalName="MediaServiceLocation" ma:readOnly="true">
      <xsd:simpleType>
        <xsd:restriction base="dms:Text"/>
      </xsd:simpleType>
    </xsd:element>
    <xsd:element name="MediaLengthInSeconds" ma:index="20" nillable="true" ma:displayName="Length (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hidden="true" ma:internalName="SharedWithDetails" ma:readOnly="true">
      <xsd:simpleType>
        <xsd:restriction base="dms:Note"/>
      </xsd:simpleType>
    </xsd:element>
    <xsd:element name="TaxCatchAll" ma:index="23" nillable="true" ma:displayName="Taxonomy Catch All Column" ma:hidden="true" ma:list="{dde36950-9db2-4bd5-ad22-c7fd61453dde}" ma:internalName="TaxCatchAll" ma:readOnly="false"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19cf09c5-daa1-4028-a0ff-74a0be4ec5cc"/>
    <lcf76f155ced4ddcb4097134ff3c332f xmlns="f5aad5d0-9c26-490e-8743-a6c7ceabd501">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c50fff29b8e545b49ef5844e19d5693f" PartId="1c7e7ccf45df4f8cb28ee5aea834bb14"/>
</Parts>
</file>

<file path=customXml/itemProps1.xml><?xml version="1.0" encoding="utf-8"?>
<ds:datastoreItem xmlns:ds="http://schemas.openxmlformats.org/officeDocument/2006/customXml" ds:itemID="{BE9659D1-1C65-4B06-9A89-7F6C4B098A7D}">
  <ds:schemaRefs>
    <ds:schemaRef ds:uri="http://schemas.microsoft.com/sharepoint/v3/contenttype/forms"/>
  </ds:schemaRefs>
</ds:datastoreItem>
</file>

<file path=customXml/itemProps2.xml><?xml version="1.0" encoding="utf-8"?>
<ds:datastoreItem xmlns:ds="http://schemas.openxmlformats.org/officeDocument/2006/customXml" ds:itemID="{8189B951-E814-410A-AA6C-4FA598E0CF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EA4BDA-36A1-4DFE-8B88-6BB8735CF045}">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4.xml><?xml version="1.0" encoding="utf-8"?>
<ds:datastoreItem xmlns:ds="http://schemas.openxmlformats.org/officeDocument/2006/customXml" ds:itemID="{6DDE07E5-518A-445E-8581-A0427DF905BB}">
  <ds:schemaRefs>
    <ds:schemaRef ds:uri="http://schemas.openxmlformats.org/officeDocument/2006/bibliography"/>
  </ds:schemaRefs>
</ds:datastoreItem>
</file>

<file path=customXml/itemProps5.xml><?xml version="1.0" encoding="utf-8"?>
<ds:datastoreItem xmlns:ds="http://schemas.openxmlformats.org/officeDocument/2006/customXml" ds:itemID="{2767EAF0-1290-4B17-A8E0-70F828AA9C8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2244</Words>
  <Characters>16673</Characters>
  <Application>Microsoft Office Word</Application>
  <DocSecurity>4</DocSecurity>
  <Lines>641</Lines>
  <Paragraphs>129</Paragraphs>
  <ScaleCrop>false</ScaleCrop>
  <HeadingPairs>
    <vt:vector size="2" baseType="variant">
      <vt:variant>
        <vt:lpstr>Title</vt:lpstr>
      </vt:variant>
      <vt:variant>
        <vt:i4>1</vt:i4>
      </vt:variant>
    </vt:vector>
  </HeadingPairs>
  <TitlesOfParts>
    <vt:vector size="1" baseType="lpstr">
      <vt:lpstr>2006 M</vt:lpstr>
    </vt:vector>
  </TitlesOfParts>
  <Company>AM</Company>
  <LinksUpToDate>false</LinksUpToDate>
  <CharactersWithSpaces>18788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2023-10-24T06:16:00Z</dcterms:created>
  <dc:creator>s-znutiene</dc:creator>
  <lastModifiedBy>adlibuser</lastModifiedBy>
  <lastPrinted>2014-06-13T10:56:00Z</lastPrinted>
  <dcterms:modified xsi:type="dcterms:W3CDTF">2023-10-24T06:16:00Z</dcterms:modified>
  <revision>2</revision>
  <dc:title>2006 M</dc:title>
</coreProperties>
</file>