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jc w:val="center"/>
        <w:rPr>
          <w:b/>
          <w:szCs w:val="24"/>
          <w:lang w:eastAsia="lt-LT"/>
        </w:rPr>
      </w:pPr>
      <w:r>
        <w:rPr>
          <w:b/>
          <w:szCs w:val="24"/>
          <w:lang w:eastAsia="lt-LT"/>
        </w:rPr>
        <w:t>NUMATOMO TEISINIO REGULIAVIMO POVEIKIO VERTINIMO PAŽYMA</w:t>
      </w:r>
    </w:p>
    <w:p>
      <w:pPr>
        <w:rPr>
          <w:b/>
          <w:szCs w:val="24"/>
          <w:lang w:eastAsia="lt-LT"/>
        </w:rPr>
      </w:pPr>
    </w:p>
    <w:tbl>
      <w:tblPr>
        <w:tblW w:w="0" w:type="auto"/>
        <w:tblLook w:val="04A0" w:firstRow="1" w:lastRow="0" w:firstColumn="1" w:lastColumn="0" w:noHBand="0" w:noVBand="1"/>
      </w:tblPr>
      <w:tblGrid>
        <w:gridCol w:w="2235"/>
        <w:gridCol w:w="7619"/>
      </w:tblGrid>
      <w:tr>
        <w:tc>
          <w:tcPr>
            <w:tcW w:w="2235" w:type="dxa"/>
          </w:tcPr>
          <w:p>
            <w:pPr>
              <w:ind w:left="1418" w:hanging="1418"/>
              <w:rPr>
                <w:b/>
                <w:szCs w:val="24"/>
                <w:lang w:eastAsia="lt-LT"/>
              </w:rPr>
            </w:pPr>
            <w:r>
              <w:rPr>
                <w:b/>
                <w:szCs w:val="24"/>
                <w:lang w:eastAsia="lt-LT"/>
              </w:rPr>
              <w:t>Projekto</w:t>
            </w:r>
          </w:p>
          <w:p>
            <w:pPr>
              <w:rPr>
                <w:b/>
                <w:szCs w:val="24"/>
                <w:lang w:eastAsia="lt-LT"/>
              </w:rPr>
            </w:pPr>
            <w:r>
              <w:rPr>
                <w:b/>
                <w:szCs w:val="24"/>
                <w:lang w:eastAsia="lt-LT"/>
              </w:rPr>
              <w:t>pavadinimas.</w:t>
            </w:r>
          </w:p>
        </w:tc>
        <w:tc>
          <w:tcPr>
            <w:tcW w:w="7619" w:type="dxa"/>
          </w:tcPr>
          <w:p>
            <w:pPr>
              <w:widowControl w:val="0"/>
              <w:suppressAutoHyphens/>
              <w:jc w:val="both"/>
              <w:rPr>
                <w:rFonts w:eastAsia="Andale Sans UI" w:cs="Tahoma"/>
                <w:bCs/>
                <w:szCs w:val="24"/>
                <w:lang w:bidi="en-US"/>
              </w:rPr>
            </w:pPr>
            <w:r>
              <w:rPr>
                <w:rFonts w:eastAsia="Andale Sans UI" w:cs="Tahoma"/>
                <w:bCs/>
                <w:szCs w:val="24"/>
                <w:lang w:bidi="en-US"/>
              </w:rPr>
              <w:t>Lietuvos Respublikos žemės įstatymo Nr. I-446 pakeitimo įstatymo, Lietuvos Respublikos žemės reformos įstatymo Nr. I-1607 9, 10, 15, 16, 17, 18, 19 ir 20 straipsnių pakeitimo įstatymo, Lietuvos Respublikos piliečių nuosavybės teisių į išlikusį nekilnojamąjį turtą atkūrimo įstatymo Nr. VIII-359 4 ir 17 straipsnių pakeitimo įstatymo, Lietuvos Respublikos kompensacijų už valstybės išperkamą nekilnojamąjį turtą dydžio, šaltinių, mokėjimo terminų bei tvarkos, taip pat garantijų ir lengvatų, numatytų Piliečių nuosavybės teisių į išlikusį nekilnojamąjį turtą atkūrimo įstatyme, įstatymo Nr. VIII-792 8 ir 10 straipsnių pakeitimo įstatymo, Lietuvos Respublikos geodezijos ir kartografijos įstatymo Nr. IX-415 2, 7, 9, 10, 11, 12, 13, 14, 15, 16, 17, 19, 20, 21, 24, 27 ir 31 straipsnių pakeitimo įstatymo, Lietuvos Respublikos nekilnojamojo turto kadastro įstatymo Nr. VIII-1764 4 straipsnio pakeitimo įstatymo, Lietuvos Respublikos teritorijų planavimo įstatymo Nr. I-1120 45 ir 47 straipsnių pakeitimo įstatymo, Lietuvos Respublikos teritorijų planavimo ir statybos valstybinės priežiūros įstatymo Nr. XII-459 2, 3 ir 28 straipsnių pakeitimo įstatymo, Lietuvos Respublikos administracinių nusižengimų kodekso Nr. XII-1869 589 straipsnio pakeitimo įstatymo, Lietuvos Respublikos žemės paėmimo visuomenės poreikiams įgyvendinant ypatingos valstybinės svarbos projektus įstatymo Nr. XI-1307 2, 5, 7, 12 ir 15 straipsnių pakeitimo įstatymo, Lietuvos Respublikos pajūrio juostos įstatymo Nr. IX-1016 6 ir 10 straipsnių pakeitimo įstatymo, Lietuvos Respublikos vandens įstatymo Nr. VIII-474 15 straipsnio pakeitimo įstatymo, Lietuvos Respublikos miškų įstatymo Nr. I-671 4, 41, 5, 13, 15 straipsnių pakeitimo įstatymo, Lietuvos Respublikos želdynų įstatymo Nr. X-1241 2 straipsnio pakeitimo įstatymo, Lietuvos Respublikos saugomų teritorijų įstatymo Nr. I-301 30 straipsnio pakeitimo įstatymo, Lietuvos Respublikos geležinkelių transporto kodekso Nr. IX-2152 231 straipsnio pakeitimo įstatymo, Lietuvos Respublikos savivaldybių infrastruktūros plėtros įstatymo Nr. XIII-2895 4, 6 ir 10 straipsnių pakeitimo įstatymo, Lietuvos Respublikos žemės ūkio paskirties žemės įsigijimo įstatymo Nr. IX-1314 pakeitimo įstatymo, Lietuvos Respublikos teritorijos administracinių vienetų ir jų ribų įstatymo Nr. I-558 1 straipsnio pakeitimo įstatymo projektas (toliau – Įstatymų projektai).</w:t>
            </w:r>
          </w:p>
          <w:p>
            <w:pPr>
              <w:widowControl w:val="0"/>
              <w:suppressAutoHyphens/>
              <w:jc w:val="both"/>
              <w:rPr>
                <w:rFonts w:eastAsia="Andale Sans UI" w:cs="Tahoma"/>
                <w:szCs w:val="24"/>
                <w:lang w:bidi="en-US"/>
              </w:rPr>
            </w:pPr>
          </w:p>
        </w:tc>
      </w:tr>
      <w:tr>
        <w:tc>
          <w:tcPr>
            <w:tcW w:w="2235" w:type="dxa"/>
          </w:tcPr>
          <w:p>
            <w:pPr>
              <w:ind w:left="1418" w:hanging="1418"/>
              <w:rPr>
                <w:b/>
                <w:szCs w:val="24"/>
                <w:lang w:eastAsia="lt-LT"/>
              </w:rPr>
            </w:pPr>
            <w:r>
              <w:rPr>
                <w:b/>
                <w:szCs w:val="24"/>
                <w:lang w:eastAsia="lt-LT"/>
              </w:rPr>
              <w:t>Projektų rengėjas</w:t>
            </w:r>
          </w:p>
        </w:tc>
        <w:tc>
          <w:tcPr>
            <w:tcW w:w="7619" w:type="dxa"/>
          </w:tcPr>
          <w:p>
            <w:pPr>
              <w:jc w:val="both"/>
              <w:rPr>
                <w:szCs w:val="24"/>
                <w:lang w:eastAsia="lt-LT"/>
              </w:rPr>
            </w:pPr>
            <w:r>
              <w:rPr>
                <w:szCs w:val="24"/>
                <w:lang w:eastAsia="lt-LT"/>
              </w:rPr>
              <w:t xml:space="preserve">Lietuvos Respublikos aplinkos ministerija. </w:t>
            </w:r>
          </w:p>
          <w:p>
            <w:pPr>
              <w:rPr>
                <w:szCs w:val="24"/>
                <w:lang w:eastAsia="lt-LT"/>
              </w:rPr>
            </w:pPr>
          </w:p>
        </w:tc>
      </w:tr>
      <w:tr>
        <w:tc>
          <w:tcPr>
            <w:tcW w:w="2235" w:type="dxa"/>
          </w:tcPr>
          <w:p>
            <w:pPr>
              <w:jc w:val="both"/>
              <w:rPr>
                <w:szCs w:val="24"/>
                <w:lang w:eastAsia="lt-LT"/>
              </w:rPr>
            </w:pPr>
            <w:r>
              <w:rPr>
                <w:b/>
                <w:szCs w:val="24"/>
                <w:lang w:eastAsia="lt-LT"/>
              </w:rPr>
              <w:t>Projektų tikslas ir priemonės jam pasiekti</w:t>
            </w:r>
          </w:p>
          <w:p>
            <w:pPr>
              <w:ind w:left="1418" w:hanging="1418"/>
              <w:rPr>
                <w:b/>
                <w:szCs w:val="24"/>
                <w:lang w:eastAsia="lt-LT"/>
              </w:rPr>
            </w:pPr>
          </w:p>
        </w:tc>
        <w:tc>
          <w:tcPr>
            <w:tcW w:w="7619" w:type="dxa"/>
          </w:tcPr>
          <w:p>
            <w:pPr>
              <w:jc w:val="both"/>
              <w:rPr>
                <w:szCs w:val="24"/>
                <w:lang w:eastAsia="lt-LT"/>
              </w:rPr>
            </w:pPr>
            <w:r>
              <w:rPr>
                <w:szCs w:val="24"/>
                <w:lang w:eastAsia="lt-LT"/>
              </w:rPr>
              <w:t>Parengtų įstatymų projektų tikslas:</w:t>
            </w:r>
          </w:p>
          <w:p>
            <w:pPr>
              <w:tabs>
                <w:tab w:val="left" w:pos="459"/>
              </w:tabs>
              <w:ind w:left="459" w:hanging="426"/>
              <w:jc w:val="both"/>
              <w:rPr>
                <w:szCs w:val="24"/>
                <w:lang w:eastAsia="lt-LT"/>
              </w:rPr>
            </w:pPr>
            <w:r>
              <w:rPr>
                <w:szCs w:val="24"/>
                <w:lang w:eastAsia="lt-LT"/>
              </w:rPr>
              <w:t>1.</w:t>
              <w:tab/>
              <w:t>Siekiant atskirti institucijų funkcijas – konsoliduoti su teritorijų planavimo ir statybos sritimis susijusių sričių politikos formavimo funkcijas vienoje ministerijoje, siūloma perduoti AM valstybės politikos formavimą žemės (išskyrus žemės ūkio paskirties žemės) tvarkymo, žemės reformos, žemėtvarkos, geodezijos, kartografijos, nekilnojamojo turto kadastro, žemės naudojimo valstybinės kontrolės srityse, atitinkamai pakeisti ir NŽT pavaldumą iš ŽŪM į AM;</w:t>
            </w:r>
          </w:p>
          <w:p>
            <w:pPr>
              <w:tabs>
                <w:tab w:val="left" w:pos="459"/>
              </w:tabs>
              <w:ind w:left="459" w:hanging="426"/>
              <w:jc w:val="both"/>
              <w:rPr>
                <w:szCs w:val="24"/>
                <w:lang w:eastAsia="lt-LT"/>
              </w:rPr>
            </w:pPr>
            <w:r>
              <w:rPr>
                <w:szCs w:val="24"/>
                <w:lang w:eastAsia="lt-LT"/>
              </w:rPr>
              <w:t>2.</w:t>
              <w:tab/>
              <w:t>Siekiant skaidrinti ir supaprastinti valstybinės žemės valdymą ir naudojimą ir suteikti vietos savivaldai galimybę efektyviai planuoti ir naudoti savo teritoriją užtikrinant, kad savivaldybės visoje šalies teritorijoje veiktų vieningai (netaikytų skirtingų tvarkų ir standartų žemėtvarkos srityje), siūloma nustatyti, kad savivaldybės būtų pagrindinis valstybinės žemės patikėtinis ir patikėjimo teise valdytų visą joms Vyriausybės nutarimais perduotą valstybinę žemę savivaldybės teritorijoje;</w:t>
            </w:r>
          </w:p>
          <w:p>
            <w:pPr>
              <w:tabs>
                <w:tab w:val="left" w:pos="459"/>
              </w:tabs>
              <w:ind w:left="459" w:hanging="426"/>
              <w:jc w:val="both"/>
              <w:rPr>
                <w:szCs w:val="24"/>
                <w:lang w:eastAsia="lt-LT"/>
              </w:rPr>
            </w:pPr>
            <w:r>
              <w:rPr>
                <w:szCs w:val="24"/>
                <w:lang w:eastAsia="lt-LT"/>
              </w:rPr>
              <w:t>3.</w:t>
              <w:tab/>
              <w:t>Atsisakyti perteklinių, besidubliuojančių, administracinę naštą didinančių procedūrų.</w:t>
            </w:r>
          </w:p>
          <w:p>
            <w:pPr>
              <w:jc w:val="both"/>
              <w:rPr>
                <w:szCs w:val="24"/>
                <w:lang w:eastAsia="lt-LT"/>
              </w:rPr>
            </w:pPr>
          </w:p>
        </w:tc>
      </w:tr>
      <w:tr>
        <w:tc>
          <w:tcPr>
            <w:tcW w:w="2235" w:type="dxa"/>
          </w:tcPr>
          <w:p>
            <w:pPr>
              <w:rPr>
                <w:b/>
                <w:szCs w:val="24"/>
                <w:lang w:eastAsia="lt-LT"/>
              </w:rPr>
            </w:pPr>
            <w:r>
              <w:rPr>
                <w:b/>
                <w:szCs w:val="24"/>
                <w:lang w:eastAsia="lt-LT"/>
              </w:rPr>
              <w:t>Poveikis valstybinės žemės naudojimo sričiai</w:t>
            </w:r>
          </w:p>
          <w:p>
            <w:pPr>
              <w:rPr>
                <w:b/>
                <w:szCs w:val="24"/>
                <w:lang w:eastAsia="lt-LT"/>
              </w:rPr>
            </w:pPr>
          </w:p>
        </w:tc>
        <w:tc>
          <w:tcPr>
            <w:tcW w:w="7619" w:type="dxa"/>
          </w:tcPr>
          <w:p>
            <w:pPr>
              <w:jc w:val="both"/>
              <w:rPr>
                <w:szCs w:val="24"/>
                <w:lang w:eastAsia="lt-LT"/>
              </w:rPr>
            </w:pPr>
            <w:r>
              <w:rPr>
                <w:szCs w:val="24"/>
                <w:lang w:eastAsia="lt-LT"/>
              </w:rPr>
              <w:t>Priėmus siūlomus pakeitimus numatomi teigiami pokyčiai:</w:t>
            </w:r>
          </w:p>
          <w:p>
            <w:pPr>
              <w:ind w:left="459" w:hanging="459"/>
              <w:jc w:val="both"/>
              <w:rPr>
                <w:szCs w:val="24"/>
                <w:lang w:eastAsia="lt-LT"/>
              </w:rPr>
            </w:pPr>
            <w:r>
              <w:rPr>
                <w:szCs w:val="24"/>
                <w:lang w:eastAsia="lt-LT"/>
              </w:rPr>
              <w:t>1.</w:t>
              <w:tab/>
              <w:t>Užtikrintas nuoseklus politikos formavimas – formuojama vieninga valstybės politika aplinkosaugos, teritorijų planavimo, urbanistikos, statybos ir jos priežiūros srityse (konsoliduoti ir efektyviau naudojami valstybiniai erdvinių duomenų rinkiniai, informacinių technologijų ištekliai, efektyvi valstybinių erdvinių duomenų ir jiems teikti skirtų el. paslaugų kūrimo, palaikymo ir vystymo politika);</w:t>
            </w:r>
          </w:p>
          <w:p>
            <w:pPr>
              <w:ind w:left="459" w:hanging="459"/>
              <w:jc w:val="both"/>
              <w:rPr>
                <w:szCs w:val="24"/>
                <w:lang w:eastAsia="lt-LT"/>
              </w:rPr>
            </w:pPr>
            <w:r>
              <w:rPr>
                <w:szCs w:val="24"/>
                <w:lang w:eastAsia="lt-LT"/>
              </w:rPr>
              <w:t>2.</w:t>
              <w:tab/>
              <w:t>Skaidresnis ir paprastesnis valstybinės žemės valdymas ir naudojimas, vietos savivaldai suteikiama galimybė efektyviau planuoti ir naudoti savo teritoriją užtikrinama vieninga visų savivaldybių veikla valstybinės žemės naudojimo srityje.</w:t>
            </w:r>
          </w:p>
          <w:p>
            <w:pPr>
              <w:jc w:val="both"/>
              <w:rPr>
                <w:sz w:val="16"/>
                <w:szCs w:val="16"/>
                <w:lang w:eastAsia="lt-LT"/>
              </w:rPr>
            </w:pPr>
          </w:p>
        </w:tc>
      </w:tr>
      <w:tr>
        <w:tc>
          <w:tcPr>
            <w:tcW w:w="2235" w:type="dxa"/>
          </w:tcPr>
          <w:p>
            <w:pPr>
              <w:rPr>
                <w:b/>
                <w:szCs w:val="24"/>
                <w:lang w:eastAsia="lt-LT"/>
              </w:rPr>
            </w:pPr>
            <w:r>
              <w:rPr>
                <w:b/>
                <w:szCs w:val="24"/>
                <w:lang w:eastAsia="lt-LT"/>
              </w:rPr>
              <w:t>Poveikis valstybės finansams</w:t>
            </w:r>
          </w:p>
        </w:tc>
        <w:tc>
          <w:tcPr>
            <w:tcW w:w="7619" w:type="dxa"/>
          </w:tcPr>
          <w:p>
            <w:pPr>
              <w:jc w:val="both"/>
              <w:rPr>
                <w:szCs w:val="24"/>
                <w:lang w:eastAsia="lt-LT"/>
              </w:rPr>
            </w:pPr>
            <w:r>
              <w:rPr>
                <w:szCs w:val="24"/>
                <w:lang w:eastAsia="lt-LT"/>
              </w:rPr>
              <w:t xml:space="preserve">Įstatymų projektams įgyvendinti papildomo lėšų poreikio nebus, tačiau atitinkamų funkcijų įgyvendinimui skirtų asignavimų perskirstymas tarp institucijų bus reikalingas. </w:t>
            </w:r>
          </w:p>
          <w:p>
            <w:pPr>
              <w:jc w:val="both"/>
              <w:rPr>
                <w:sz w:val="20"/>
                <w:lang w:eastAsia="lt-LT"/>
              </w:rPr>
            </w:pPr>
          </w:p>
          <w:p>
            <w:pPr>
              <w:rPr>
                <w:sz w:val="16"/>
                <w:szCs w:val="16"/>
                <w:lang w:eastAsia="lt-LT"/>
              </w:rPr>
            </w:pPr>
          </w:p>
        </w:tc>
      </w:tr>
      <w:tr>
        <w:tc>
          <w:tcPr>
            <w:tcW w:w="2235" w:type="dxa"/>
          </w:tcPr>
          <w:p>
            <w:pPr>
              <w:rPr>
                <w:b/>
                <w:szCs w:val="24"/>
                <w:lang w:eastAsia="lt-LT"/>
              </w:rPr>
            </w:pPr>
            <w:r>
              <w:rPr>
                <w:b/>
                <w:szCs w:val="24"/>
                <w:lang w:eastAsia="lt-LT"/>
              </w:rPr>
              <w:t>Poveikis administracinei naštai</w:t>
            </w:r>
          </w:p>
          <w:p>
            <w:pPr>
              <w:rPr>
                <w:b/>
                <w:szCs w:val="24"/>
                <w:lang w:eastAsia="lt-LT"/>
              </w:rPr>
            </w:pPr>
          </w:p>
        </w:tc>
        <w:tc>
          <w:tcPr>
            <w:tcW w:w="7619" w:type="dxa"/>
          </w:tcPr>
          <w:p>
            <w:pPr>
              <w:jc w:val="both"/>
              <w:rPr>
                <w:szCs w:val="24"/>
                <w:lang w:eastAsia="lt-LT"/>
              </w:rPr>
            </w:pPr>
            <w:r>
              <w:rPr>
                <w:szCs w:val="24"/>
                <w:lang w:eastAsia="lt-LT"/>
              </w:rPr>
              <w:t>Administracinė našta bus mažinama, atsisakant perteklinių, besidubliuojančių procedūrų.</w:t>
            </w:r>
          </w:p>
        </w:tc>
      </w:tr>
      <w:tr>
        <w:tc>
          <w:tcPr>
            <w:tcW w:w="2235" w:type="dxa"/>
          </w:tcPr>
          <w:p>
            <w:pPr>
              <w:rPr>
                <w:b/>
                <w:szCs w:val="24"/>
                <w:lang w:eastAsia="lt-LT"/>
              </w:rPr>
            </w:pPr>
            <w:r>
              <w:rPr>
                <w:b/>
                <w:szCs w:val="24"/>
                <w:lang w:eastAsia="lt-LT"/>
              </w:rPr>
              <w:t>Poveikis ekonomikai</w:t>
            </w:r>
          </w:p>
        </w:tc>
        <w:tc>
          <w:tcPr>
            <w:tcW w:w="7619" w:type="dxa"/>
          </w:tcPr>
          <w:p>
            <w:pPr>
              <w:jc w:val="both"/>
              <w:rPr>
                <w:szCs w:val="24"/>
                <w:lang w:eastAsia="lt-LT"/>
              </w:rPr>
            </w:pPr>
            <w:r>
              <w:rPr>
                <w:szCs w:val="24"/>
                <w:lang w:eastAsia="lt-LT"/>
              </w:rPr>
              <w:t xml:space="preserve">Priėmus Įstatymų projektus bus padidintas investuotojų ar finansuotojų pasitikėjimas valstybinėje žemėje įgyvendinamais projektais, panaikintos kliūtys naujų objektų vystymui: laiku išduodami reikiami sutikimai, suderinami projektai ir pan. Bus sudarytos palankesnės sąlygos ilgalaikei ir darniai ekonomikos plėtrai ir skatinamas naujų investicijų pritraukimas, greitesnis projektų įgyvendinimas. </w:t>
            </w:r>
          </w:p>
          <w:p>
            <w:pPr>
              <w:jc w:val="both"/>
              <w:rPr>
                <w:szCs w:val="24"/>
                <w:lang w:eastAsia="lt-LT"/>
              </w:rPr>
            </w:pPr>
          </w:p>
        </w:tc>
      </w:tr>
      <w:tr>
        <w:tc>
          <w:tcPr>
            <w:tcW w:w="2235" w:type="dxa"/>
          </w:tcPr>
          <w:p>
            <w:pPr>
              <w:rPr>
                <w:b/>
                <w:szCs w:val="24"/>
                <w:lang w:eastAsia="lt-LT"/>
              </w:rPr>
            </w:pPr>
            <w:r>
              <w:rPr>
                <w:b/>
                <w:szCs w:val="24"/>
                <w:lang w:eastAsia="lt-LT"/>
              </w:rPr>
              <w:t>Poveikis klimato kaitai</w:t>
            </w:r>
          </w:p>
        </w:tc>
        <w:tc>
          <w:tcPr>
            <w:tcW w:w="7619" w:type="dxa"/>
          </w:tcPr>
          <w:p>
            <w:pPr>
              <w:jc w:val="both"/>
              <w:rPr>
                <w:szCs w:val="24"/>
                <w:lang w:eastAsia="lt-LT"/>
              </w:rPr>
            </w:pPr>
            <w:r>
              <w:rPr>
                <w:szCs w:val="24"/>
                <w:lang w:eastAsia="lt-LT"/>
              </w:rPr>
              <w:t>Priėmus Įstatymų projektus, poveikio klimato kaitai nebus.</w:t>
            </w:r>
          </w:p>
        </w:tc>
      </w:tr>
    </w:tbl>
    <w:p>
      <w:pPr>
        <w:rPr>
          <w:b/>
          <w:szCs w:val="24"/>
          <w:lang w:eastAsia="lt-LT"/>
        </w:rPr>
      </w:pPr>
    </w:p>
    <w:p>
      <w:pPr>
        <w:rPr>
          <w:b/>
          <w:szCs w:val="24"/>
          <w:lang w:eastAsia="lt-LT"/>
        </w:rPr>
      </w:pPr>
      <w:r>
        <w:rPr>
          <w:b/>
          <w:szCs w:val="24"/>
          <w:lang w:eastAsia="lt-LT"/>
        </w:rPr>
        <w:t xml:space="preserve">Kita svarbi informacija: </w:t>
      </w:r>
      <w:r>
        <w:rPr>
          <w:szCs w:val="24"/>
          <w:lang w:eastAsia="lt-LT"/>
        </w:rPr>
        <w:t>Nėra.</w:t>
      </w:r>
    </w:p>
    <w:p>
      <w:pPr>
        <w:rPr>
          <w:b/>
          <w:szCs w:val="24"/>
          <w:lang w:eastAsia="lt-LT"/>
        </w:rPr>
      </w:pPr>
    </w:p>
    <w:p>
      <w:pPr>
        <w:rPr>
          <w:b/>
          <w:szCs w:val="24"/>
          <w:lang w:eastAsia="lt-LT"/>
        </w:rPr>
      </w:pPr>
      <w:r>
        <w:rPr>
          <w:b/>
          <w:szCs w:val="24"/>
          <w:lang w:eastAsia="lt-LT"/>
        </w:rPr>
        <w:t>Informacija apie asmenį ir instituciją, atsakingą už poveikio vertinimą</w:t>
      </w:r>
    </w:p>
    <w:p>
      <w:pPr>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60"/>
      </w:tblGrid>
      <w:tr>
        <w:tc>
          <w:tcPr>
            <w:tcW w:w="3794" w:type="dxa"/>
          </w:tcPr>
          <w:p>
            <w:pPr>
              <w:rPr>
                <w:szCs w:val="24"/>
                <w:lang w:eastAsia="lt-LT"/>
              </w:rPr>
            </w:pPr>
            <w:r>
              <w:rPr>
                <w:szCs w:val="24"/>
                <w:lang w:eastAsia="lt-LT"/>
              </w:rPr>
              <w:t>Vardas ir pavardė</w:t>
            </w:r>
          </w:p>
        </w:tc>
        <w:tc>
          <w:tcPr>
            <w:tcW w:w="6060" w:type="dxa"/>
          </w:tcPr>
          <w:p>
            <w:pPr>
              <w:rPr>
                <w:szCs w:val="24"/>
                <w:lang w:eastAsia="lt-LT"/>
              </w:rPr>
            </w:pPr>
            <w:r>
              <w:rPr>
                <w:szCs w:val="24"/>
                <w:lang w:eastAsia="lt-LT"/>
              </w:rPr>
              <w:t>Erika Giedraitienė</w:t>
            </w:r>
          </w:p>
        </w:tc>
      </w:tr>
      <w:tr>
        <w:tc>
          <w:tcPr>
            <w:tcW w:w="3794" w:type="dxa"/>
          </w:tcPr>
          <w:p>
            <w:pPr>
              <w:rPr>
                <w:szCs w:val="24"/>
                <w:lang w:eastAsia="lt-LT"/>
              </w:rPr>
            </w:pPr>
            <w:r>
              <w:rPr>
                <w:szCs w:val="24"/>
                <w:lang w:eastAsia="lt-LT"/>
              </w:rPr>
              <w:t xml:space="preserve">Pareigos </w:t>
            </w:r>
          </w:p>
        </w:tc>
        <w:tc>
          <w:tcPr>
            <w:tcW w:w="6060" w:type="dxa"/>
          </w:tcPr>
          <w:p>
            <w:pPr>
              <w:rPr>
                <w:szCs w:val="24"/>
                <w:lang w:eastAsia="lt-LT"/>
              </w:rPr>
            </w:pPr>
            <w:r>
              <w:rPr>
                <w:szCs w:val="24"/>
                <w:lang w:eastAsia="lt-LT"/>
              </w:rPr>
              <w:t>Vyriausioji specialistė</w:t>
            </w:r>
          </w:p>
        </w:tc>
      </w:tr>
      <w:tr>
        <w:tc>
          <w:tcPr>
            <w:tcW w:w="3794" w:type="dxa"/>
          </w:tcPr>
          <w:p>
            <w:pPr>
              <w:rPr>
                <w:szCs w:val="24"/>
                <w:lang w:eastAsia="lt-LT"/>
              </w:rPr>
            </w:pPr>
            <w:r>
              <w:rPr>
                <w:szCs w:val="24"/>
                <w:lang w:eastAsia="lt-LT"/>
              </w:rPr>
              <w:t>Institucija (padalinys)</w:t>
            </w:r>
          </w:p>
        </w:tc>
        <w:tc>
          <w:tcPr>
            <w:tcW w:w="6060" w:type="dxa"/>
          </w:tcPr>
          <w:p>
            <w:pPr>
              <w:rPr>
                <w:szCs w:val="24"/>
                <w:lang w:eastAsia="lt-LT"/>
              </w:rPr>
            </w:pPr>
            <w:r>
              <w:rPr>
                <w:szCs w:val="24"/>
                <w:lang w:eastAsia="lt-LT"/>
              </w:rPr>
              <w:t xml:space="preserve">Lietuvos Respublikos aplinkos ministerijos </w:t>
            </w:r>
          </w:p>
          <w:p>
            <w:pPr>
              <w:rPr>
                <w:szCs w:val="24"/>
                <w:lang w:eastAsia="lt-LT"/>
              </w:rPr>
            </w:pPr>
            <w:r>
              <w:rPr>
                <w:szCs w:val="24"/>
                <w:lang w:eastAsia="lt-LT"/>
              </w:rPr>
              <w:t>Teisės ir personalo skyrius</w:t>
            </w:r>
          </w:p>
        </w:tc>
      </w:tr>
      <w:tr>
        <w:trPr>
          <w:trHeight w:val="631"/>
        </w:trPr>
        <w:tc>
          <w:tcPr>
            <w:tcW w:w="3794" w:type="dxa"/>
          </w:tcPr>
          <w:p>
            <w:pPr>
              <w:rPr>
                <w:szCs w:val="24"/>
                <w:lang w:eastAsia="lt-LT"/>
              </w:rPr>
            </w:pPr>
            <w:r>
              <w:rPr>
                <w:szCs w:val="24"/>
                <w:lang w:eastAsia="lt-LT"/>
              </w:rPr>
              <w:t>Telefono numeris ir elektroninio pašto adresas</w:t>
            </w:r>
          </w:p>
        </w:tc>
        <w:tc>
          <w:tcPr>
            <w:tcW w:w="6060" w:type="dxa"/>
          </w:tcPr>
          <w:p>
            <w:pPr>
              <w:rPr>
                <w:szCs w:val="24"/>
                <w:lang w:eastAsia="lt-LT"/>
              </w:rPr>
            </w:pPr>
            <w:r>
              <w:rPr>
                <w:szCs w:val="24"/>
                <w:lang w:eastAsia="lt-LT"/>
              </w:rPr>
              <w:t>8 696 75865</w:t>
            </w:r>
          </w:p>
          <w:p>
            <w:pPr>
              <w:spacing w:line="480" w:lineRule="auto"/>
              <w:rPr>
                <w:szCs w:val="24"/>
                <w:lang w:eastAsia="lt-LT"/>
              </w:rPr>
            </w:pPr>
            <w:r>
              <w:rPr>
                <w:szCs w:val="24"/>
                <w:lang w:eastAsia="lt-LT"/>
              </w:rPr>
              <w:t>erika.giedraitiene@am.lt</w:t>
            </w:r>
          </w:p>
        </w:tc>
      </w:tr>
    </w:tbl>
    <w:p>
      <w:pPr>
        <w:rPr>
          <w:b/>
          <w:sz w:val="4"/>
          <w:szCs w:val="4"/>
          <w:lang w:eastAsia="lt-LT"/>
        </w:rPr>
      </w:pPr>
    </w:p>
    <w:sectPr>
      <w:pgSz w:w="11906" w:h="16838"/>
      <w:pgMar w:top="992" w:right="567" w:bottom="62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szCs w:val="24"/>
          <w:lang w:eastAsia="lt-LT"/>
        </w:rPr>
      </w:pPr>
      <w:r>
        <w:rPr>
          <w:szCs w:val="24"/>
          <w:lang w:eastAsia="lt-LT"/>
        </w:rPr>
        <w:separator/>
      </w:r>
    </w:p>
  </w:endnote>
  <w:endnote w:type="continuationSeparator" w:id="0">
    <w:p>
      <w:pPr>
        <w:rPr>
          <w:szCs w:val="24"/>
          <w:lang w:eastAsia="lt-LT"/>
        </w:rPr>
      </w:pPr>
      <w:r>
        <w:rPr>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ndale Sans UI">
    <w:altName w:val="Calibri"/>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szCs w:val="24"/>
          <w:lang w:eastAsia="lt-LT"/>
        </w:rPr>
      </w:pPr>
      <w:r>
        <w:rPr>
          <w:szCs w:val="24"/>
          <w:lang w:eastAsia="lt-LT"/>
        </w:rPr>
        <w:separator/>
      </w:r>
    </w:p>
  </w:footnote>
  <w:footnote w:type="continuationSeparator" w:id="0">
    <w:p>
      <w:pPr>
        <w:rPr>
          <w:szCs w:val="24"/>
          <w:lang w:eastAsia="lt-LT"/>
        </w:rPr>
      </w:pPr>
      <w:r>
        <w:rPr>
          <w:szCs w:val="24"/>
          <w:lang w:eastAsia="lt-LT"/>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E9D18-7303-4167-8988-8B32C98295B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4922</Characters>
  <Application>Microsoft Office Word</Application>
  <DocSecurity>4</DocSecurity>
  <Lines>123</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5547</CharactersWithSpaces>
  <SharedDoc>false</SharedDoc>
  <HyperlinkBase/>
  <HLinks>
    <vt:vector size="6" baseType="variant">
      <vt:variant>
        <vt:i4>6815760</vt:i4>
      </vt:variant>
      <vt:variant>
        <vt:i4>0</vt:i4>
      </vt:variant>
      <vt:variant>
        <vt:i4>0</vt:i4>
      </vt:variant>
      <vt:variant>
        <vt:i4>5</vt:i4>
      </vt:variant>
      <vt:variant>
        <vt:lpwstr>mailto:vytautas.jonaitis@am.lt</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2022-03-09T15:13:00Z</dcterms:created>
  <dc:creator>V-Jonaitis</dc:creator>
  <lastModifiedBy>adlibuser</lastModifiedBy>
  <lastPrinted>2017-09-13T13:57:00Z</lastPrinted>
  <dcterms:modified xsi:type="dcterms:W3CDTF">2022-03-09T15:13:00Z</dcterms:modified>
  <revision>2</revision>
</coreProperties>
</file>