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e70952b0b96041e5a9896d3319767275"/>
        <w:lock w:val="sdtLocked"/>
        <w:richText/>
      </w:sdtPr>
      <w:sdtContent>
        <w:tbl>
          <w:tblPr>
            <w:tblW w:w="9638" w:type="dxa"/>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suppressLineNumbers/>
                  <w:tabs>
                    <w:tab w:val="center" w:pos="4800"/>
                    <w:tab w:val="right" w:pos="9601"/>
                  </w:tabs>
                  <w:jc w:val="both"/>
                  <w:rPr>
                    <w:rFonts w:eastAsia="Andale Sans UI" w:cs="Tahoma"/>
                    <w:szCs w:val="24"/>
                    <w:lang w:bidi="en-US"/>
                  </w:rPr>
                </w:pPr>
              </w:p>
              <w:p>
                <w:pPr>
                  <w:rPr>
                    <w:sz w:val="20"/>
                  </w:rPr>
                </w:pPr>
              </w:p>
              <w:p>
                <w:pPr>
                  <w:keepNext/>
                  <w:widowControl w:val="0"/>
                  <w:suppressAutoHyphens/>
                  <w:ind w:firstLine="62"/>
                  <w:jc w:val="center"/>
                  <w:outlineLvl w:val="1"/>
                  <w:rPr>
                    <w:rFonts w:eastAsia="Andale Sans UI" w:cs="Tahoma"/>
                    <w:b/>
                    <w:bCs/>
                    <w:iCs/>
                    <w:caps/>
                    <w:szCs w:val="28"/>
                    <w:lang w:bidi="en-US"/>
                  </w:rPr>
                </w:pPr>
                <w:r>
                  <w:rPr>
                    <w:rFonts w:eastAsia="Andale Sans UI" w:cs="Tahoma"/>
                    <w:b/>
                    <w:bCs/>
                    <w:iCs/>
                    <w:caps/>
                    <w:sz w:val="26"/>
                    <w:szCs w:val="26"/>
                    <w:lang w:val="en-US"/>
                  </w:rPr>
                  <w:drawing>
                    <wp:inline distT="0" distB="0" distL="0" distR="0" wp14:anchorId="47B4FF70" wp14:editId="05B85950">
                      <wp:extent cx="523875" cy="619125"/>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solidFill>
                                <a:srgbClr val="FFFFFF">
                                  <a:alpha val="0"/>
                                </a:srgbClr>
                              </a:solidFill>
                              <a:ln>
                                <a:noFill/>
                              </a:ln>
                            </pic:spPr>
                          </pic:pic>
                        </a:graphicData>
                      </a:graphic>
                    </wp:inline>
                  </w:drawing>
                </w:r>
              </w:p>
              <w:p>
                <w:pPr>
                  <w:rPr>
                    <w:sz w:val="10"/>
                    <w:szCs w:val="10"/>
                  </w:rPr>
                </w:pPr>
              </w:p>
              <w:p>
                <w:pPr>
                  <w:suppressLineNumbers/>
                  <w:jc w:val="center"/>
                  <w:rPr>
                    <w:rFonts w:eastAsia="Andale Sans UI" w:cs="Tahoma"/>
                    <w:b/>
                    <w:bCs/>
                    <w:spacing w:val="20"/>
                    <w:szCs w:val="24"/>
                    <w:lang w:bidi="en-US"/>
                  </w:rPr>
                </w:pPr>
                <w:r>
                  <w:rPr>
                    <w:rFonts w:eastAsia="Andale Sans UI" w:cs="Tahoma"/>
                    <w:b/>
                    <w:bCs/>
                    <w:spacing w:val="20"/>
                    <w:szCs w:val="24"/>
                    <w:lang w:bidi="en-US"/>
                  </w:rPr>
                  <w:t>LIETUVOS RESPUBLIKOS APLINKOS MINISTERIJA</w:t>
                </w:r>
              </w:p>
              <w:p>
                <w:pPr>
                  <w:rPr>
                    <w:sz w:val="10"/>
                    <w:szCs w:val="10"/>
                  </w:rPr>
                </w:pPr>
              </w:p>
              <w:p>
                <w:pPr>
                  <w:suppressLineNumbers/>
                  <w:jc w:val="center"/>
                  <w:rPr>
                    <w:rFonts w:eastAsia="Andale Sans UI"/>
                    <w:spacing w:val="12"/>
                    <w:sz w:val="16"/>
                    <w:szCs w:val="16"/>
                    <w:lang w:bidi="en-US"/>
                  </w:rPr>
                </w:pPr>
                <w:r>
                  <w:rPr>
                    <w:rFonts w:eastAsia="Andale Sans UI"/>
                    <w:spacing w:val="12"/>
                    <w:sz w:val="16"/>
                    <w:szCs w:val="16"/>
                    <w:lang w:bidi="en-US"/>
                  </w:rPr>
                  <w:t>Biudžetinė įstaiga, A. Jakšto g. 4, LT-01105 Vilnius,</w:t>
                </w:r>
              </w:p>
              <w:p>
                <w:pPr>
                  <w:suppressLineNumbers/>
                  <w:jc w:val="center"/>
                  <w:rPr>
                    <w:rFonts w:eastAsia="Andale Sans UI"/>
                    <w:spacing w:val="12"/>
                    <w:sz w:val="16"/>
                    <w:szCs w:val="16"/>
                    <w:lang w:bidi="en-US"/>
                  </w:rPr>
                </w:pPr>
                <w:r>
                  <w:rPr>
                    <w:rFonts w:eastAsia="Andale Sans UI"/>
                    <w:spacing w:val="12"/>
                    <w:sz w:val="16"/>
                    <w:szCs w:val="16"/>
                    <w:lang w:bidi="en-US"/>
                  </w:rPr>
                  <w:t>tel. +370 626 22 252, el. p. info@am.lt, https://am.lrv.lt.</w:t>
                </w:r>
              </w:p>
              <w:p>
                <w:pPr>
                  <w:suppressLineNumbers/>
                  <w:jc w:val="center"/>
                  <w:rPr>
                    <w:rFonts w:ascii="Arial" w:eastAsia="Andale Sans UI" w:hAnsi="Arial" w:cs="Tahoma"/>
                    <w:b/>
                    <w:bCs/>
                    <w:spacing w:val="12"/>
                    <w:sz w:val="14"/>
                    <w:szCs w:val="14"/>
                    <w:lang w:bidi="en-US"/>
                  </w:rPr>
                </w:pPr>
                <w:r>
                  <w:rPr>
                    <w:rFonts w:eastAsia="Andale Sans UI"/>
                    <w:spacing w:val="12"/>
                    <w:sz w:val="16"/>
                    <w:szCs w:val="16"/>
                    <w:lang w:bidi="en-US"/>
                  </w:rPr>
                  <w:t>Duomenys kaupiami ir saugomi Juridinių asmenų registre, kodas 188602370</w:t>
                </w:r>
              </w:p>
            </w:tc>
          </w:tr>
          <w:tr>
            <w:tc>
              <w:tcPr>
                <w:tcW w:w="9638" w:type="dxa"/>
                <w:gridSpan w:val="5"/>
                <w:tcMar>
                  <w:top w:w="0" w:type="dxa"/>
                  <w:left w:w="0" w:type="dxa"/>
                  <w:bottom w:w="0" w:type="dxa"/>
                  <w:right w:w="0" w:type="dxa"/>
                </w:tcMar>
              </w:tcPr>
              <w:p>
                <w:pPr>
                  <w:suppressLineNumbers/>
                  <w:jc w:val="both"/>
                  <w:rPr>
                    <w:rFonts w:eastAsia="Andale Sans UI" w:cs="Tahoma"/>
                    <w:szCs w:val="24"/>
                    <w:lang w:bidi="en-US"/>
                  </w:rPr>
                </w:pPr>
              </w:p>
            </w:tc>
          </w:tr>
          <w:tr>
            <w:trPr>
              <w:cantSplit/>
              <w:trHeight w:val="340"/>
            </w:trPr>
            <w:tc>
              <w:tcPr>
                <w:tcW w:w="4817" w:type="dxa"/>
                <w:vMerge w:val="restart"/>
                <w:tcMar>
                  <w:top w:w="0" w:type="dxa"/>
                  <w:left w:w="0" w:type="dxa"/>
                  <w:bottom w:w="0" w:type="dxa"/>
                  <w:right w:w="0" w:type="dxa"/>
                </w:tcMar>
              </w:tcPr>
              <w:p>
                <w:pPr>
                  <w:suppressLineNumbers/>
                  <w:jc w:val="both"/>
                  <w:rPr>
                    <w:rFonts w:eastAsia="Andale Sans UI"/>
                    <w:spacing w:val="10"/>
                    <w:szCs w:val="24"/>
                    <w:lang w:bidi="en-US"/>
                  </w:rPr>
                </w:pPr>
                <w:r>
                  <w:rPr>
                    <w:rFonts w:eastAsia="Andale Sans UI"/>
                    <w:szCs w:val="24"/>
                    <w:lang w:bidi="en-US"/>
                  </w:rPr>
                  <w:t>Pagal adresatų sąrašą</w:t>
                </w:r>
              </w:p>
            </w:tc>
            <w:tc>
              <w:tcPr>
                <w:tcW w:w="282" w:type="dxa"/>
                <w:tcMar>
                  <w:top w:w="0" w:type="dxa"/>
                  <w:left w:w="0" w:type="dxa"/>
                  <w:bottom w:w="0" w:type="dxa"/>
                  <w:right w:w="0" w:type="dxa"/>
                </w:tcMar>
              </w:tcPr>
              <w:p>
                <w:pPr>
                  <w:ind w:right="67"/>
                  <w:jc w:val="right"/>
                  <w:rPr>
                    <w:rFonts w:eastAsia="Andale Sans UI"/>
                    <w:spacing w:val="10"/>
                    <w:szCs w:val="24"/>
                    <w:lang w:bidi="en-US"/>
                  </w:rPr>
                </w:pPr>
              </w:p>
            </w:tc>
            <w:tc>
              <w:tcPr>
                <w:tcW w:w="1841" w:type="dxa"/>
                <w:tcMar>
                  <w:top w:w="0" w:type="dxa"/>
                  <w:left w:w="0" w:type="dxa"/>
                  <w:bottom w:w="0" w:type="dxa"/>
                  <w:right w:w="0" w:type="dxa"/>
                </w:tcMar>
              </w:tcPr>
              <w:p>
                <w:pPr>
                  <w:suppressLineNumbers/>
                  <w:ind w:right="67"/>
                  <w:jc w:val="both"/>
                  <w:rPr>
                    <w:rFonts w:eastAsia="Andale Sans UI"/>
                    <w:szCs w:val="24"/>
                    <w:lang w:bidi="en-US"/>
                  </w:rPr>
                </w:pPr>
                <w:r>
                  <w:rPr>
                    <w:rFonts w:eastAsia="Andale Sans UI"/>
                    <w:szCs w:val="24"/>
                    <w:lang w:bidi="en-US"/>
                  </w:rPr>
                  <w:t>2025-</w:t>
                </w:r>
              </w:p>
            </w:tc>
            <w:tc>
              <w:tcPr>
                <w:tcW w:w="565" w:type="dxa"/>
              </w:tcPr>
              <w:p>
                <w:pPr>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Height w:val="340"/>
            </w:trPr>
            <w:tc>
              <w:tcPr>
                <w:tcW w:w="4817" w:type="dxa"/>
                <w:vMerge/>
                <w:tcMar>
                  <w:top w:w="0" w:type="dxa"/>
                  <w:left w:w="0" w:type="dxa"/>
                  <w:bottom w:w="0" w:type="dxa"/>
                  <w:right w:w="0" w:type="dxa"/>
                </w:tcMar>
              </w:tcPr>
              <w:p>
                <w:pPr>
                  <w:jc w:val="both"/>
                  <w:rPr>
                    <w:rFonts w:eastAsia="Andale Sans UI"/>
                    <w:szCs w:val="24"/>
                    <w:lang w:bidi="en-US"/>
                  </w:rPr>
                </w:pPr>
              </w:p>
            </w:tc>
            <w:tc>
              <w:tcPr>
                <w:tcW w:w="282" w:type="dxa"/>
                <w:tcMar>
                  <w:top w:w="0" w:type="dxa"/>
                  <w:left w:w="0" w:type="dxa"/>
                  <w:bottom w:w="0" w:type="dxa"/>
                  <w:right w:w="0" w:type="dxa"/>
                </w:tcMar>
              </w:tcPr>
              <w:p>
                <w:pPr>
                  <w:tabs>
                    <w:tab w:val="left" w:pos="2869"/>
                  </w:tab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suppressLineNumbers/>
                  <w:ind w:right="67"/>
                  <w:jc w:val="both"/>
                  <w:rPr>
                    <w:rFonts w:eastAsia="Andale Sans UI"/>
                    <w:szCs w:val="24"/>
                    <w:lang w:bidi="en-US"/>
                  </w:rPr>
                </w:pPr>
              </w:p>
            </w:tc>
            <w:tc>
              <w:tcPr>
                <w:tcW w:w="565" w:type="dxa"/>
              </w:tcPr>
              <w:p>
                <w:pPr>
                  <w:tabs>
                    <w:tab w:val="left" w:pos="2869"/>
                  </w:tabs>
                  <w:ind w:right="67"/>
                  <w:jc w:val="right"/>
                  <w:rPr>
                    <w:rFonts w:eastAsia="Andale Sans UI"/>
                    <w:spacing w:val="10"/>
                    <w:szCs w:val="24"/>
                    <w:lang w:bidi="en-US"/>
                  </w:rPr>
                </w:pPr>
                <w:r>
                  <w:rPr>
                    <w:rFonts w:eastAsia="Andale Sans UI"/>
                    <w:spacing w:val="10"/>
                    <w:szCs w:val="24"/>
                    <w:lang w:bidi="en-US"/>
                  </w:rPr>
                  <w:t>Nr.</w:t>
                </w:r>
              </w:p>
            </w:tc>
            <w:tc>
              <w:tcPr>
                <w:tcW w:w="2133" w:type="dxa"/>
              </w:tcPr>
              <w:p>
                <w:pPr>
                  <w:suppressLineNumbers/>
                  <w:ind w:right="67"/>
                  <w:jc w:val="both"/>
                  <w:rPr>
                    <w:rFonts w:eastAsia="Andale Sans UI"/>
                    <w:szCs w:val="24"/>
                    <w:lang w:bidi="en-US"/>
                  </w:rPr>
                </w:pPr>
              </w:p>
            </w:tc>
          </w:tr>
          <w:tr>
            <w:trPr>
              <w:cantSplit/>
            </w:trPr>
            <w:tc>
              <w:tcPr>
                <w:tcW w:w="4817" w:type="dxa"/>
                <w:vMerge/>
                <w:tcMar>
                  <w:top w:w="0" w:type="dxa"/>
                  <w:left w:w="0" w:type="dxa"/>
                  <w:bottom w:w="0" w:type="dxa"/>
                  <w:right w:w="0" w:type="dxa"/>
                </w:tcMar>
              </w:tcPr>
              <w:p>
                <w:pPr>
                  <w:jc w:val="both"/>
                  <w:rPr>
                    <w:rFonts w:eastAsia="Andale Sans UI"/>
                    <w:szCs w:val="24"/>
                    <w:lang w:bidi="en-US"/>
                  </w:rPr>
                </w:pPr>
              </w:p>
            </w:tc>
            <w:tc>
              <w:tcPr>
                <w:tcW w:w="4821" w:type="dxa"/>
                <w:gridSpan w:val="4"/>
                <w:tcMar>
                  <w:top w:w="0" w:type="dxa"/>
                  <w:left w:w="0" w:type="dxa"/>
                  <w:bottom w:w="0" w:type="dxa"/>
                  <w:right w:w="0" w:type="dxa"/>
                </w:tcMar>
              </w:tcPr>
              <w:p>
                <w:pPr>
                  <w:tabs>
                    <w:tab w:val="left" w:pos="2869"/>
                  </w:tabs>
                  <w:ind w:right="67"/>
                  <w:jc w:val="both"/>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suppressLineNumbers/>
                  <w:jc w:val="both"/>
                  <w:rPr>
                    <w:rFonts w:eastAsia="Andale Sans UI"/>
                    <w:b/>
                    <w:caps/>
                    <w:szCs w:val="24"/>
                    <w:lang w:bidi="en-US"/>
                  </w:rPr>
                </w:pPr>
              </w:p>
              <w:p>
                <w:pPr>
                  <w:suppressLineNumbers/>
                  <w:jc w:val="both"/>
                  <w:rPr>
                    <w:rFonts w:eastAsia="Andale Sans UI"/>
                    <w:b/>
                    <w:caps/>
                    <w:szCs w:val="24"/>
                    <w:lang w:bidi="en-US"/>
                  </w:rPr>
                </w:pPr>
              </w:p>
              <w:p>
                <w:pPr>
                  <w:suppressLineNumbers/>
                  <w:jc w:val="both"/>
                  <w:rPr>
                    <w:rFonts w:eastAsia="Andale Sans UI"/>
                    <w:b/>
                    <w:szCs w:val="24"/>
                    <w:lang w:eastAsia="lt-LT" w:bidi="en-US"/>
                  </w:rPr>
                </w:pPr>
                <w:r>
                  <w:rPr>
                    <w:rFonts w:eastAsia="Andale Sans UI"/>
                    <w:b/>
                    <w:caps/>
                    <w:szCs w:val="24"/>
                    <w:lang w:bidi="en-US"/>
                  </w:rPr>
                  <w:t xml:space="preserve">DĖL </w:t>
                </w:r>
                <w:r>
                  <w:rPr>
                    <w:rFonts w:eastAsia="Andale Sans UI"/>
                    <w:b/>
                    <w:szCs w:val="24"/>
                    <w:lang w:eastAsia="lt-LT" w:bidi="en-US"/>
                  </w:rPr>
                  <w:t>ĮSTATYMŲ PROJEKTŲ</w:t>
                </w:r>
              </w:p>
              <w:p>
                <w:pPr>
                  <w:suppressLineNumbers/>
                  <w:jc w:val="both"/>
                  <w:rPr>
                    <w:rFonts w:eastAsia="Andale Sans UI"/>
                    <w:b/>
                    <w:bCs/>
                    <w:szCs w:val="24"/>
                    <w:lang w:bidi="en-US"/>
                  </w:rPr>
                </w:pPr>
              </w:p>
            </w:tc>
          </w:tr>
        </w:tbl>
        <w:p>
          <w:pPr>
            <w:shd w:val="clear" w:color="auto" w:fill="FFFFFF"/>
            <w:ind w:firstLine="567"/>
            <w:jc w:val="both"/>
            <w:textAlignment w:val="center"/>
            <w:rPr>
              <w:rFonts w:eastAsia="Andale Sans UI"/>
              <w:szCs w:val="24"/>
              <w:lang w:bidi="en-US"/>
            </w:rPr>
          </w:pPr>
        </w:p>
      </w:sdtContent>
    </w:sdt>
    <w:sdt>
      <w:sdtPr>
        <w:alias w:val="pastraipa"/>
        <w:tag w:val="part_5171546aefbd4eba90decc93ab5dfb9e"/>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Aplinkos ministerija parengė ir teikia derinti Lietuvos Respublikos žemės įstatymo Nr. I-446 2, 7, 8, 9, 13, 13</w:t>
          </w:r>
          <w:r>
            <w:rPr>
              <w:rFonts w:eastAsia="Andale Sans UI"/>
              <w:szCs w:val="24"/>
              <w:vertAlign w:val="superscript"/>
              <w:lang w:bidi="en-US"/>
            </w:rPr>
            <w:t>1</w:t>
          </w:r>
          <w:r>
            <w:rPr>
              <w:rFonts w:eastAsia="Andale Sans UI"/>
              <w:szCs w:val="24"/>
              <w:lang w:bidi="en-US"/>
            </w:rPr>
            <w:t>, 22, 32, 36</w:t>
          </w:r>
          <w:r>
            <w:rPr>
              <w:rFonts w:eastAsia="Andale Sans UI"/>
              <w:szCs w:val="24"/>
              <w:vertAlign w:val="superscript"/>
              <w:lang w:bidi="en-US"/>
            </w:rPr>
            <w:t>2</w:t>
          </w:r>
          <w:r>
            <w:rPr>
              <w:rFonts w:eastAsia="Andale Sans UI"/>
              <w:szCs w:val="24"/>
              <w:lang w:bidi="en-US"/>
            </w:rPr>
            <w:t>, 37, 39, 40, 49, 50, 51, 52 ir 66 straipsnių pakeitimo įstatymo, Lietuvos Respublikos žemės reformos įstatymo Nr. I-1607 4, 16, 18, 19 ir 20 straipsnių pakeitimo įstatymo ir Lietuvos Respublikos vietos savivaldos įstatymo Nr. I-533 15 ir 27 straipsnių pakeitimo įstatymo projektus (toliau – Projektai).</w:t>
          </w:r>
        </w:p>
      </w:sdtContent>
    </w:sdt>
    <w:sdt>
      <w:sdtPr>
        <w:alias w:val="pastraipa"/>
        <w:tag w:val="part_e2b186f7921240ed9708d808178a0f4e"/>
        <w:lock w:val="sdtLocked"/>
        <w:richText/>
      </w:sdtPr>
      <w:sdtContent>
        <w:p>
          <w:pPr>
            <w:shd w:val="clear" w:color="auto" w:fill="FFFFFF"/>
            <w:ind w:firstLine="567"/>
            <w:jc w:val="both"/>
            <w:textAlignment w:val="center"/>
            <w:rPr>
              <w:rFonts w:eastAsia="Andale Sans UI"/>
              <w:szCs w:val="24"/>
              <w:lang w:bidi="en-US"/>
            </w:rPr>
          </w:pPr>
          <w:r>
            <w:rPr>
              <w:rFonts w:eastAsia="Andale Sans UI"/>
              <w:szCs w:val="24"/>
              <w:lang w:bidi="en-US"/>
            </w:rPr>
            <w:t>Įstatymų projektų tikslas – skaidrinti ir paprastinti valstybinės žemės valdymą ir naudojimą.</w:t>
          </w:r>
        </w:p>
        <w:sdt>
          <w:sdtPr>
            <w:alias w:val="1 p."/>
            <w:tag w:val="part_afcb1788d62345c3992cb95eab9e3022"/>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afcb1788d62345c3992cb95eab9e3022"/>
                  <w:lock w:val="sdtLocked"/>
                  <w:richText/>
                </w:sdtPr>
                <w:sdtContent>
                  <w:r>
                    <w:rPr>
                      <w:rFonts w:eastAsia="Andale Sans UI"/>
                      <w:b/>
                      <w:bCs/>
                      <w:szCs w:val="24"/>
                      <w:lang w:bidi="en-US"/>
                    </w:rPr>
                    <w:t>1</w:t>
                  </w:r>
                </w:sdtContent>
              </w:sdt>
              <w:r>
                <w:rPr>
                  <w:rFonts w:eastAsia="Andale Sans UI"/>
                  <w:b/>
                  <w:bCs/>
                  <w:szCs w:val="24"/>
                  <w:lang w:bidi="en-US"/>
                </w:rPr>
                <w:t>. Projektu sprendžiama problema ir Projektą rengti paskatinusios priežastys</w:t>
              </w:r>
            </w:p>
            <w:p>
              <w:pPr>
                <w:shd w:val="clear" w:color="auto" w:fill="FFFFFF"/>
                <w:ind w:firstLine="567"/>
                <w:jc w:val="both"/>
                <w:textAlignment w:val="center"/>
                <w:rPr>
                  <w:rFonts w:eastAsia="Andale Sans UI"/>
                  <w:szCs w:val="24"/>
                  <w:lang w:bidi="en-US"/>
                </w:rPr>
              </w:pPr>
              <w:r>
                <w:rPr>
                  <w:rFonts w:eastAsia="Andale Sans UI"/>
                  <w:szCs w:val="24"/>
                  <w:lang w:bidi="en-US"/>
                </w:rPr>
                <w:t>Aplinkos ministerija nuo 2022 m. pradėjo žemės valdymo ir naudojimo pertvarką. 2022 m. birželio 30 d. Seime priimti Žemės įstatymo Nr. I-446 pakeitimo įstatymo Nr. XIV-1311 ir susijusių įstatymų pakeitimai, kuriais pritarta valstybinės žemės valdymo ir naudojimo reformai. Aplinkos ministerijai nuo 2023 m. sausio 4 d. priskirta formuoti valstybinės žemės valdymo ir naudojimo politiką, miestų ir miestelių teritorijų ribose esanti valstybinė žemė perduota valdyti patikėjimo teise savivaldybėms. Antrajame valstybinės žemės pertvarkos etape, 2023 m. birželio 29 d. Seimas priėmė Žemės įstatymo Nr. I-446 pakeitimo įstatymo Nr. XIV-1311 2 straipsnio pakeitimo įstatymą Nr. XIV-2115, Žemės įstatymo Nr. I-446 2, 7, 10, 11, 12, 13, 22, 27, 30, 34, 35, 37, 39, 40, 41, 43, 45, 46, 47, 48, 49, 50, 51, 52 straipsnių pakeitimo ir Įstatymo papildymo 30(1), 35(1), 35(2) ir 66 straipsniais įstatymą Nr. XIV-2114, susijusių įstatymų pakeitimus.</w:t>
              </w:r>
            </w:p>
            <w:p>
              <w:pPr>
                <w:shd w:val="clear" w:color="auto" w:fill="FFFFFF"/>
                <w:ind w:firstLine="567"/>
                <w:jc w:val="both"/>
                <w:textAlignment w:val="center"/>
                <w:rPr>
                  <w:rFonts w:eastAsia="Andale Sans UI"/>
                  <w:szCs w:val="24"/>
                  <w:lang w:bidi="en-US"/>
                </w:rPr>
              </w:pPr>
              <w:r>
                <w:rPr>
                  <w:rFonts w:eastAsia="Andale Sans UI"/>
                  <w:szCs w:val="24"/>
                  <w:lang w:bidi="en-US"/>
                </w:rPr>
                <w:t>Teikiamais įstatymų pakeitimais siekiama Konstitucinio Teismo ne kartą pažymėtų konstitucinių vertybių efektyvesnio įgyvendinimo: racionalesnio valstybės turto tvarkymo, jo tausojimo ir didesnės naudos visuomenei. Šių tikslų siekiama sudarant sąlygas priimti tarpusavyje suderintus, laiku priimamus žemės valdymo, teritorijų planavimo, statybos, nekilnojamojo turto kadastro ir kitus sprendimus, formuoti vieningą šių sričių politiką, vykdyti efektyvesnę valstybinės žemės valdymo ir naudojimo priežiūrą užtikrinant sklandų visuomenei svarbių projektų įgyvendinimą ir kitų sprendimų priėmimą (Konstitucinio Teismo 2003 m. rugsėjo 30 d., 2007 m. liepos 5 d., 2007 m. lapkričio 23 d., 2008 m. birželio 30 d., 2009 m. kovo 2 d., 2010 m. vasario 26 d. nutarimai).</w:t>
              </w:r>
            </w:p>
            <w:p>
              <w:pPr>
                <w:ind w:firstLine="567"/>
                <w:jc w:val="both"/>
                <w:rPr>
                  <w:rFonts w:eastAsia="Andale Sans UI"/>
                  <w:szCs w:val="24"/>
                  <w:lang w:bidi="en-US"/>
                </w:rPr>
              </w:pPr>
              <w:r>
                <w:rPr>
                  <w:rFonts w:eastAsia="Andale Sans UI"/>
                  <w:szCs w:val="24"/>
                  <w:lang w:bidi="en-US"/>
                </w:rPr>
                <w:t>Konkretūs Projektuose siūlomi teisinio reguliavimo pakeitimai nurodyti Projektų aiškinamajame rašte.</w:t>
              </w:r>
            </w:p>
          </w:sdtContent>
        </w:sdt>
        <w:sdt>
          <w:sdtPr>
            <w:alias w:val="2 p."/>
            <w:tag w:val="part_015e5e166c6b4ef99d3603e7c7a919a1"/>
            <w:lock w:val="sdtLocked"/>
            <w:richText/>
          </w:sdtPr>
          <w:sdtContent>
            <w:p>
              <w:pPr>
                <w:ind w:firstLine="567"/>
                <w:jc w:val="both"/>
                <w:rPr>
                  <w:rFonts w:eastAsia="Andale Sans UI"/>
                  <w:b/>
                  <w:bCs/>
                  <w:szCs w:val="24"/>
                  <w:lang w:bidi="en-US"/>
                </w:rPr>
              </w:pPr>
              <w:sdt>
                <w:sdtPr>
                  <w:alias w:val="Numeris"/>
                  <w:tag w:val="nr_015e5e166c6b4ef99d3603e7c7a919a1"/>
                  <w:lock w:val="sdtLocked"/>
                  <w:richText/>
                </w:sdtPr>
                <w:sdtContent>
                  <w:r>
                    <w:rPr>
                      <w:rFonts w:eastAsia="Andale Sans UI"/>
                      <w:b/>
                      <w:bCs/>
                      <w:szCs w:val="24"/>
                      <w:lang w:bidi="en-US"/>
                    </w:rPr>
                    <w:t>2</w:t>
                  </w:r>
                </w:sdtContent>
              </w:sdt>
              <w:r>
                <w:rPr>
                  <w:rFonts w:eastAsia="Andale Sans UI"/>
                  <w:b/>
                  <w:bCs/>
                  <w:szCs w:val="24"/>
                  <w:lang w:bidi="en-US"/>
                </w:rPr>
                <w:t>. Projektu siūlomo teisinio reguliavimo esmė – problemos sprendimas</w:t>
              </w:r>
            </w:p>
            <w:p>
              <w:pPr>
                <w:ind w:firstLine="567"/>
                <w:jc w:val="both"/>
                <w:rPr>
                  <w:rFonts w:eastAsia="Andale Sans UI"/>
                  <w:szCs w:val="24"/>
                  <w:lang w:bidi="en-US"/>
                </w:rPr>
              </w:pPr>
              <w:r>
                <w:rPr>
                  <w:rFonts w:eastAsia="Andale Sans UI"/>
                  <w:szCs w:val="24"/>
                  <w:lang w:bidi="en-US"/>
                </w:rPr>
                <w:t>Projektais siekiama tęsti valstybinės žemės pertvarką užtikrinant racionalesnį valstybinės žemės valdymą, siekiant didesnės naudos visuomenei.</w:t>
              </w:r>
            </w:p>
          </w:sdtContent>
        </w:sdt>
        <w:sdt>
          <w:sdtPr>
            <w:alias w:val="3 p."/>
            <w:tag w:val="part_15840472c49c48d6b92031ae0d640db7"/>
            <w:lock w:val="sdtLocked"/>
            <w:richText/>
          </w:sdtPr>
          <w:sdtContent>
            <w:p>
              <w:pPr>
                <w:ind w:firstLine="567"/>
                <w:jc w:val="both"/>
                <w:rPr>
                  <w:rFonts w:eastAsia="Andale Sans UI"/>
                  <w:b/>
                  <w:bCs/>
                  <w:szCs w:val="24"/>
                  <w:lang w:bidi="en-US"/>
                </w:rPr>
              </w:pPr>
              <w:sdt>
                <w:sdtPr>
                  <w:alias w:val="Numeris"/>
                  <w:tag w:val="nr_15840472c49c48d6b92031ae0d640db7"/>
                  <w:lock w:val="sdtLocked"/>
                  <w:richText/>
                </w:sdtPr>
                <w:sdtContent>
                  <w:r>
                    <w:rPr>
                      <w:rFonts w:eastAsia="Andale Sans UI"/>
                      <w:b/>
                      <w:bCs/>
                      <w:szCs w:val="24"/>
                      <w:lang w:bidi="en-US"/>
                    </w:rPr>
                    <w:t>3</w:t>
                  </w:r>
                </w:sdtContent>
              </w:sdt>
              <w:r>
                <w:rPr>
                  <w:rFonts w:eastAsia="Andale Sans UI"/>
                  <w:b/>
                  <w:bCs/>
                  <w:szCs w:val="24"/>
                  <w:lang w:bidi="en-US"/>
                </w:rPr>
                <w:t>. Pasiūlymų įgyvendinimo mechanizmas, kaštai ir nauda</w:t>
              </w:r>
            </w:p>
            <w:p>
              <w:pPr>
                <w:shd w:val="clear" w:color="auto" w:fill="FFFFFF"/>
                <w:ind w:firstLine="567"/>
                <w:jc w:val="both"/>
                <w:textAlignment w:val="center"/>
                <w:rPr>
                  <w:rFonts w:eastAsia="Andale Sans UI"/>
                  <w:iCs/>
                  <w:szCs w:val="24"/>
                  <w:lang w:bidi="en-US"/>
                </w:rPr>
              </w:pPr>
              <w:r>
                <w:rPr>
                  <w:rFonts w:eastAsia="Andale Sans UI"/>
                  <w:iCs/>
                  <w:szCs w:val="24"/>
                  <w:lang w:bidi="en-US"/>
                </w:rPr>
                <w:t>Atsižvelgiant į tai, kad savivaldybės nuo 2024 m. sausio 1 d. tapo valstybinės žemės patikėtinėmis miestų ir miestelių teritorijų ribose, suteikiant savivaldybėms papildomo savarankiškumo ir perduodant patikėjimo teise valdyti visą savivaldybės teritorijų ribose esančią valstybinę žemę, reikia pakeisti atitinkamus įstatymus.</w:t>
              </w:r>
            </w:p>
            <w:p>
              <w:pPr>
                <w:shd w:val="clear" w:color="auto" w:fill="FFFFFF"/>
                <w:ind w:firstLine="567"/>
                <w:jc w:val="both"/>
                <w:textAlignment w:val="center"/>
                <w:rPr>
                  <w:rFonts w:eastAsia="Andale Sans UI"/>
                  <w:iCs/>
                  <w:szCs w:val="24"/>
                  <w:lang w:bidi="en-US"/>
                </w:rPr>
              </w:pPr>
              <w:r>
                <w:rPr>
                  <w:rFonts w:eastAsia="Andale Sans UI"/>
                  <w:iCs/>
                  <w:szCs w:val="24"/>
                  <w:lang w:bidi="en-US"/>
                </w:rPr>
                <w:t>Įgyvendinant Projektus dalyvaus Nacionalinė žemės tarnyba prie Aplinkos ministerijos ir savivaldybės. Planuojama skiriamų valstybės biudžeto asignavimų nemažinti, vertinant, kad jų pakaks, planuojama panaudoti ne daugiau biudžeto lėšų, nei šiuo metu naudojama.</w:t>
              </w:r>
            </w:p>
            <w:p>
              <w:pPr>
                <w:ind w:firstLine="567"/>
                <w:jc w:val="both"/>
                <w:rPr>
                  <w:szCs w:val="24"/>
                  <w:lang w:eastAsia="ar-SA"/>
                </w:rPr>
              </w:pPr>
              <w:r>
                <w:rPr>
                  <w:szCs w:val="24"/>
                  <w:lang w:eastAsia="ar-SA"/>
                </w:rPr>
                <w:t>Priėmus įstatymų pakeitimus, bus užtikrintas racionalesnis valstybinės žemės naudojimas. Procedūros, susijusios su valstybinės žemės valdymu, taps vieningos, nuoseklios ir kaimo gyvenamosiose vietovėse nesiskirs nuo miestuose ir miesteliuose atliekamų procedūrų. Įstatymų pakeitimai naudingi ir fiziniams asmenims tvarkant kasdienius klausimus, susijusius su valstybine žeme, ir juridiniams asmenims, kurių veikla tiesiogiai ar netiesiogiai susijusi su nekilnojamuoju turtu ir tenka spręsti valstybinės žemės valdymo ir naudojimo klausimus.</w:t>
              </w:r>
            </w:p>
          </w:sdtContent>
        </w:sdt>
        <w:sdt>
          <w:sdtPr>
            <w:alias w:val="4 p."/>
            <w:tag w:val="part_6fdc80d85e57468799db868176ff23f3"/>
            <w:lock w:val="sdtLocked"/>
            <w:richText/>
          </w:sdtPr>
          <w:sdtContent>
            <w:p>
              <w:pPr>
                <w:shd w:val="clear" w:color="auto" w:fill="FFFFFF"/>
                <w:ind w:firstLine="567"/>
                <w:jc w:val="both"/>
                <w:textAlignment w:val="center"/>
                <w:rPr>
                  <w:rFonts w:eastAsia="Andale Sans UI"/>
                  <w:b/>
                  <w:bCs/>
                  <w:szCs w:val="24"/>
                  <w:lang w:bidi="en-US"/>
                </w:rPr>
              </w:pPr>
              <w:sdt>
                <w:sdtPr>
                  <w:alias w:val="Numeris"/>
                  <w:tag w:val="nr_6fdc80d85e57468799db868176ff23f3"/>
                  <w:lock w:val="sdtLocked"/>
                  <w:richText/>
                </w:sdtPr>
                <w:sdtContent>
                  <w:r>
                    <w:rPr>
                      <w:rFonts w:eastAsia="Andale Sans UI"/>
                      <w:b/>
                      <w:bCs/>
                      <w:szCs w:val="24"/>
                      <w:lang w:bidi="en-US"/>
                    </w:rPr>
                    <w:t>4</w:t>
                  </w:r>
                </w:sdtContent>
              </w:sdt>
              <w:r>
                <w:rPr>
                  <w:rFonts w:eastAsia="Andale Sans UI"/>
                  <w:b/>
                  <w:bCs/>
                  <w:szCs w:val="24"/>
                  <w:lang w:bidi="en-US"/>
                </w:rPr>
                <w:t>. Rodikliai, kurie bus stebimi</w:t>
              </w:r>
            </w:p>
            <w:p>
              <w:pPr>
                <w:shd w:val="clear" w:color="auto" w:fill="FFFFFF"/>
                <w:ind w:firstLine="567"/>
                <w:jc w:val="both"/>
                <w:textAlignment w:val="center"/>
                <w:rPr>
                  <w:rFonts w:eastAsia="Andale Sans UI"/>
                  <w:iCs/>
                  <w:szCs w:val="24"/>
                  <w:lang w:bidi="en-US"/>
                </w:rPr>
              </w:pPr>
              <w:r>
                <w:rPr>
                  <w:rFonts w:eastAsia="Andale Sans UI"/>
                  <w:iCs/>
                  <w:szCs w:val="24"/>
                  <w:lang w:bidi="en-US"/>
                </w:rPr>
                <w:t xml:space="preserve">Žemės įstatymo 66 straipsnio 1 dalyje nurodyta, kad „Aplinkos ministerija atlieka šiame įstatyme nustatyto galiojančio teisinio reguliavimo poveikio </w:t>
              </w:r>
              <w:r>
                <w:rPr>
                  <w:rFonts w:eastAsia="Andale Sans UI"/>
                  <w:i/>
                  <w:szCs w:val="24"/>
                  <w:lang w:bidi="en-US"/>
                </w:rPr>
                <w:t>ex post</w:t>
              </w:r>
              <w:r>
                <w:rPr>
                  <w:rFonts w:eastAsia="Andale Sans UI"/>
                  <w:iCs/>
                  <w:szCs w:val="24"/>
                  <w:lang w:bidi="en-US"/>
                </w:rPr>
                <w:t xml:space="preserve"> vertinimą &lt;…&gt;“. To paties straipsnio 2 dalyje nurodyta, kad „Atliekant ex post vertinimą, turi būti įvertinta, ar valstybinę žemę perdavus patikėjimo teise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 Atsižvelgiant į tai, bus stebimas nesuformuotos valstybinės žemės ploto mažėjimas, surenkamų lėšų, susijusių su valstybinės žemės valdymu, naudojimu ir disponavimu, į valstybės ir savivaldybių biudžetus padidėjimas.</w:t>
              </w:r>
            </w:p>
          </w:sdtContent>
        </w:sdt>
        <w:sdt>
          <w:sdtPr>
            <w:alias w:val="5 p."/>
            <w:tag w:val="part_54fc39d50ea34da3ab918a25ec1e092b"/>
            <w:lock w:val="sdtLocked"/>
            <w:richText/>
          </w:sdtPr>
          <w:sdtContent>
            <w:p>
              <w:pPr>
                <w:ind w:firstLine="567"/>
                <w:jc w:val="both"/>
                <w:rPr>
                  <w:szCs w:val="24"/>
                  <w:lang w:eastAsia="lt-LT" w:bidi="en-US"/>
                </w:rPr>
              </w:pPr>
              <w:sdt>
                <w:sdtPr>
                  <w:alias w:val="Numeris"/>
                  <w:tag w:val="nr_54fc39d50ea34da3ab918a25ec1e092b"/>
                  <w:lock w:val="sdtLocked"/>
                  <w:richText/>
                </w:sdtPr>
                <w:sdtContent>
                  <w:r>
                    <w:rPr>
                      <w:b/>
                      <w:bCs/>
                      <w:szCs w:val="24"/>
                      <w:lang w:eastAsia="lt-LT" w:bidi="en-US"/>
                    </w:rPr>
                    <w:t>5</w:t>
                  </w:r>
                </w:sdtContent>
              </w:sdt>
              <w:r>
                <w:rPr>
                  <w:b/>
                  <w:bCs/>
                  <w:szCs w:val="24"/>
                  <w:lang w:eastAsia="lt-LT" w:bidi="en-US"/>
                </w:rPr>
                <w:t xml:space="preserve">. Lietuvos Respublikos Vyriausybės programos nuostatų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įgyvendinamos šios Lietuvos Respublikos Devynioliktosios Vyriausybės programos, kuriai pritarta Lietuvos Respublikos Seimo 2024 m. gruodžio 12 d. nutarimu Nr. XV-54 „Dėl Devynioliktosios Lietuvos Respublikos Vyriausybės programos“ programos nuostatos: </w:t>
              </w:r>
            </w:p>
            <w:p>
              <w:pPr>
                <w:ind w:firstLine="567"/>
                <w:jc w:val="both"/>
                <w:rPr>
                  <w:rFonts w:eastAsia="Andale Sans UI"/>
                  <w:szCs w:val="24"/>
                  <w:lang w:bidi="en-US"/>
                </w:rPr>
              </w:pPr>
              <w:r>
                <w:rPr>
                  <w:rFonts w:eastAsia="Andale Sans UI"/>
                  <w:szCs w:val="24"/>
                  <w:lang w:bidi="en-US"/>
                </w:rPr>
                <w:t>- 725 punkto nuostatos, numatančios stiprinti savivaldą, perduodant savivaldybėms patikėjimo teise valdyti jų administracinėse ribose esančią valstybinę žemę kaimiškose teritorijose, tokiu būdu įgalinant savivaldybes veikti savarankiškai ir priimti tarpusavyje suderintus, laiku priimamus žemės valdymo, teritorijų planavimo ir kitus sprendimus, užtikrinančius darnų regionų vystymąsi;</w:t>
              </w:r>
            </w:p>
            <w:p>
              <w:pPr>
                <w:ind w:firstLine="567"/>
                <w:jc w:val="both"/>
                <w:rPr>
                  <w:rFonts w:eastAsia="Andale Sans UI"/>
                  <w:szCs w:val="24"/>
                  <w:lang w:bidi="en-US"/>
                </w:rPr>
              </w:pPr>
              <w:r>
                <w:rPr>
                  <w:rFonts w:eastAsia="Andale Sans UI"/>
                  <w:szCs w:val="24"/>
                  <w:lang w:bidi="en-US"/>
                </w:rPr>
                <w:t>- 496 punkto nuostatos, kuriomis numatoma subalansuoti vietos savivaldybių vykdomas funkcijas ir didinti savivaldybių veiklos savarankiškumą.</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neprieštarauja Devynioliktosios Lietuvos Respublikos Vyriausybės programai.</w:t>
              </w:r>
            </w:p>
          </w:sdtContent>
        </w:sdt>
        <w:sdt>
          <w:sdtPr>
            <w:alias w:val="6 p."/>
            <w:tag w:val="part_b0d992f85c6341f486b084c968b07a27"/>
            <w:lock w:val="sdtLocked"/>
            <w:richText/>
          </w:sdtPr>
          <w:sdtContent>
            <w:p>
              <w:pPr>
                <w:ind w:firstLine="567"/>
                <w:jc w:val="both"/>
                <w:rPr>
                  <w:szCs w:val="24"/>
                  <w:lang w:eastAsia="lt-LT" w:bidi="en-US"/>
                </w:rPr>
              </w:pPr>
              <w:sdt>
                <w:sdtPr>
                  <w:alias w:val="Numeris"/>
                  <w:tag w:val="nr_b0d992f85c6341f486b084c968b07a27"/>
                  <w:lock w:val="sdtLocked"/>
                  <w:richText/>
                </w:sdtPr>
                <w:sdtContent>
                  <w:r>
                    <w:rPr>
                      <w:b/>
                      <w:bCs/>
                      <w:szCs w:val="24"/>
                      <w:lang w:eastAsia="lt-LT" w:bidi="en-US"/>
                    </w:rPr>
                    <w:t>6</w:t>
                  </w:r>
                </w:sdtContent>
              </w:sdt>
              <w:r>
                <w:rPr>
                  <w:b/>
                  <w:bCs/>
                  <w:szCs w:val="24"/>
                  <w:lang w:eastAsia="lt-LT" w:bidi="en-US"/>
                </w:rPr>
                <w:t xml:space="preserve">. Europos Sąjungos teisės aktų perkėlimas ir (ar) įgyvendinimas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Projektu neperkeliamos ir neįgyvendinamos Europos Sąjungos teisės aktų nuostatos.</w:t>
              </w:r>
            </w:p>
            <w:p>
              <w:pPr>
                <w:ind w:firstLine="567"/>
                <w:jc w:val="both"/>
                <w:rPr>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Projektu perkeliamos (</w:t>
              </w:r>
              <w:r>
                <w:rPr>
                  <w:rFonts w:eastAsia="Andale Sans UI"/>
                  <w:i/>
                  <w:szCs w:val="24"/>
                  <w:lang w:bidi="en-US"/>
                </w:rPr>
                <w:t>dėl Direktyvų</w:t>
              </w:r>
              <w:r>
                <w:rPr>
                  <w:rFonts w:eastAsia="Andale Sans UI"/>
                  <w:szCs w:val="24"/>
                  <w:lang w:bidi="en-US"/>
                </w:rPr>
                <w:t>) ir (ar) įgyvendinamos (</w:t>
              </w:r>
              <w:r>
                <w:rPr>
                  <w:rFonts w:eastAsia="Andale Sans UI"/>
                  <w:i/>
                  <w:szCs w:val="24"/>
                  <w:lang w:bidi="en-US"/>
                </w:rPr>
                <w:t>dėl Reglamentų ir Sprendimų</w:t>
              </w:r>
              <w:r>
                <w:rPr>
                  <w:rFonts w:eastAsia="Andale Sans UI"/>
                  <w:szCs w:val="24"/>
                  <w:lang w:bidi="en-US"/>
                </w:rPr>
                <w:t>) šios Europos Sąjungos teisės aktų nuostatos: (</w:t>
              </w:r>
              <w:r>
                <w:rPr>
                  <w:rFonts w:eastAsia="Andale Sans UI"/>
                  <w:i/>
                  <w:szCs w:val="24"/>
                  <w:lang w:bidi="en-US"/>
                </w:rPr>
                <w:t>išvardijama</w:t>
              </w:r>
              <w:r>
                <w:rPr>
                  <w:rFonts w:eastAsia="Andale Sans UI"/>
                  <w:szCs w:val="24"/>
                  <w:lang w:eastAsia="lt-LT" w:bidi="en-US"/>
                </w:rPr>
                <w:t>). (</w:t>
              </w:r>
              <w:r>
                <w:rPr>
                  <w:rFonts w:eastAsia="Andale Sans UI"/>
                  <w:i/>
                  <w:iCs/>
                  <w:szCs w:val="24"/>
                  <w:lang w:eastAsia="lt-LT" w:bidi="en-US"/>
                </w:rPr>
                <w:t>Taip pat nurodomi kiti su Projektu susiję tiesiogiai taikomi Europos Sąjungos teisės aktai, kai jie nėra įgyvendinami.</w:t>
              </w:r>
              <w:r>
                <w:rPr>
                  <w:rFonts w:eastAsia="Andale Sans UI"/>
                  <w:szCs w:val="24"/>
                  <w:lang w:eastAsia="lt-LT" w:bidi="en-US"/>
                </w:rPr>
                <w:t xml:space="preserve">) Projektas yra įtrauktas į perkeliamo ir (ar) įgyvendinamo Europos Sąjungos teisės akto perkėlimo ir įgyvendinimo planą Lietuvos narystės Europos Sąjungoje informacinėje sistemoje (LINESIS), į kurią įkelta  atitikties lentelė. </w:t>
              </w:r>
              <w:r>
                <w:rPr>
                  <w:rFonts w:eastAsia="Andale Sans UI"/>
                  <w:szCs w:val="24"/>
                  <w:lang w:bidi="en-US"/>
                </w:rPr>
                <w:t xml:space="preserve">Siekiant užtikrinti visišką </w:t>
              </w:r>
              <w:r>
                <w:rPr>
                  <w:color w:val="000000"/>
                  <w:szCs w:val="24"/>
                  <w:lang w:eastAsia="lt-LT" w:bidi="en-US"/>
                </w:rPr>
                <w:t xml:space="preserve">susijusių Europos Sąjungos teisės aktų perkėlimą ir (ar) įgyvendinimą, reikės priimti </w:t>
              </w:r>
              <w:r>
                <w:rPr>
                  <w:i/>
                  <w:iCs/>
                  <w:color w:val="000000"/>
                  <w:szCs w:val="24"/>
                  <w:lang w:eastAsia="lt-LT" w:bidi="en-US"/>
                </w:rPr>
                <w:t>...</w:t>
              </w:r>
              <w:r>
                <w:rPr>
                  <w:iCs/>
                  <w:color w:val="000000"/>
                  <w:szCs w:val="24"/>
                  <w:lang w:eastAsia="lt-LT" w:bidi="en-US"/>
                </w:rPr>
                <w:t>(</w:t>
              </w:r>
              <w:r>
                <w:rPr>
                  <w:i/>
                  <w:iCs/>
                  <w:color w:val="000000"/>
                  <w:szCs w:val="24"/>
                  <w:lang w:eastAsia="lt-LT" w:bidi="en-US"/>
                </w:rPr>
                <w:t>išvardijami Lietuvos Respublikos teisės aktai, kuriuos reikės priimti</w:t>
              </w:r>
              <w:r>
                <w:rPr>
                  <w:color w:val="000000"/>
                  <w:szCs w:val="24"/>
                  <w:lang w:eastAsia="lt-LT" w:bidi="en-US"/>
                </w:rPr>
                <w:t>) (</w:t>
              </w:r>
              <w:r>
                <w:rPr>
                  <w:b/>
                  <w:bCs/>
                  <w:color w:val="000000"/>
                  <w:szCs w:val="24"/>
                  <w:lang w:eastAsia="lt-LT" w:bidi="en-US"/>
                </w:rPr>
                <w:t>arba</w:t>
              </w:r>
              <w:r>
                <w:rPr>
                  <w:color w:val="000000"/>
                  <w:szCs w:val="24"/>
                  <w:lang w:eastAsia="lt-LT" w:bidi="en-US"/>
                </w:rPr>
                <w:t xml:space="preserve"> </w:t>
              </w:r>
              <w:r>
                <w:rPr>
                  <w:rFonts w:eastAsia="Andale Sans UI"/>
                  <w:szCs w:val="24"/>
                  <w:lang w:bidi="en-US"/>
                </w:rPr>
                <w:t xml:space="preserve">Siekiant užtikrinti visišką </w:t>
              </w:r>
              <w:r>
                <w:rPr>
                  <w:color w:val="000000"/>
                  <w:szCs w:val="24"/>
                  <w:lang w:eastAsia="lt-LT" w:bidi="en-US"/>
                </w:rPr>
                <w:t>susijusių Europos Sąjungos teisės aktų perkėlimą ir (ar) įgyvendinimą, kitų teisės aktų priimti nereikės).</w:t>
              </w:r>
            </w:p>
          </w:sdtContent>
        </w:sdt>
        <w:sdt>
          <w:sdtPr>
            <w:alias w:val="7 p."/>
            <w:tag w:val="part_5443b62911cd440a8106a2952da9ca74"/>
            <w:lock w:val="sdtLocked"/>
            <w:richText/>
          </w:sdtPr>
          <w:sdtContent>
            <w:p>
              <w:pPr>
                <w:ind w:firstLine="567"/>
                <w:jc w:val="both"/>
                <w:rPr>
                  <w:szCs w:val="24"/>
                  <w:lang w:eastAsia="lt-LT" w:bidi="en-US"/>
                </w:rPr>
              </w:pPr>
              <w:sdt>
                <w:sdtPr>
                  <w:alias w:val="Numeris"/>
                  <w:tag w:val="nr_5443b62911cd440a8106a2952da9ca74"/>
                  <w:lock w:val="sdtLocked"/>
                  <w:richText/>
                </w:sdtPr>
                <w:sdtContent>
                  <w:r>
                    <w:rPr>
                      <w:rFonts w:eastAsia="Andale Sans UI"/>
                      <w:b/>
                      <w:bCs/>
                      <w:szCs w:val="24"/>
                      <w:lang w:bidi="en-US"/>
                    </w:rPr>
                    <w:t>7</w:t>
                  </w:r>
                </w:sdtContent>
              </w:sdt>
              <w:r>
                <w:rPr>
                  <w:rFonts w:eastAsia="Andale Sans UI"/>
                  <w:b/>
                  <w:bCs/>
                  <w:szCs w:val="24"/>
                  <w:lang w:bidi="en-US"/>
                </w:rPr>
                <w:t xml:space="preserve">. Notifikavimas Europos Komisijai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Projektas nenotifikuotinas Europos Komisijai.</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Projektas notifikuotinas Europos Komisijai (</w:t>
              </w:r>
              <w:r>
                <w:rPr>
                  <w:rFonts w:eastAsia="Andale Sans UI"/>
                  <w:i/>
                  <w:iCs/>
                  <w:szCs w:val="24"/>
                  <w:lang w:bidi="en-US"/>
                </w:rPr>
                <w:t>nurodoma data</w:t>
              </w:r>
              <w:r>
                <w:rPr>
                  <w:rFonts w:eastAsia="Andale Sans UI"/>
                  <w:szCs w:val="24"/>
                  <w:lang w:bidi="en-US"/>
                </w:rPr>
                <w:t>).</w:t>
              </w:r>
            </w:p>
          </w:sdtContent>
        </w:sdt>
        <w:sdt>
          <w:sdtPr>
            <w:alias w:val="8 p."/>
            <w:tag w:val="part_ee0c252fc0f74072b20e98b67f3e2306"/>
            <w:lock w:val="sdtLocked"/>
            <w:richText/>
          </w:sdtPr>
          <w:sdtContent>
            <w:p>
              <w:pPr>
                <w:ind w:firstLine="567"/>
                <w:jc w:val="both"/>
                <w:rPr>
                  <w:color w:val="000000"/>
                  <w:szCs w:val="24"/>
                  <w:lang w:eastAsia="lt-LT" w:bidi="en-US"/>
                </w:rPr>
              </w:pPr>
              <w:sdt>
                <w:sdtPr>
                  <w:alias w:val="Numeris"/>
                  <w:tag w:val="nr_ee0c252fc0f74072b20e98b67f3e2306"/>
                  <w:lock w:val="sdtLocked"/>
                  <w:richText/>
                </w:sdtPr>
                <w:sdtContent>
                  <w:r>
                    <w:rPr>
                      <w:rFonts w:eastAsia="Andale Sans UI"/>
                      <w:b/>
                      <w:bCs/>
                      <w:szCs w:val="24"/>
                      <w:lang w:bidi="en-US"/>
                    </w:rPr>
                    <w:t>8</w:t>
                  </w:r>
                </w:sdtContent>
              </w:sdt>
              <w:r>
                <w:rPr>
                  <w:rFonts w:eastAsia="Andale Sans UI"/>
                  <w:b/>
                  <w:bCs/>
                  <w:szCs w:val="24"/>
                  <w:lang w:bidi="en-US"/>
                </w:rPr>
                <w:t xml:space="preserve">. </w:t>
              </w:r>
              <w:r>
                <w:rPr>
                  <w:b/>
                  <w:bCs/>
                  <w:color w:val="000000"/>
                  <w:szCs w:val="24"/>
                  <w:lang w:eastAsia="lt-LT" w:bidi="en-US"/>
                </w:rPr>
                <w:t>Pranešimo Europos Komisijai teikimas</w:t>
              </w:r>
              <w:r>
                <w:rPr>
                  <w:color w:val="000000"/>
                  <w:szCs w:val="24"/>
                  <w:lang w:eastAsia="lt-LT" w:bidi="en-US"/>
                </w:rPr>
                <w:t xml:space="preserve"> (</w:t>
              </w:r>
              <w:r>
                <w:rPr>
                  <w:szCs w:val="24"/>
                  <w:lang w:eastAsia="lt-LT" w:bidi="en-US"/>
                </w:rPr>
                <w:t>pažymimas tinkamas variantas)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teiktinas.</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color w:val="000000"/>
                  <w:szCs w:val="24"/>
                  <w:lang w:eastAsia="lt-LT" w:bidi="en-US"/>
                </w:rPr>
                <w:t>ranešimas Europos Komisijai neteiktinas.</w:t>
              </w:r>
            </w:p>
          </w:sdtContent>
        </w:sdt>
        <w:sdt>
          <w:sdtPr>
            <w:alias w:val="9 p."/>
            <w:tag w:val="part_97d4cf8db9334590b5d28e5142719b9d"/>
            <w:lock w:val="sdtLocked"/>
            <w:richText/>
          </w:sdtPr>
          <w:sdtContent>
            <w:p>
              <w:pPr>
                <w:ind w:firstLine="567"/>
                <w:jc w:val="both"/>
                <w:rPr>
                  <w:rFonts w:eastAsia="Andale Sans UI"/>
                  <w:b/>
                  <w:bCs/>
                  <w:szCs w:val="24"/>
                  <w:lang w:bidi="en-US"/>
                </w:rPr>
              </w:pPr>
              <w:sdt>
                <w:sdtPr>
                  <w:alias w:val="Numeris"/>
                  <w:tag w:val="nr_97d4cf8db9334590b5d28e5142719b9d"/>
                  <w:lock w:val="sdtLocked"/>
                  <w:richText/>
                </w:sdtPr>
                <w:sdtContent>
                  <w:r>
                    <w:rPr>
                      <w:rFonts w:eastAsia="Andale Sans UI"/>
                      <w:b/>
                      <w:bCs/>
                      <w:szCs w:val="24"/>
                      <w:lang w:bidi="en-US"/>
                    </w:rPr>
                    <w:t>9</w:t>
                  </w:r>
                </w:sdtContent>
              </w:sdt>
              <w:r>
                <w:rPr>
                  <w:rFonts w:eastAsia="Andale Sans UI"/>
                  <w:b/>
                  <w:bCs/>
                  <w:szCs w:val="24"/>
                  <w:lang w:bidi="en-US"/>
                </w:rPr>
                <w:t xml:space="preserve">. Numatomo teisinio reguliavimo poveikio vertinimas </w:t>
              </w:r>
              <w:r>
                <w:rPr>
                  <w:szCs w:val="24"/>
                  <w:lang w:eastAsia="lt-LT" w:bidi="en-US"/>
                </w:rPr>
                <w:t>(pažymimas tinkamas variantas)</w:t>
              </w:r>
            </w:p>
            <w:p>
              <w:pPr>
                <w:widowControl w:val="0"/>
                <w:ind w:firstLine="567"/>
                <w:jc w:val="both"/>
                <w:rPr>
                  <w:rFonts w:eastAsia="Andale Sans UI"/>
                  <w:b/>
                  <w:szCs w:val="24"/>
                  <w:lang w:bidi="en-US"/>
                </w:rPr>
              </w:pPr>
              <w:r>
                <w:rPr>
                  <w:rFonts w:ascii="Segoe UI Symbol" w:eastAsia="MS Gothic" w:hAnsi="Segoe UI Symbol" w:cs="Segoe UI Symbol"/>
                  <w:szCs w:val="24"/>
                  <w:lang w:bidi="en-US"/>
                </w:rPr>
                <w:t>☐</w:t>
              </w:r>
              <w:r>
                <w:rPr>
                  <w:rFonts w:eastAsia="Andale Sans UI"/>
                  <w:szCs w:val="24"/>
                  <w:lang w:bidi="en-US"/>
                </w:rPr>
                <w:t xml:space="preserve"> Atliktas Projekto numatomo teisinio reguliavimo poveikio vertinimas</w:t>
              </w:r>
              <w:r>
                <w:rPr>
                  <w:rFonts w:eastAsia="Andale Sans UI"/>
                  <w:i/>
                  <w:iCs/>
                  <w:color w:val="000000"/>
                  <w:szCs w:val="24"/>
                  <w:lang w:bidi="en-US"/>
                </w:rPr>
                <w:t xml:space="preserve">. </w:t>
              </w:r>
            </w:p>
            <w:p>
              <w:pPr>
                <w:widowControl w:val="0"/>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Projekto numatomo teisinio reguliavimo poveikio vertinimas neatliekamas.</w:t>
              </w:r>
            </w:p>
            <w:p>
              <w:pPr>
                <w:widowControl w:val="0"/>
                <w:ind w:firstLine="567"/>
                <w:jc w:val="both"/>
                <w:rPr>
                  <w:rFonts w:eastAsia="Andale Sans UI"/>
                  <w:i/>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0 p."/>
            <w:tag w:val="part_f276b7d08b2449eeb855f9d0c5880db9"/>
            <w:lock w:val="sdtLocked"/>
            <w:richText/>
          </w:sdtPr>
          <w:sdtContent>
            <w:p>
              <w:pPr>
                <w:ind w:firstLine="567"/>
                <w:jc w:val="both"/>
                <w:rPr>
                  <w:rFonts w:eastAsia="Andale Sans UI"/>
                  <w:b/>
                  <w:bCs/>
                  <w:szCs w:val="24"/>
                  <w:lang w:bidi="en-US"/>
                </w:rPr>
              </w:pPr>
              <w:sdt>
                <w:sdtPr>
                  <w:alias w:val="Numeris"/>
                  <w:tag w:val="nr_f276b7d08b2449eeb855f9d0c5880db9"/>
                  <w:lock w:val="sdtLocked"/>
                  <w:richText/>
                </w:sdtPr>
                <w:sdtContent>
                  <w:r>
                    <w:rPr>
                      <w:rFonts w:eastAsia="Andale Sans UI"/>
                      <w:b/>
                      <w:bCs/>
                      <w:szCs w:val="24"/>
                      <w:lang w:bidi="en-US"/>
                    </w:rPr>
                    <w:t>10</w:t>
                  </w:r>
                </w:sdtContent>
              </w:sdt>
              <w:r>
                <w:rPr>
                  <w:rFonts w:eastAsia="Andale Sans UI"/>
                  <w:b/>
                  <w:bCs/>
                  <w:szCs w:val="24"/>
                  <w:lang w:bidi="en-US"/>
                </w:rPr>
                <w:t xml:space="preserve">. Teisės aktai, kuriuos reikės priimti, pakeisti arba pripažinti netekusiais galios </w:t>
              </w:r>
              <w:r>
                <w:rPr>
                  <w:szCs w:val="24"/>
                  <w:lang w:eastAsia="lt-LT" w:bidi="en-US"/>
                </w:rPr>
                <w:t>(pažymimas tinkamas variantas)</w:t>
              </w:r>
            </w:p>
            <w:p>
              <w:pPr>
                <w:ind w:firstLine="567"/>
                <w:jc w:val="both"/>
                <w:rPr>
                  <w:rFonts w:eastAsia="Andale Sans U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kitų teisės aktų priimti nereikės.</w:t>
              </w:r>
            </w:p>
            <w:p>
              <w:pPr>
                <w:ind w:firstLine="567"/>
                <w:jc w:val="both"/>
                <w:rPr>
                  <w:rFonts w:eastAsia="Andale Sans UI"/>
                  <w:i/>
                  <w:szCs w:val="24"/>
                  <w:lang w:bidi="en-US"/>
                </w:rPr>
              </w:pPr>
              <w:r>
                <w:rPr>
                  <w:rFonts w:ascii="Segoe UI Symbol" w:eastAsia="MS Gothic" w:hAnsi="Segoe UI Symbol" w:cs="Segoe UI Symbol"/>
                  <w:szCs w:val="24"/>
                  <w:lang w:bidi="en-US"/>
                </w:rPr>
                <w:t>☐</w:t>
              </w:r>
              <w:r>
                <w:rPr>
                  <w:rFonts w:eastAsia="Andale Sans UI"/>
                  <w:szCs w:val="24"/>
                  <w:lang w:bidi="en-US"/>
                </w:rPr>
                <w:t xml:space="preserve"> Projektui įtraukti į teisės sistemą reikės priimti šiuos teisės aktus: (</w:t>
              </w:r>
              <w:r>
                <w:rPr>
                  <w:rFonts w:eastAsia="Andale Sans UI"/>
                  <w:i/>
                  <w:szCs w:val="24"/>
                  <w:lang w:bidi="en-US"/>
                </w:rPr>
                <w:t>išvardijama</w:t>
              </w:r>
              <w:r>
                <w:rPr>
                  <w:rFonts w:eastAsia="Andale Sans UI"/>
                  <w:szCs w:val="24"/>
                  <w:lang w:bidi="en-US"/>
                </w:rPr>
                <w:t>)</w:t>
              </w:r>
              <w:r>
                <w:rPr>
                  <w:rFonts w:eastAsia="Andale Sans UI"/>
                  <w:i/>
                  <w:szCs w:val="24"/>
                  <w:lang w:bidi="en-US"/>
                </w:rPr>
                <w:t>.</w:t>
              </w:r>
            </w:p>
            <w:p>
              <w:pPr>
                <w:ind w:firstLine="567"/>
                <w:jc w:val="both"/>
                <w:rPr>
                  <w:rFonts w:eastAsia="Andale Sans UI"/>
                  <w:b/>
                  <w:bCs/>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1 p."/>
            <w:tag w:val="part_6bf2392a58cc4e74b6ec9b58dd10aab8"/>
            <w:lock w:val="sdtLocked"/>
            <w:richText/>
          </w:sdtPr>
          <w:sdtContent>
            <w:p>
              <w:pPr>
                <w:ind w:firstLine="567"/>
                <w:jc w:val="both"/>
                <w:rPr>
                  <w:rFonts w:eastAsia="Andale Sans UI"/>
                  <w:b/>
                  <w:bCs/>
                  <w:szCs w:val="24"/>
                  <w:lang w:bidi="en-US"/>
                </w:rPr>
              </w:pPr>
              <w:sdt>
                <w:sdtPr>
                  <w:alias w:val="Numeris"/>
                  <w:tag w:val="nr_6bf2392a58cc4e74b6ec9b58dd10aab8"/>
                  <w:lock w:val="sdtLocked"/>
                  <w:richText/>
                </w:sdtPr>
                <w:sdtContent>
                  <w:r>
                    <w:rPr>
                      <w:rFonts w:eastAsia="Andale Sans UI"/>
                      <w:b/>
                      <w:bCs/>
                      <w:szCs w:val="24"/>
                      <w:lang w:bidi="en-US"/>
                    </w:rPr>
                    <w:t>11</w:t>
                  </w:r>
                </w:sdtContent>
              </w:sdt>
              <w:r>
                <w:rPr>
                  <w:rFonts w:eastAsia="Andale Sans UI"/>
                  <w:b/>
                  <w:bCs/>
                  <w:szCs w:val="24"/>
                  <w:lang w:bidi="en-US"/>
                </w:rPr>
                <w:t xml:space="preserve">. Informacija apie sąvokų įvertinimą Lietuvos Respublikos terminų banko įstatymo ir jo įgyvendinamųjų teisės aktų nustatyta tvarka </w:t>
              </w:r>
              <w:r>
                <w:rPr>
                  <w:szCs w:val="24"/>
                  <w:lang w:eastAsia="lt-LT" w:bidi="en-US"/>
                </w:rPr>
                <w:t>(pažymimas tinkamas variantas)</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Projekte naujų sąvokų nėra.</w:t>
              </w:r>
            </w:p>
            <w:p>
              <w:pPr>
                <w:ind w:firstLine="567"/>
                <w:jc w:val="both"/>
                <w:rPr>
                  <w:rFonts w:eastAsia="Andale Sans UI"/>
                  <w:color w:val="000000"/>
                  <w:szCs w:val="24"/>
                  <w:lang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 xml:space="preserve">rojekte vartojamos sąvokos aprobuotos Lietuvos Respublikos terminų banko įstatymo ir jo įgyvendinamųjų teisės aktų nustatyta tvarka. </w:t>
              </w:r>
            </w:p>
            <w:p>
              <w:pPr>
                <w:ind w:firstLine="567"/>
                <w:jc w:val="both"/>
                <w:rPr>
                  <w:rFonts w:eastAsia="Andale Sans UI"/>
                  <w:color w:val="000000"/>
                  <w:szCs w:val="24"/>
                  <w:lang w:bidi="en-US"/>
                </w:rPr>
              </w:pPr>
              <w:r>
                <w:rPr>
                  <w:rFonts w:ascii="MS Gothic" w:eastAsia="MS Gothic" w:hAnsi="MS Gothic"/>
                  <w:szCs w:val="24"/>
                  <w:lang w:bidi="en-US"/>
                </w:rPr>
                <w:t>☐</w:t>
              </w:r>
              <w:r>
                <w:rPr>
                  <w:color w:val="000000"/>
                  <w:szCs w:val="24"/>
                  <w:lang w:eastAsia="lt-LT" w:bidi="en-US"/>
                </w:rPr>
                <w:t xml:space="preserve"> </w:t>
              </w:r>
              <w:r>
                <w:rPr>
                  <w:rFonts w:eastAsia="Andale Sans UI"/>
                  <w:iCs/>
                  <w:color w:val="000000"/>
                  <w:szCs w:val="24"/>
                  <w:lang w:bidi="en-US"/>
                </w:rPr>
                <w:t>Ši informacija nurodoma aiškinamajame rašte</w:t>
              </w:r>
              <w:r>
                <w:rPr>
                  <w:rFonts w:eastAsia="Andale Sans UI"/>
                  <w:color w:val="000000"/>
                  <w:szCs w:val="24"/>
                  <w:lang w:bidi="en-US"/>
                </w:rPr>
                <w:t>.</w:t>
              </w:r>
            </w:p>
          </w:sdtContent>
        </w:sdt>
        <w:sdt>
          <w:sdtPr>
            <w:alias w:val="12 p."/>
            <w:tag w:val="part_8f6a49f890294077b8bfcd162c2a5bd0"/>
            <w:lock w:val="sdtLocked"/>
            <w:richText/>
          </w:sdtPr>
          <w:sdtContent>
            <w:p>
              <w:pPr>
                <w:ind w:firstLine="567"/>
                <w:jc w:val="both"/>
                <w:rPr>
                  <w:rFonts w:eastAsia="Andale Sans UI"/>
                  <w:b/>
                  <w:bCs/>
                  <w:color w:val="000000"/>
                  <w:szCs w:val="24"/>
                  <w:lang w:bidi="en-US"/>
                </w:rPr>
              </w:pPr>
              <w:sdt>
                <w:sdtPr>
                  <w:alias w:val="Numeris"/>
                  <w:tag w:val="nr_8f6a49f890294077b8bfcd162c2a5bd0"/>
                  <w:lock w:val="sdtLocked"/>
                  <w:richText/>
                </w:sdtPr>
                <w:sdtContent>
                  <w:r>
                    <w:rPr>
                      <w:rFonts w:eastAsia="Andale Sans UI"/>
                      <w:b/>
                      <w:bCs/>
                      <w:szCs w:val="24"/>
                      <w:lang w:bidi="en-US"/>
                    </w:rPr>
                    <w:t>12</w:t>
                  </w:r>
                </w:sdtContent>
              </w:sdt>
              <w:r>
                <w:rPr>
                  <w:rFonts w:eastAsia="Andale Sans UI"/>
                  <w:b/>
                  <w:bCs/>
                  <w:szCs w:val="24"/>
                  <w:lang w:bidi="en-US"/>
                </w:rPr>
                <w:t>. Kita reikalinga informacija</w:t>
              </w:r>
            </w:p>
            <w:p>
              <w:pPr>
                <w:shd w:val="clear" w:color="auto" w:fill="FFFFFF"/>
                <w:ind w:firstLine="567"/>
                <w:jc w:val="both"/>
                <w:textAlignment w:val="center"/>
                <w:rPr>
                  <w:rFonts w:eastAsia="Andale Sans UI"/>
                  <w:szCs w:val="24"/>
                  <w:lang w:eastAsia="lt-LT" w:bidi="en-US"/>
                </w:rPr>
              </w:pPr>
              <w:r>
                <w:rPr>
                  <w:rFonts w:eastAsia="Andale Sans UI"/>
                  <w:szCs w:val="24"/>
                  <w:lang w:bidi="en-US"/>
                </w:rPr>
                <w:t>P</w:t>
              </w:r>
              <w:r>
                <w:rPr>
                  <w:rFonts w:eastAsia="Andale Sans UI"/>
                  <w:color w:val="000000"/>
                  <w:szCs w:val="24"/>
                  <w:lang w:bidi="en-US"/>
                </w:rPr>
                <w:t>rojekte nereglamentuojamas asmens duomenų naudojimas</w:t>
              </w:r>
              <w:r>
                <w:rPr>
                  <w:rFonts w:eastAsia="Andale Sans UI"/>
                  <w:szCs w:val="24"/>
                  <w:lang w:eastAsia="lt-LT" w:bidi="en-US"/>
                </w:rPr>
                <w:t>.</w:t>
              </w:r>
            </w:p>
          </w:sdtContent>
        </w:sdt>
        <w:sdt>
          <w:sdtPr>
            <w:alias w:val="13 p."/>
            <w:tag w:val="part_0705a37cbea3495e87382cfd06ed627b"/>
            <w:lock w:val="sdtLocked"/>
            <w:richText/>
          </w:sdtPr>
          <w:sdtContent>
            <w:p>
              <w:pPr>
                <w:ind w:firstLine="567"/>
                <w:jc w:val="both"/>
                <w:rPr>
                  <w:rFonts w:eastAsia="Andale Sans UI"/>
                  <w:b/>
                  <w:bCs/>
                  <w:i/>
                  <w:color w:val="000000"/>
                  <w:szCs w:val="24"/>
                  <w:lang w:bidi="en-US"/>
                </w:rPr>
              </w:pPr>
              <w:sdt>
                <w:sdtPr>
                  <w:alias w:val="Numeris"/>
                  <w:tag w:val="nr_0705a37cbea3495e87382cfd06ed627b"/>
                  <w:lock w:val="sdtLocked"/>
                  <w:richText/>
                </w:sdtPr>
                <w:sdtContent>
                  <w:r>
                    <w:rPr>
                      <w:rFonts w:eastAsia="Andale Sans UI"/>
                      <w:b/>
                      <w:bCs/>
                      <w:szCs w:val="24"/>
                      <w:lang w:bidi="en-US"/>
                    </w:rPr>
                    <w:t>13</w:t>
                  </w:r>
                </w:sdtContent>
              </w:sdt>
              <w:r>
                <w:rPr>
                  <w:rFonts w:eastAsia="Andale Sans UI"/>
                  <w:b/>
                  <w:bCs/>
                  <w:szCs w:val="24"/>
                  <w:lang w:bidi="en-US"/>
                </w:rPr>
                <w:t xml:space="preserve">. Konsultavimasis su visuomene </w:t>
              </w:r>
              <w:r>
                <w:rPr>
                  <w:rFonts w:eastAsia="Andale Sans UI"/>
                  <w:b/>
                  <w:bCs/>
                  <w:color w:val="000000"/>
                  <w:szCs w:val="24"/>
                  <w:lang w:bidi="en-US"/>
                </w:rPr>
                <w:t>interneto svetainėje epilietis.lrv.lt</w:t>
              </w:r>
              <w:r>
                <w:rPr>
                  <w:rFonts w:eastAsia="Andale Sans UI"/>
                  <w:color w:val="000000"/>
                  <w:szCs w:val="24"/>
                  <w:lang w:bidi="en-US"/>
                </w:rPr>
                <w:t xml:space="preserve"> </w:t>
              </w:r>
              <w:r>
                <w:rPr>
                  <w:szCs w:val="24"/>
                  <w:lang w:eastAsia="lt-LT" w:bidi="en-US"/>
                </w:rPr>
                <w:t>(pažymimas tinkamas variantas)</w:t>
              </w:r>
            </w:p>
            <w:p>
              <w:pPr>
                <w:ind w:firstLine="567"/>
                <w:jc w:val="both"/>
                <w:rPr>
                  <w:i/>
                  <w:iCs/>
                  <w:color w:val="000000"/>
                  <w:szCs w:val="24"/>
                  <w:lang w:eastAsia="lt-LT" w:bidi="en-US"/>
                </w:rPr>
              </w:pPr>
              <w:r>
                <w:rPr>
                  <w:rFonts w:ascii="Segoe UI Symbol" w:eastAsia="MS Gothic" w:hAnsi="Segoe UI Symbol" w:cs="Segoe UI Symbol"/>
                  <w:szCs w:val="24"/>
                  <w:lang w:bidi="en-US"/>
                </w:rPr>
                <w:t>☐</w:t>
              </w:r>
              <w:r>
                <w:rPr>
                  <w:rFonts w:eastAsia="Andale Sans UI"/>
                  <w:szCs w:val="24"/>
                  <w:lang w:bidi="en-US"/>
                </w:rPr>
                <w:t xml:space="preserve"> P</w:t>
              </w:r>
              <w:r>
                <w:rPr>
                  <w:rFonts w:eastAsia="Andale Sans UI"/>
                  <w:color w:val="000000"/>
                  <w:szCs w:val="24"/>
                  <w:lang w:bidi="en-US"/>
                </w:rPr>
                <w:t>rojektas viešosioms konsultacijoms skelbtas interneto svetainėje epilietis.lrv.lt , kur pastabas ir pasiūlymus nuo 202.. m. ... ... d. iki 202.. m. ... ... d. galėjo teikti visi suinteresuoti asmenys (</w:t>
              </w:r>
              <w:r>
                <w:rPr>
                  <w:rFonts w:eastAsia="Andale Sans UI"/>
                  <w:i/>
                  <w:color w:val="000000"/>
                  <w:szCs w:val="24"/>
                  <w:lang w:bidi="en-US"/>
                </w:rPr>
                <w:t xml:space="preserve">nurodomas </w:t>
              </w:r>
              <w:r>
                <w:rPr>
                  <w:rFonts w:eastAsia="Andale Sans UI"/>
                  <w:i/>
                  <w:szCs w:val="24"/>
                  <w:lang w:bidi="en-US"/>
                </w:rPr>
                <w:t xml:space="preserve">konsultavimosi tikslas (tikslai), būdas (būdai), </w:t>
              </w:r>
              <w:r>
                <w:rPr>
                  <w:i/>
                  <w:iCs/>
                  <w:color w:val="000000"/>
                  <w:szCs w:val="24"/>
                  <w:lang w:eastAsia="lt-LT" w:bidi="en-US"/>
                </w:rPr>
                <w:t>suinteresuoti asmenys, su kuriais konsultuotasi, konsultavimosi trukmė</w:t>
              </w:r>
              <w:r>
                <w:rPr>
                  <w:rFonts w:eastAsia="Andale Sans UI"/>
                  <w:i/>
                  <w:szCs w:val="24"/>
                  <w:lang w:bidi="en-US"/>
                </w:rPr>
                <w:t xml:space="preserve"> ir apibendrinti konsultavimosi rezultatai </w:t>
              </w:r>
              <w:r>
                <w:rPr>
                  <w:rFonts w:eastAsia="Andale Sans UI"/>
                  <w:i/>
                  <w:color w:val="000000"/>
                  <w:szCs w:val="24"/>
                  <w:lang w:bidi="en-US"/>
                </w:rPr>
                <w:t xml:space="preserve">– </w:t>
              </w:r>
              <w:r>
                <w:rPr>
                  <w:rFonts w:eastAsia="Andale Sans UI"/>
                  <w:i/>
                  <w:szCs w:val="24"/>
                  <w:lang w:bidi="en-US"/>
                </w:rPr>
                <w:t>pateikiamos bendros (agreguotos) viešųjų konsultacijų dalyvių nuomonių tendencijos, nurodoma, kaip į konsultavimosi su visuomene rezultatus atsižvelgta Projekte</w:t>
              </w:r>
              <w:r>
                <w:rPr>
                  <w:rFonts w:eastAsia="Andale Sans UI"/>
                  <w:szCs w:val="24"/>
                  <w:lang w:bidi="en-US"/>
                </w:rPr>
                <w:t>)</w:t>
              </w:r>
              <w:r>
                <w:rPr>
                  <w:rFonts w:eastAsia="Andale Sans UI"/>
                  <w:i/>
                  <w:szCs w:val="24"/>
                  <w:lang w:bidi="en-US"/>
                </w:rPr>
                <w:t xml:space="preserve"> </w:t>
              </w:r>
              <w:r>
                <w:rPr>
                  <w:rFonts w:eastAsia="Andale Sans UI"/>
                  <w:szCs w:val="24"/>
                  <w:lang w:bidi="en-US"/>
                </w:rPr>
                <w:t>(</w:t>
              </w:r>
              <w:r>
                <w:rPr>
                  <w:rFonts w:eastAsia="Andale Sans UI"/>
                  <w:b/>
                  <w:bCs/>
                  <w:iCs/>
                  <w:szCs w:val="24"/>
                  <w:lang w:bidi="en-US"/>
                </w:rPr>
                <w:t>arba</w:t>
              </w:r>
              <w:r>
                <w:rPr>
                  <w:rFonts w:eastAsia="Andale Sans UI"/>
                  <w:iCs/>
                  <w:szCs w:val="24"/>
                  <w:lang w:bidi="en-US"/>
                </w:rPr>
                <w:t xml:space="preserve"> </w:t>
              </w:r>
              <w:r>
                <w:rPr>
                  <w:rFonts w:eastAsia="Andale Sans UI"/>
                  <w:szCs w:val="24"/>
                  <w:lang w:bidi="en-US"/>
                </w:rPr>
                <w:t>P</w:t>
              </w:r>
              <w:r>
                <w:rPr>
                  <w:rFonts w:eastAsia="Andale Sans UI"/>
                  <w:color w:val="000000"/>
                  <w:szCs w:val="24"/>
                  <w:lang w:bidi="en-US"/>
                </w:rPr>
                <w:t>rojektas viešosioms konsultacijoms paskelbtas (</w:t>
              </w:r>
              <w:r>
                <w:rPr>
                  <w:rFonts w:eastAsia="Andale Sans UI"/>
                  <w:b/>
                  <w:bCs/>
                  <w:iCs/>
                  <w:color w:val="000000"/>
                  <w:szCs w:val="24"/>
                  <w:lang w:bidi="en-US"/>
                </w:rPr>
                <w:t>arba</w:t>
              </w:r>
              <w:r>
                <w:rPr>
                  <w:rFonts w:eastAsia="Andale Sans UI"/>
                  <w:color w:val="000000"/>
                  <w:szCs w:val="24"/>
                  <w:lang w:bidi="en-US"/>
                </w:rPr>
                <w:t xml:space="preserve"> bus skelbiamas) interneto svetainėje epilietis.lrv.lt, kur pastabas ir pasiūlymus gali teikti (</w:t>
              </w:r>
              <w:r>
                <w:rPr>
                  <w:rFonts w:eastAsia="Andale Sans UI"/>
                  <w:b/>
                  <w:bCs/>
                  <w:iCs/>
                  <w:color w:val="000000"/>
                  <w:szCs w:val="24"/>
                  <w:lang w:bidi="en-US"/>
                </w:rPr>
                <w:t>arba</w:t>
              </w:r>
              <w:r>
                <w:rPr>
                  <w:rFonts w:eastAsia="Andale Sans UI"/>
                  <w:color w:val="000000"/>
                  <w:szCs w:val="24"/>
                  <w:lang w:bidi="en-US"/>
                </w:rPr>
                <w:t xml:space="preserve"> galės teikti) visi suinteresuoti asmenys (</w:t>
              </w:r>
              <w:r>
                <w:rPr>
                  <w:i/>
                  <w:iCs/>
                  <w:color w:val="000000"/>
                  <w:szCs w:val="24"/>
                  <w:lang w:eastAsia="lt-LT" w:bidi="en-US"/>
                </w:rPr>
                <w:t>nurodomas konsultavimosi tikslas (tikslai), būdas (būdai), suinteresuoti asmenys ir konsultavimosi trukmė</w:t>
              </w:r>
              <w:r>
                <w:rPr>
                  <w:iCs/>
                  <w:color w:val="000000"/>
                  <w:szCs w:val="24"/>
                  <w:lang w:eastAsia="lt-LT" w:bidi="en-US"/>
                </w:rPr>
                <w:t>)</w:t>
              </w:r>
              <w:r>
                <w:rPr>
                  <w:i/>
                  <w:iCs/>
                  <w:color w:val="000000"/>
                  <w:szCs w:val="24"/>
                  <w:lang w:eastAsia="lt-LT" w:bidi="en-US"/>
                </w:rPr>
                <w:t xml:space="preserve">. </w:t>
              </w:r>
            </w:p>
            <w:p>
              <w:pPr>
                <w:ind w:firstLine="567"/>
                <w:jc w:val="both"/>
                <w:rPr>
                  <w:color w:val="000000"/>
                  <w:szCs w:val="24"/>
                  <w:lang w:eastAsia="lt-LT" w:bidi="en-US"/>
                </w:rPr>
              </w:pPr>
              <w:r>
                <w:rPr>
                  <w:rFonts w:ascii="MS Gothic" w:eastAsia="MS Gothic" w:hAnsi="MS Gothic"/>
                  <w:szCs w:val="24"/>
                  <w:lang w:bidi="en-US"/>
                </w:rPr>
                <w:t>☒</w:t>
              </w:r>
              <w:r>
                <w:rPr>
                  <w:rFonts w:eastAsia="Andale Sans UI"/>
                  <w:szCs w:val="24"/>
                  <w:lang w:bidi="en-US"/>
                </w:rPr>
                <w:t xml:space="preserve"> P</w:t>
              </w:r>
              <w:r>
                <w:rPr>
                  <w:rFonts w:eastAsia="Andale Sans UI"/>
                  <w:color w:val="000000"/>
                  <w:szCs w:val="24"/>
                  <w:lang w:bidi="en-US"/>
                </w:rPr>
                <w:t xml:space="preserve">rojekto skelbti viešosioms konsultacijoms interneto svetainėje epilietis.lrv.lt </w:t>
              </w:r>
              <w:r>
                <w:rPr>
                  <w:color w:val="000000"/>
                  <w:szCs w:val="24"/>
                  <w:lang w:eastAsia="lt-LT" w:bidi="en-US"/>
                </w:rPr>
                <w:t xml:space="preserve">neplanuojama. </w:t>
              </w:r>
            </w:p>
          </w:sdtContent>
        </w:sdt>
        <w:sdt>
          <w:sdtPr>
            <w:alias w:val="14 p."/>
            <w:tag w:val="part_e223a728ded349ab995a7c37825dc882"/>
            <w:lock w:val="sdtLocked"/>
            <w:richText/>
          </w:sdtPr>
          <w:sdtContent>
            <w:p>
              <w:pPr>
                <w:ind w:firstLine="567"/>
                <w:jc w:val="both"/>
                <w:rPr>
                  <w:rFonts w:eastAsia="Andale Sans UI"/>
                  <w:b/>
                  <w:bCs/>
                  <w:color w:val="000000"/>
                  <w:szCs w:val="24"/>
                  <w:lang w:bidi="en-US"/>
                </w:rPr>
              </w:pPr>
              <w:sdt>
                <w:sdtPr>
                  <w:alias w:val="Numeris"/>
                  <w:tag w:val="nr_e223a728ded349ab995a7c37825dc882"/>
                  <w:lock w:val="sdtLocked"/>
                  <w:richText/>
                </w:sdtPr>
                <w:sdtContent>
                  <w:r>
                    <w:rPr>
                      <w:rFonts w:eastAsia="Andale Sans UI"/>
                      <w:b/>
                      <w:bCs/>
                      <w:szCs w:val="24"/>
                      <w:lang w:bidi="en-US"/>
                    </w:rPr>
                    <w:t>14</w:t>
                  </w:r>
                </w:sdtContent>
              </w:sdt>
              <w:r>
                <w:rPr>
                  <w:rFonts w:eastAsia="Andale Sans UI"/>
                  <w:b/>
                  <w:bCs/>
                  <w:szCs w:val="24"/>
                  <w:lang w:bidi="en-US"/>
                </w:rPr>
                <w:t>. Derinimas su suinteresuotomis institucijomis ir suinteresuotais asmenimis</w:t>
              </w:r>
            </w:p>
            <w:p>
              <w:pPr>
                <w:ind w:firstLine="567"/>
                <w:jc w:val="both"/>
                <w:rPr>
                  <w:rFonts w:eastAsia="Andale Sans UI"/>
                  <w:szCs w:val="24"/>
                  <w:lang w:bidi="en-US"/>
                </w:rPr>
              </w:pPr>
              <w:r>
                <w:rPr>
                  <w:rFonts w:eastAsia="Andale Sans UI"/>
                  <w:szCs w:val="24"/>
                  <w:lang w:bidi="en-US"/>
                </w:rPr>
                <w:t>Projektas skelbiamas Lietuvos Respublikos Seimo kanceliarijos teisės aktų informacinėje sistemoje (TAIS).</w:t>
              </w:r>
            </w:p>
            <w:p>
              <w:pPr>
                <w:ind w:firstLine="567"/>
                <w:jc w:val="both"/>
                <w:rPr>
                  <w:rFonts w:eastAsia="Andale Sans UI"/>
                  <w:szCs w:val="24"/>
                  <w:lang w:bidi="en-US"/>
                </w:rPr>
              </w:pPr>
              <w:r>
                <w:rPr>
                  <w:rFonts w:eastAsia="Andale Sans UI"/>
                  <w:szCs w:val="24"/>
                  <w:lang w:bidi="en-US"/>
                </w:rPr>
                <w:t xml:space="preserve">Derinimo terminas </w:t>
              </w:r>
              <w:r>
                <w:rPr>
                  <w:szCs w:val="24"/>
                  <w:lang w:eastAsia="lt-LT" w:bidi="en-US"/>
                </w:rPr>
                <w:t>(pažymimas tinkamas variantas)</w:t>
              </w:r>
              <w:r>
                <w:rPr>
                  <w:rFonts w:eastAsia="Andale Sans UI"/>
                  <w:szCs w:val="24"/>
                  <w:lang w:bidi="en-US"/>
                </w:rPr>
                <w:t>:</w:t>
              </w:r>
            </w:p>
            <w:p>
              <w:pPr>
                <w:ind w:firstLine="567"/>
                <w:jc w:val="both"/>
                <w:rPr>
                  <w:rFonts w:eastAsia="Andale Sans UI"/>
                  <w:szCs w:val="24"/>
                  <w:lang w:bidi="en-US"/>
                </w:rPr>
              </w:pPr>
              <w:r>
                <w:rPr>
                  <w:rFonts w:ascii="MS Gothic" w:eastAsia="MS Gothic" w:hAnsi="MS Gothic"/>
                  <w:szCs w:val="24"/>
                  <w:lang w:bidi="en-US"/>
                </w:rPr>
                <w:t>☒</w:t>
              </w:r>
              <w:r>
                <w:rPr>
                  <w:rFonts w:eastAsia="Andale Sans UI"/>
                  <w:szCs w:val="24"/>
                  <w:lang w:bidi="en-US"/>
                </w:rPr>
                <w:t xml:space="preserve"> 12 darbo dienų.</w:t>
              </w:r>
            </w:p>
            <w:p>
              <w:pPr>
                <w:ind w:firstLine="567"/>
                <w:jc w:val="both"/>
                <w:rPr>
                  <w:rFonts w:eastAsia="Andale Sans UI"/>
                  <w:i/>
                  <w:iCs/>
                  <w:szCs w:val="24"/>
                  <w:lang w:bidi="en-US"/>
                </w:rPr>
              </w:pPr>
              <w:r>
                <w:rPr>
                  <w:rFonts w:ascii="MS Gothic" w:eastAsia="MS Gothic" w:hAnsi="MS Gothic"/>
                  <w:szCs w:val="24"/>
                  <w:lang w:bidi="en-US"/>
                </w:rPr>
                <w:t>☐</w:t>
              </w:r>
              <w:r>
                <w:rPr>
                  <w:rFonts w:eastAsia="Andale Sans UI"/>
                  <w:szCs w:val="24"/>
                  <w:lang w:bidi="en-US"/>
                </w:rPr>
                <w:t xml:space="preserve"> 5 darbo dienos</w:t>
              </w:r>
              <w:r>
                <w:rPr>
                  <w:rFonts w:eastAsia="Andale Sans UI"/>
                  <w:i/>
                  <w:iCs/>
                  <w:szCs w:val="24"/>
                  <w:lang w:bidi="en-US"/>
                </w:rPr>
                <w:t>.</w:t>
              </w:r>
            </w:p>
          </w:sdtContent>
        </w:sdt>
        <w:sdt>
          <w:sdtPr>
            <w:alias w:val="15 p."/>
            <w:tag w:val="part_75de1ed6f58b4101a929a61b5e58eb27"/>
            <w:lock w:val="sdtLocked"/>
            <w:richText/>
          </w:sdtPr>
          <w:sdtContent>
            <w:p>
              <w:pPr>
                <w:ind w:firstLine="567"/>
                <w:jc w:val="both"/>
                <w:rPr>
                  <w:rFonts w:eastAsia="Andale Sans UI"/>
                  <w:szCs w:val="24"/>
                  <w:lang w:bidi="en-US"/>
                </w:rPr>
              </w:pPr>
              <w:sdt>
                <w:sdtPr>
                  <w:alias w:val="Numeris"/>
                  <w:tag w:val="nr_75de1ed6f58b4101a929a61b5e58eb27"/>
                  <w:lock w:val="sdtLocked"/>
                  <w:richText/>
                </w:sdtPr>
                <w:sdtContent>
                  <w:r>
                    <w:rPr>
                      <w:rFonts w:eastAsia="Andale Sans UI"/>
                      <w:b/>
                      <w:bCs/>
                      <w:szCs w:val="24"/>
                      <w:lang w:bidi="en-US"/>
                    </w:rPr>
                    <w:t>15</w:t>
                  </w:r>
                </w:sdtContent>
              </w:sdt>
              <w:r>
                <w:rPr>
                  <w:rFonts w:eastAsia="Andale Sans UI"/>
                  <w:b/>
                  <w:bCs/>
                  <w:szCs w:val="24"/>
                  <w:lang w:bidi="en-US"/>
                </w:rPr>
                <w:t>. Projekto rengėjai</w:t>
              </w:r>
              <w:r>
                <w:rPr>
                  <w:rFonts w:eastAsia="Andale Sans UI"/>
                  <w:szCs w:val="24"/>
                  <w:lang w:bidi="en-US"/>
                </w:rPr>
                <w:t xml:space="preserve"> </w:t>
              </w:r>
            </w:p>
            <w:p>
              <w:pPr>
                <w:ind w:firstLine="567"/>
                <w:jc w:val="both"/>
                <w:rPr>
                  <w:rFonts w:eastAsia="Andale Sans UI"/>
                  <w:szCs w:val="24"/>
                  <w:lang w:bidi="en-US"/>
                </w:rPr>
              </w:pPr>
              <w:r>
                <w:rPr>
                  <w:rFonts w:eastAsia="Andale Sans UI"/>
                  <w:szCs w:val="24"/>
                  <w:lang w:bidi="en-US"/>
                </w:rPr>
                <w:t xml:space="preserve">Projektus parengė Aplinkos ministerijos Žemės ir teritorijų planavimo politikos grupės vyresnioji patarėja, vykdanti grupės vadovo funkcijas, Algė Staniūnaitė-Tonkich (tel. +370 695 17731, el. p. alge.staniunaite-tonkich@am.lt) ir šios grupės vyresnioji patarėja Erika Giedraitienė (tel. +370  696 75865, el. p. erika.giedraitiene@am.lt).</w:t>
              </w:r>
            </w:p>
            <w:p>
              <w:pPr>
                <w:ind w:firstLine="567"/>
                <w:jc w:val="both"/>
                <w:rPr>
                  <w:rFonts w:eastAsia="Andale Sans UI"/>
                  <w:szCs w:val="24"/>
                  <w:lang w:bidi="en-US"/>
                </w:rPr>
              </w:pPr>
              <w:r>
                <w:rPr>
                  <w:rFonts w:eastAsia="Andale Sans UI"/>
                  <w:szCs w:val="24"/>
                  <w:lang w:bidi="en-US"/>
                </w:rPr>
                <w:t>PRIDEDAMA:</w:t>
              </w:r>
            </w:p>
          </w:sdtContent>
        </w:sdt>
        <w:sdt>
          <w:sdtPr>
            <w:alias w:val="1 p."/>
            <w:tag w:val="part_72277a83c9c44e0a9e3f158617b4183f"/>
            <w:lock w:val="sdtLocked"/>
            <w:richText/>
          </w:sdtPr>
          <w:sdtContent>
            <w:p>
              <w:pPr>
                <w:ind w:firstLine="567"/>
                <w:jc w:val="both"/>
                <w:rPr>
                  <w:color w:val="000000"/>
                  <w:szCs w:val="24"/>
                  <w:lang w:eastAsia="lt-LT" w:bidi="en-US"/>
                </w:rPr>
              </w:pPr>
              <w:sdt>
                <w:sdtPr>
                  <w:alias w:val="Numeris"/>
                  <w:tag w:val="nr_72277a83c9c44e0a9e3f158617b4183f"/>
                  <w:lock w:val="sdtLocked"/>
                  <w:richText/>
                </w:sdtPr>
                <w:sdtContent>
                  <w:r>
                    <w:rPr>
                      <w:color w:val="000000"/>
                      <w:szCs w:val="24"/>
                      <w:lang w:eastAsia="lt-LT" w:bidi="en-US"/>
                    </w:rPr>
                    <w:t>1</w:t>
                  </w:r>
                </w:sdtContent>
              </w:sdt>
              <w:r>
                <w:rPr>
                  <w:color w:val="000000"/>
                  <w:szCs w:val="24"/>
                  <w:lang w:eastAsia="lt-LT" w:bidi="en-US"/>
                </w:rPr>
                <w:t xml:space="preserve">. Lietuvos Respublikos žemės įstatymo Nr. I-446 </w:t>
              </w:r>
              <w:r>
                <w:rPr>
                  <w:color w:val="000000"/>
                  <w:szCs w:val="24"/>
                  <w:lang w:val="en-US" w:eastAsia="lt-LT" w:bidi="en-US"/>
                </w:rPr>
                <w:t xml:space="preserve">2, </w:t>
              </w:r>
              <w:r>
                <w:rPr>
                  <w:color w:val="000000"/>
                  <w:szCs w:val="24"/>
                  <w:lang w:eastAsia="lt-LT" w:bidi="en-US"/>
                </w:rPr>
                <w:t>7, 8, 9, 13, 13</w:t>
              </w:r>
              <w:r>
                <w:rPr>
                  <w:color w:val="000000"/>
                  <w:szCs w:val="24"/>
                  <w:vertAlign w:val="superscript"/>
                  <w:lang w:eastAsia="lt-LT" w:bidi="en-US"/>
                </w:rPr>
                <w:t>1</w:t>
              </w:r>
              <w:r>
                <w:rPr>
                  <w:color w:val="000000"/>
                  <w:szCs w:val="24"/>
                  <w:lang w:eastAsia="lt-LT" w:bidi="en-US"/>
                </w:rPr>
                <w:t>, 22, 32, 36</w:t>
              </w:r>
              <w:r>
                <w:rPr>
                  <w:color w:val="000000"/>
                  <w:szCs w:val="24"/>
                  <w:vertAlign w:val="superscript"/>
                  <w:lang w:eastAsia="lt-LT" w:bidi="en-US"/>
                </w:rPr>
                <w:t>2</w:t>
              </w:r>
              <w:r>
                <w:rPr>
                  <w:color w:val="000000"/>
                  <w:szCs w:val="24"/>
                  <w:lang w:eastAsia="lt-LT" w:bidi="en-US"/>
                </w:rPr>
                <w:t>, 37, 39, 40, 49, 50, 51, 52 ir 66 straipsnių pakeitimo įstatymo projektas, 15 lapų.</w:t>
              </w:r>
            </w:p>
          </w:sdtContent>
        </w:sdt>
        <w:sdt>
          <w:sdtPr>
            <w:alias w:val="2 p."/>
            <w:tag w:val="part_2d3536a472814ad5ba6244a14b7b99e3"/>
            <w:lock w:val="sdtLocked"/>
            <w:richText/>
          </w:sdtPr>
          <w:sdtContent>
            <w:p>
              <w:pPr>
                <w:ind w:firstLine="567"/>
                <w:jc w:val="both"/>
                <w:rPr>
                  <w:color w:val="000000"/>
                  <w:szCs w:val="24"/>
                  <w:lang w:eastAsia="lt-LT" w:bidi="en-US"/>
                </w:rPr>
              </w:pPr>
              <w:sdt>
                <w:sdtPr>
                  <w:alias w:val="Numeris"/>
                  <w:tag w:val="nr_2d3536a472814ad5ba6244a14b7b99e3"/>
                  <w:lock w:val="sdtLocked"/>
                  <w:richText/>
                </w:sdtPr>
                <w:sdtContent>
                  <w:r>
                    <w:rPr>
                      <w:color w:val="000000"/>
                      <w:szCs w:val="24"/>
                      <w:lang w:eastAsia="lt-LT" w:bidi="en-US"/>
                    </w:rPr>
                    <w:t>2</w:t>
                  </w:r>
                </w:sdtContent>
              </w:sdt>
              <w:r>
                <w:rPr>
                  <w:color w:val="000000"/>
                  <w:szCs w:val="24"/>
                  <w:lang w:eastAsia="lt-LT" w:bidi="en-US"/>
                </w:rPr>
                <w:t>. Lietuvos Respublikos žemės įstatymo Nr. I-446 2, 7, 8, 9, 13, 13</w:t>
              </w:r>
              <w:r>
                <w:rPr>
                  <w:color w:val="000000"/>
                  <w:szCs w:val="24"/>
                  <w:vertAlign w:val="superscript"/>
                  <w:lang w:eastAsia="lt-LT" w:bidi="en-US"/>
                </w:rPr>
                <w:t>1</w:t>
              </w:r>
              <w:r>
                <w:rPr>
                  <w:color w:val="000000"/>
                  <w:szCs w:val="24"/>
                  <w:lang w:eastAsia="lt-LT" w:bidi="en-US"/>
                </w:rPr>
                <w:t>, 22, 32, 36</w:t>
              </w:r>
              <w:r>
                <w:rPr>
                  <w:color w:val="000000"/>
                  <w:szCs w:val="24"/>
                  <w:vertAlign w:val="superscript"/>
                  <w:lang w:eastAsia="lt-LT" w:bidi="en-US"/>
                </w:rPr>
                <w:t>2</w:t>
              </w:r>
              <w:r>
                <w:rPr>
                  <w:color w:val="000000"/>
                  <w:szCs w:val="24"/>
                  <w:lang w:eastAsia="lt-LT" w:bidi="en-US"/>
                </w:rPr>
                <w:t>, 37, 39, 40, 49, 50, 51, 52 ir 66 straipsnių pakeitimo įstatymo projekto lyginamasis variantas, 17 lapų.</w:t>
              </w:r>
            </w:p>
          </w:sdtContent>
        </w:sdt>
        <w:sdt>
          <w:sdtPr>
            <w:alias w:val="3 p."/>
            <w:tag w:val="part_8bbc51cb75c4434d97307d0236f74796"/>
            <w:lock w:val="sdtLocked"/>
            <w:richText/>
          </w:sdtPr>
          <w:sdtContent>
            <w:p>
              <w:pPr>
                <w:ind w:firstLine="567"/>
                <w:jc w:val="both"/>
                <w:rPr>
                  <w:color w:val="000000"/>
                  <w:szCs w:val="24"/>
                  <w:lang w:eastAsia="lt-LT" w:bidi="en-US"/>
                </w:rPr>
              </w:pPr>
              <w:sdt>
                <w:sdtPr>
                  <w:alias w:val="Numeris"/>
                  <w:tag w:val="nr_8bbc51cb75c4434d97307d0236f74796"/>
                  <w:lock w:val="sdtLocked"/>
                  <w:richText/>
                </w:sdtPr>
                <w:sdtContent>
                  <w:r>
                    <w:rPr>
                      <w:color w:val="000000"/>
                      <w:szCs w:val="24"/>
                      <w:lang w:val="en-US" w:eastAsia="lt-LT" w:bidi="en-US"/>
                    </w:rPr>
                    <w:t>3</w:t>
                  </w:r>
                </w:sdtContent>
              </w:sdt>
              <w:r>
                <w:rPr>
                  <w:color w:val="000000"/>
                  <w:szCs w:val="24"/>
                  <w:lang w:eastAsia="lt-LT" w:bidi="en-US"/>
                </w:rPr>
                <w:t xml:space="preserve">. Lietuvos Respublikos žemės reformos įstatymo Nr. I-1607 4, 16, 18, 19 ir 20 straipsnių pakeitimo įstatymo projektas, 2 lapai. </w:t>
              </w:r>
            </w:p>
          </w:sdtContent>
        </w:sdt>
        <w:sdt>
          <w:sdtPr>
            <w:alias w:val="4 p."/>
            <w:tag w:val="part_d9151e8211b54b42991aa0d6e693b407"/>
            <w:lock w:val="sdtLocked"/>
            <w:richText/>
          </w:sdtPr>
          <w:sdtContent>
            <w:p>
              <w:pPr>
                <w:ind w:firstLine="567"/>
                <w:jc w:val="both"/>
                <w:rPr>
                  <w:color w:val="000000"/>
                  <w:szCs w:val="24"/>
                  <w:lang w:eastAsia="lt-LT" w:bidi="en-US"/>
                </w:rPr>
              </w:pPr>
              <w:sdt>
                <w:sdtPr>
                  <w:alias w:val="Numeris"/>
                  <w:tag w:val="nr_d9151e8211b54b42991aa0d6e693b407"/>
                  <w:lock w:val="sdtLocked"/>
                  <w:richText/>
                </w:sdtPr>
                <w:sdtContent>
                  <w:r>
                    <w:rPr>
                      <w:color w:val="000000"/>
                      <w:szCs w:val="24"/>
                      <w:lang w:eastAsia="lt-LT" w:bidi="en-US"/>
                    </w:rPr>
                    <w:t>4</w:t>
                  </w:r>
                </w:sdtContent>
              </w:sdt>
              <w:r>
                <w:rPr>
                  <w:color w:val="000000"/>
                  <w:szCs w:val="24"/>
                  <w:lang w:eastAsia="lt-LT" w:bidi="en-US"/>
                </w:rPr>
                <w:t>. Lietuvos Respublikos žemės reformos įstatymo Nr. I-1607 4, 16, 18, 19 ir 20 straipsnių pakeitimo įstatymo projekto lyginamasis variantas, 2 lapai.</w:t>
              </w:r>
            </w:p>
          </w:sdtContent>
        </w:sdt>
        <w:sdt>
          <w:sdtPr>
            <w:alias w:val="5 p."/>
            <w:tag w:val="part_ff48ce7aef8a4f4e899d7c7f3459f421"/>
            <w:lock w:val="sdtLocked"/>
            <w:richText/>
          </w:sdtPr>
          <w:sdtContent>
            <w:p>
              <w:pPr>
                <w:ind w:firstLine="567"/>
                <w:jc w:val="both"/>
                <w:rPr>
                  <w:color w:val="000000"/>
                  <w:szCs w:val="24"/>
                  <w:lang w:eastAsia="lt-LT" w:bidi="en-US"/>
                </w:rPr>
              </w:pPr>
              <w:sdt>
                <w:sdtPr>
                  <w:alias w:val="Numeris"/>
                  <w:tag w:val="nr_ff48ce7aef8a4f4e899d7c7f3459f421"/>
                  <w:lock w:val="sdtLocked"/>
                  <w:richText/>
                </w:sdtPr>
                <w:sdtContent>
                  <w:r>
                    <w:rPr>
                      <w:color w:val="000000"/>
                      <w:szCs w:val="24"/>
                      <w:lang w:eastAsia="lt-LT" w:bidi="en-US"/>
                    </w:rPr>
                    <w:t>5</w:t>
                  </w:r>
                </w:sdtContent>
              </w:sdt>
              <w:r>
                <w:rPr>
                  <w:color w:val="000000"/>
                  <w:szCs w:val="24"/>
                  <w:lang w:eastAsia="lt-LT" w:bidi="en-US"/>
                </w:rPr>
                <w:t>. Lietuvos Respublikos vietos savivaldos įstatymo Nr. I-533 15 ir 27 straipsnių pakeitimo įstatymo</w:t>
              </w:r>
              <w:r>
                <w:rPr>
                  <w:rFonts w:eastAsia="Andale Sans UI" w:cs="Tahoma"/>
                  <w:szCs w:val="24"/>
                  <w:lang w:bidi="en-US"/>
                </w:rPr>
                <w:t xml:space="preserve"> </w:t>
              </w:r>
              <w:r>
                <w:rPr>
                  <w:color w:val="000000"/>
                  <w:szCs w:val="24"/>
                  <w:lang w:eastAsia="lt-LT" w:bidi="en-US"/>
                </w:rPr>
                <w:t xml:space="preserve">projektas, </w:t>
              </w:r>
              <w:r>
                <w:rPr>
                  <w:color w:val="000000"/>
                  <w:szCs w:val="24"/>
                  <w:lang w:val="en-US" w:eastAsia="lt-LT" w:bidi="en-US"/>
                </w:rPr>
                <w:t>1</w:t>
              </w:r>
              <w:r>
                <w:rPr>
                  <w:color w:val="000000"/>
                  <w:szCs w:val="24"/>
                  <w:lang w:eastAsia="lt-LT" w:bidi="en-US"/>
                </w:rPr>
                <w:t xml:space="preserve"> lapas.</w:t>
              </w:r>
            </w:p>
          </w:sdtContent>
        </w:sdt>
        <w:sdt>
          <w:sdtPr>
            <w:alias w:val="6 p."/>
            <w:tag w:val="part_e1e87f91f8814259af45f708b0fabc48"/>
            <w:lock w:val="sdtLocked"/>
            <w:richText/>
          </w:sdtPr>
          <w:sdtContent>
            <w:p>
              <w:pPr>
                <w:ind w:firstLine="567"/>
                <w:jc w:val="both"/>
                <w:rPr>
                  <w:color w:val="000000"/>
                  <w:szCs w:val="24"/>
                  <w:lang w:eastAsia="lt-LT" w:bidi="en-US"/>
                </w:rPr>
              </w:pPr>
              <w:sdt>
                <w:sdtPr>
                  <w:alias w:val="Numeris"/>
                  <w:tag w:val="nr_e1e87f91f8814259af45f708b0fabc48"/>
                  <w:lock w:val="sdtLocked"/>
                  <w:richText/>
                </w:sdtPr>
                <w:sdtContent>
                  <w:r>
                    <w:rPr>
                      <w:color w:val="000000"/>
                      <w:szCs w:val="24"/>
                      <w:lang w:eastAsia="lt-LT" w:bidi="en-US"/>
                    </w:rPr>
                    <w:t>6</w:t>
                  </w:r>
                </w:sdtContent>
              </w:sdt>
              <w:r>
                <w:rPr>
                  <w:color w:val="000000"/>
                  <w:szCs w:val="24"/>
                  <w:lang w:eastAsia="lt-LT" w:bidi="en-US"/>
                </w:rPr>
                <w:t>. Lietuvos Respublikos vietos savivaldos įstatymo Nr. I-533 15 ir 27 straipsnių pakeitimo įstatymo projekto lyginamasis variantas, 1 lapas.</w:t>
              </w:r>
            </w:p>
          </w:sdtContent>
        </w:sdt>
        <w:sdt>
          <w:sdtPr>
            <w:alias w:val="7 p."/>
            <w:tag w:val="part_da425a935f2a484182db170753be696a"/>
            <w:lock w:val="sdtLocked"/>
            <w:richText/>
          </w:sdtPr>
          <w:sdtContent>
            <w:p>
              <w:pPr>
                <w:ind w:firstLine="567"/>
                <w:jc w:val="both"/>
                <w:rPr>
                  <w:color w:val="000000"/>
                  <w:szCs w:val="24"/>
                  <w:lang w:eastAsia="lt-LT" w:bidi="en-US"/>
                </w:rPr>
              </w:pPr>
              <w:sdt>
                <w:sdtPr>
                  <w:alias w:val="Numeris"/>
                  <w:tag w:val="nr_da425a935f2a484182db170753be696a"/>
                  <w:lock w:val="sdtLocked"/>
                  <w:richText/>
                </w:sdtPr>
                <w:sdtContent>
                  <w:r>
                    <w:rPr>
                      <w:color w:val="000000"/>
                      <w:szCs w:val="24"/>
                      <w:lang w:eastAsia="lt-LT" w:bidi="en-US"/>
                    </w:rPr>
                    <w:t>7</w:t>
                  </w:r>
                </w:sdtContent>
              </w:sdt>
              <w:r>
                <w:rPr>
                  <w:color w:val="000000"/>
                  <w:szCs w:val="24"/>
                  <w:lang w:eastAsia="lt-LT" w:bidi="en-US"/>
                </w:rPr>
                <w:t>. Įstatymų projektų aiškinamasis raštas, 11 lapų.</w:t>
              </w:r>
            </w:p>
          </w:sdtContent>
        </w:sdt>
        <w:sdt>
          <w:sdtPr>
            <w:alias w:val="8 p."/>
            <w:tag w:val="part_cce01fab96df4adaa43615020d1b7def"/>
            <w:lock w:val="sdtLocked"/>
            <w:richText/>
          </w:sdtPr>
          <w:sdtContent>
            <w:p>
              <w:pPr>
                <w:ind w:firstLine="567"/>
                <w:jc w:val="both"/>
                <w:rPr>
                  <w:color w:val="000000"/>
                  <w:szCs w:val="24"/>
                  <w:lang w:eastAsia="lt-LT" w:bidi="en-US"/>
                </w:rPr>
              </w:pPr>
              <w:sdt>
                <w:sdtPr>
                  <w:alias w:val="Numeris"/>
                  <w:tag w:val="nr_cce01fab96df4adaa43615020d1b7def"/>
                  <w:lock w:val="sdtLocked"/>
                  <w:richText/>
                </w:sdtPr>
                <w:sdtContent>
                  <w:r>
                    <w:rPr>
                      <w:color w:val="000000"/>
                      <w:szCs w:val="24"/>
                      <w:lang w:eastAsia="lt-LT" w:bidi="en-US"/>
                    </w:rPr>
                    <w:t>8</w:t>
                  </w:r>
                </w:sdtContent>
              </w:sdt>
              <w:r>
                <w:rPr>
                  <w:color w:val="000000"/>
                  <w:szCs w:val="24"/>
                  <w:lang w:eastAsia="lt-LT" w:bidi="en-US"/>
                </w:rPr>
                <w:t>. Lietuvos Respublikos Vyriausybės nutarimo projektas, 1 lapas.</w:t>
              </w:r>
            </w:p>
          </w:sdtContent>
        </w:sdt>
        <w:sdt>
          <w:sdtPr>
            <w:alias w:val="9 p."/>
            <w:tag w:val="part_7dc23227b7fa4b6d96b5763b4cdfe0e3"/>
            <w:lock w:val="sdtLocked"/>
            <w:richText/>
          </w:sdtPr>
          <w:sdtContent>
            <w:p>
              <w:pPr>
                <w:ind w:firstLine="567"/>
                <w:jc w:val="both"/>
                <w:rPr>
                  <w:color w:val="000000"/>
                  <w:szCs w:val="24"/>
                  <w:lang w:eastAsia="lt-LT" w:bidi="en-US"/>
                </w:rPr>
              </w:pPr>
              <w:sdt>
                <w:sdtPr>
                  <w:alias w:val="Numeris"/>
                  <w:tag w:val="nr_7dc23227b7fa4b6d96b5763b4cdfe0e3"/>
                  <w:lock w:val="sdtLocked"/>
                  <w:richText/>
                </w:sdtPr>
                <w:sdtContent>
                  <w:r>
                    <w:rPr>
                      <w:color w:val="000000"/>
                      <w:szCs w:val="24"/>
                      <w:lang w:eastAsia="lt-LT" w:bidi="en-US"/>
                    </w:rPr>
                    <w:t>9</w:t>
                  </w:r>
                </w:sdtContent>
              </w:sdt>
              <w:r>
                <w:rPr>
                  <w:color w:val="000000"/>
                  <w:szCs w:val="24"/>
                  <w:lang w:eastAsia="lt-LT" w:bidi="en-US"/>
                </w:rPr>
                <w:t>. Antikorupcinio vertinimo pažyma, 7 lapai.</w:t>
              </w:r>
            </w:p>
            <w:p>
              <w:pPr>
                <w:ind w:firstLine="567"/>
                <w:jc w:val="both"/>
                <w:rPr>
                  <w:color w:val="000000"/>
                  <w:szCs w:val="24"/>
                  <w:lang w:val="en-US" w:eastAsia="lt-LT" w:bidi="en-US"/>
                </w:rPr>
              </w:pPr>
            </w:p>
            <w:p>
              <w:pPr>
                <w:ind w:firstLine="567"/>
                <w:jc w:val="both"/>
                <w:rPr>
                  <w:color w:val="000000"/>
                  <w:szCs w:val="24"/>
                  <w:lang w:eastAsia="lt-LT" w:bidi="en-US"/>
                </w:rPr>
              </w:pPr>
            </w:p>
            <w:p>
              <w:pPr>
                <w:suppressLineNumbers/>
                <w:jc w:val="both"/>
                <w:rPr>
                  <w:rFonts w:eastAsia="Andale Sans UI"/>
                  <w:bCs/>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suppressLineNumbers/>
                      <w:jc w:val="both"/>
                      <w:rPr>
                        <w:rFonts w:eastAsia="Andale Sans UI"/>
                        <w:szCs w:val="24"/>
                        <w:lang w:bidi="en-US"/>
                      </w:rPr>
                    </w:pPr>
                    <w:r>
                      <w:rPr>
                        <w:rFonts w:eastAsia="Andale Sans UI"/>
                        <w:szCs w:val="24"/>
                        <w:lang w:bidi="en-US"/>
                      </w:rPr>
                      <w:t>Aplinkos ministerijos kanclerė</w:t>
                    </w:r>
                  </w:p>
                </w:tc>
                <w:tc>
                  <w:tcPr>
                    <w:tcW w:w="4826" w:type="dxa"/>
                    <w:vAlign w:val="bottom"/>
                  </w:tcPr>
                  <w:p>
                    <w:pPr>
                      <w:ind w:right="34"/>
                      <w:jc w:val="right"/>
                      <w:rPr>
                        <w:rFonts w:eastAsia="Andale Sans UI"/>
                        <w:szCs w:val="24"/>
                        <w:lang w:bidi="en-US"/>
                      </w:rPr>
                    </w:pPr>
                    <w:r>
                      <w:rPr>
                        <w:rFonts w:eastAsia="Andale Sans UI"/>
                        <w:szCs w:val="24"/>
                        <w:lang w:bidi="en-US"/>
                      </w:rPr>
                      <w:t>Sigita Vasiljevaitė</w:t>
                    </w:r>
                  </w:p>
                </w:tc>
              </w:tr>
              <w:tr>
                <w:trPr>
                  <w:cantSplit/>
                  <w:trHeight w:val="340"/>
                </w:trPr>
                <w:tc>
                  <w:tcPr>
                    <w:tcW w:w="9643" w:type="dxa"/>
                    <w:gridSpan w:val="2"/>
                  </w:tcPr>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p>
                  <w:p>
                    <w:pPr>
                      <w:suppressLineNumbers/>
                      <w:jc w:val="both"/>
                      <w:rPr>
                        <w:rFonts w:eastAsia="Andale Sans UI"/>
                        <w:szCs w:val="24"/>
                        <w:lang w:bidi="en-US"/>
                      </w:rPr>
                    </w:pPr>
                    <w:r>
                      <w:rPr>
                        <w:rFonts w:eastAsia="Andale Sans UI"/>
                        <w:szCs w:val="24"/>
                        <w:lang w:bidi="en-US"/>
                      </w:rPr>
                      <w:t>Erika Giedraitienė, +370 696 75865, el. p. erika.giedraitiene@am.lt</w:t>
                    </w:r>
                  </w:p>
                  <w:p>
                    <w:pPr>
                      <w:suppressLineNumbers/>
                      <w:jc w:val="both"/>
                      <w:rPr>
                        <w:rFonts w:eastAsia="Andale Sans UI"/>
                        <w:szCs w:val="24"/>
                        <w:lang w:bidi="en-US"/>
                      </w:rPr>
                    </w:pPr>
                  </w:p>
                </w:tc>
              </w:tr>
            </w:tbl>
            <w:p>
              <w:pPr>
                <w:jc w:val="center"/>
                <w:rPr>
                  <w:rFonts w:eastAsia="Andale Sans UI"/>
                  <w:szCs w:val="24"/>
                  <w:lang w:bidi="en-US"/>
                </w:rPr>
                <w:sectPr>
                  <w:headerReference w:type="even" r:id="rId11"/>
                  <w:headerReference w:type="default" r:id="rId12"/>
                  <w:footerReference w:type="even" r:id="rId13"/>
                  <w:footerReference w:type="default" r:id="rId14"/>
                  <w:headerReference w:type="first" r:id="rId15"/>
                  <w:footerReference w:type="first" r:id="rId16"/>
                  <w:footnotePr>
                    <w:pos w:val="beneathText"/>
                    <w:numRestart w:val="eachPage"/>
                  </w:footnotePr>
                  <w:endnotePr>
                    <w:numFmt w:val="decimal"/>
                  </w:endnotePr>
                  <w:pgSz w:w="11905" w:h="16837"/>
                  <w:pgMar w:top="1134" w:right="567" w:bottom="1134" w:left="1701" w:header="567" w:footer="232" w:gutter="0"/>
                  <w:cols w:space="1296"/>
                  <w:titlePg/>
                  <w:docGrid w:linePitch="326"/>
                </w:sectPr>
              </w:pPr>
            </w:p>
            <w:p>
              <w:pPr>
                <w:suppressLineNumbers/>
                <w:tabs>
                  <w:tab w:val="center" w:pos="4800"/>
                  <w:tab w:val="right" w:pos="9601"/>
                </w:tabs>
                <w:jc w:val="both"/>
                <w:rPr>
                  <w:rFonts w:eastAsia="Andale Sans UI" w:cs="Tahoma"/>
                  <w:szCs w:val="24"/>
                  <w:lang w:bidi="en-US"/>
                </w:rPr>
              </w:pPr>
            </w:p>
            <w:p>
              <w:pPr>
                <w:jc w:val="center"/>
                <w:rPr>
                  <w:rFonts w:eastAsia="Andale Sans UI" w:cs="Tahoma"/>
                  <w:szCs w:val="24"/>
                  <w:lang w:bidi="en-US"/>
                </w:rPr>
              </w:pPr>
              <w:r>
                <w:rPr>
                  <w:rFonts w:eastAsia="Andale Sans UI" w:cs="Tahoma"/>
                  <w:szCs w:val="24"/>
                  <w:lang w:bidi="en-US"/>
                </w:rPr>
                <w:t>ADRESATŲ SĄRAŠAS</w:t>
              </w:r>
            </w:p>
            <w:p>
              <w:pPr>
                <w:ind w:firstLine="567"/>
                <w:jc w:val="center"/>
                <w:rPr>
                  <w:rFonts w:eastAsia="Andale Sans UI" w:cs="Tahoma"/>
                  <w:szCs w:val="24"/>
                  <w:lang w:bidi="en-US"/>
                </w:rPr>
              </w:pPr>
            </w:p>
            <w:p>
              <w:pPr>
                <w:ind w:firstLine="567"/>
                <w:jc w:val="both"/>
                <w:rPr>
                  <w:rFonts w:eastAsia="Andale Sans UI" w:cs="Tahoma"/>
                  <w:szCs w:val="24"/>
                  <w:lang w:bidi="en-US"/>
                </w:rPr>
              </w:pPr>
            </w:p>
          </w:sdtContent>
        </w:sdt>
        <w:sdt>
          <w:sdtPr>
            <w:alias w:val="1 p."/>
            <w:tag w:val="part_e4d65c63b0e44640b9cfaed3c3d66ed4"/>
            <w:lock w:val="sdtLocked"/>
            <w:richText/>
          </w:sdtPr>
          <w:sdtContent>
            <w:p>
              <w:pPr>
                <w:ind w:left="1127" w:hanging="560"/>
                <w:jc w:val="both"/>
                <w:rPr>
                  <w:rFonts w:eastAsia="Andale Sans UI" w:cs="Tahoma"/>
                  <w:szCs w:val="24"/>
                  <w:lang w:bidi="en-US"/>
                </w:rPr>
              </w:pPr>
              <w:sdt>
                <w:sdtPr>
                  <w:alias w:val="Numeris"/>
                  <w:tag w:val="nr_e4d65c63b0e44640b9cfaed3c3d66ed4"/>
                  <w:lock w:val="sdtLocked"/>
                  <w:richText/>
                </w:sdtPr>
                <w:sdtContent>
                  <w:r>
                    <w:rPr>
                      <w:rFonts w:eastAsia="Andale Sans UI" w:cs="Tahoma"/>
                      <w:szCs w:val="24"/>
                      <w:lang w:bidi="en-US"/>
                    </w:rPr>
                    <w:t>1</w:t>
                  </w:r>
                </w:sdtContent>
              </w:sdt>
              <w:r>
                <w:rPr>
                  <w:rFonts w:eastAsia="Andale Sans UI" w:cs="Tahoma"/>
                  <w:szCs w:val="24"/>
                  <w:lang w:bidi="en-US"/>
                </w:rPr>
                <w:t>.</w:t>
                <w:tab/>
                <w:t>Finansų ministerija;</w:t>
              </w:r>
            </w:p>
          </w:sdtContent>
        </w:sdt>
        <w:sdt>
          <w:sdtPr>
            <w:alias w:val="2 p."/>
            <w:tag w:val="part_b55b176797d848bb815d42e6211fdead"/>
            <w:lock w:val="sdtLocked"/>
            <w:richText/>
          </w:sdtPr>
          <w:sdtContent>
            <w:p>
              <w:pPr>
                <w:ind w:left="1127" w:hanging="560"/>
                <w:jc w:val="both"/>
                <w:rPr>
                  <w:rFonts w:eastAsia="Andale Sans UI" w:cs="Tahoma"/>
                  <w:szCs w:val="24"/>
                  <w:lang w:bidi="en-US"/>
                </w:rPr>
              </w:pPr>
              <w:sdt>
                <w:sdtPr>
                  <w:alias w:val="Numeris"/>
                  <w:tag w:val="nr_b55b176797d848bb815d42e6211fdead"/>
                  <w:lock w:val="sdtLocked"/>
                  <w:richText/>
                </w:sdtPr>
                <w:sdtContent>
                  <w:r>
                    <w:rPr>
                      <w:rFonts w:eastAsia="Andale Sans UI" w:cs="Tahoma"/>
                      <w:szCs w:val="24"/>
                      <w:lang w:bidi="en-US"/>
                    </w:rPr>
                    <w:t>2</w:t>
                  </w:r>
                </w:sdtContent>
              </w:sdt>
              <w:r>
                <w:rPr>
                  <w:rFonts w:eastAsia="Andale Sans UI" w:cs="Tahoma"/>
                  <w:szCs w:val="24"/>
                  <w:lang w:bidi="en-US"/>
                </w:rPr>
                <w:t>.</w:t>
                <w:tab/>
                <w:t>Teisingumo ministerija;</w:t>
              </w:r>
            </w:p>
          </w:sdtContent>
        </w:sdt>
        <w:sdt>
          <w:sdtPr>
            <w:alias w:val="3 p."/>
            <w:tag w:val="part_bba0cf71bf5c4a45b32f67fbe27227b6"/>
            <w:lock w:val="sdtLocked"/>
            <w:richText/>
          </w:sdtPr>
          <w:sdtContent>
            <w:p>
              <w:pPr>
                <w:ind w:left="1127" w:hanging="560"/>
                <w:jc w:val="both"/>
                <w:rPr>
                  <w:rFonts w:eastAsia="Andale Sans UI" w:cs="Tahoma"/>
                  <w:szCs w:val="24"/>
                  <w:lang w:bidi="en-US"/>
                </w:rPr>
              </w:pPr>
              <w:sdt>
                <w:sdtPr>
                  <w:alias w:val="Numeris"/>
                  <w:tag w:val="nr_bba0cf71bf5c4a45b32f67fbe27227b6"/>
                  <w:lock w:val="sdtLocked"/>
                  <w:richText/>
                </w:sdtPr>
                <w:sdtContent>
                  <w:r>
                    <w:rPr>
                      <w:rFonts w:eastAsia="Andale Sans UI" w:cs="Tahoma"/>
                      <w:szCs w:val="24"/>
                      <w:lang w:bidi="en-US"/>
                    </w:rPr>
                    <w:t>3</w:t>
                  </w:r>
                </w:sdtContent>
              </w:sdt>
              <w:r>
                <w:rPr>
                  <w:rFonts w:eastAsia="Andale Sans UI" w:cs="Tahoma"/>
                  <w:szCs w:val="24"/>
                  <w:lang w:bidi="en-US"/>
                </w:rPr>
                <w:t>.</w:t>
                <w:tab/>
                <w:t>Žemės ūkio ministerija;</w:t>
              </w:r>
            </w:p>
          </w:sdtContent>
        </w:sdt>
        <w:sdt>
          <w:sdtPr>
            <w:alias w:val="4 p."/>
            <w:tag w:val="part_ef6d8f20f45141f28a4d40e411f450fa"/>
            <w:lock w:val="sdtLocked"/>
            <w:richText/>
          </w:sdtPr>
          <w:sdtContent>
            <w:p>
              <w:pPr>
                <w:ind w:left="1127" w:hanging="560"/>
                <w:jc w:val="both"/>
                <w:rPr>
                  <w:rFonts w:eastAsia="Andale Sans UI" w:cs="Tahoma"/>
                  <w:szCs w:val="24"/>
                  <w:lang w:bidi="en-US"/>
                </w:rPr>
              </w:pPr>
              <w:sdt>
                <w:sdtPr>
                  <w:alias w:val="Numeris"/>
                  <w:tag w:val="nr_ef6d8f20f45141f28a4d40e411f450fa"/>
                  <w:lock w:val="sdtLocked"/>
                  <w:richText/>
                </w:sdtPr>
                <w:sdtContent>
                  <w:r>
                    <w:rPr>
                      <w:rFonts w:eastAsia="Andale Sans UI" w:cs="Tahoma"/>
                      <w:szCs w:val="24"/>
                      <w:lang w:bidi="en-US"/>
                    </w:rPr>
                    <w:t>4</w:t>
                  </w:r>
                </w:sdtContent>
              </w:sdt>
              <w:r>
                <w:rPr>
                  <w:rFonts w:eastAsia="Andale Sans UI" w:cs="Tahoma"/>
                  <w:szCs w:val="24"/>
                  <w:lang w:bidi="en-US"/>
                </w:rPr>
                <w:t>.</w:t>
                <w:tab/>
                <w:t>Vidaus reikalų ministerija;</w:t>
              </w:r>
            </w:p>
          </w:sdtContent>
        </w:sdt>
        <w:sdt>
          <w:sdtPr>
            <w:alias w:val="5 p."/>
            <w:tag w:val="part_6df4c306a4c74413bc3cc6e3ec56c87d"/>
            <w:lock w:val="sdtLocked"/>
            <w:richText/>
          </w:sdtPr>
          <w:sdtContent>
            <w:p>
              <w:pPr>
                <w:ind w:left="1127" w:hanging="560"/>
                <w:jc w:val="both"/>
                <w:rPr>
                  <w:rFonts w:eastAsia="Andale Sans UI" w:cs="Tahoma"/>
                  <w:szCs w:val="24"/>
                  <w:lang w:bidi="en-US"/>
                </w:rPr>
              </w:pPr>
              <w:sdt>
                <w:sdtPr>
                  <w:alias w:val="Numeris"/>
                  <w:tag w:val="nr_6df4c306a4c74413bc3cc6e3ec56c87d"/>
                  <w:lock w:val="sdtLocked"/>
                  <w:richText/>
                </w:sdtPr>
                <w:sdtContent>
                  <w:r>
                    <w:rPr>
                      <w:rFonts w:eastAsia="Andale Sans UI" w:cs="Tahoma"/>
                      <w:szCs w:val="24"/>
                      <w:lang w:bidi="en-US"/>
                    </w:rPr>
                    <w:t>5</w:t>
                  </w:r>
                </w:sdtContent>
              </w:sdt>
              <w:r>
                <w:rPr>
                  <w:rFonts w:eastAsia="Andale Sans UI" w:cs="Tahoma"/>
                  <w:szCs w:val="24"/>
                  <w:lang w:bidi="en-US"/>
                </w:rPr>
                <w:t>.</w:t>
                <w:tab/>
                <w:t>Ekonomikos ir inovacijų ministerija;</w:t>
              </w:r>
            </w:p>
          </w:sdtContent>
        </w:sdt>
        <w:sdt>
          <w:sdtPr>
            <w:alias w:val="6 p."/>
            <w:tag w:val="part_8402d3f2e8a543538b0de510b7789e05"/>
            <w:lock w:val="sdtLocked"/>
            <w:richText/>
          </w:sdtPr>
          <w:sdtContent>
            <w:p>
              <w:pPr>
                <w:ind w:left="1127" w:hanging="560"/>
                <w:jc w:val="both"/>
                <w:rPr>
                  <w:rFonts w:eastAsia="Andale Sans UI" w:cs="Tahoma"/>
                  <w:szCs w:val="24"/>
                  <w:lang w:bidi="en-US"/>
                </w:rPr>
              </w:pPr>
              <w:sdt>
                <w:sdtPr>
                  <w:alias w:val="Numeris"/>
                  <w:tag w:val="nr_8402d3f2e8a543538b0de510b7789e05"/>
                  <w:lock w:val="sdtLocked"/>
                  <w:richText/>
                </w:sdtPr>
                <w:sdtContent>
                  <w:r>
                    <w:rPr>
                      <w:rFonts w:eastAsia="Andale Sans UI" w:cs="Tahoma"/>
                      <w:szCs w:val="24"/>
                      <w:lang w:bidi="en-US"/>
                    </w:rPr>
                    <w:t>6</w:t>
                  </w:r>
                </w:sdtContent>
              </w:sdt>
              <w:r>
                <w:rPr>
                  <w:rFonts w:eastAsia="Andale Sans UI" w:cs="Tahoma"/>
                  <w:szCs w:val="24"/>
                  <w:lang w:bidi="en-US"/>
                </w:rPr>
                <w:t>.</w:t>
                <w:tab/>
                <w:t>Energetikos ministerija;</w:t>
              </w:r>
            </w:p>
          </w:sdtContent>
        </w:sdt>
        <w:sdt>
          <w:sdtPr>
            <w:alias w:val="7 p."/>
            <w:tag w:val="part_e9bbb294c5b34c6da497d06cb2c846ac"/>
            <w:lock w:val="sdtLocked"/>
            <w:richText/>
          </w:sdtPr>
          <w:sdtContent>
            <w:p>
              <w:pPr>
                <w:ind w:left="1127" w:hanging="560"/>
                <w:jc w:val="both"/>
                <w:rPr>
                  <w:rFonts w:eastAsia="Andale Sans UI" w:cs="Tahoma"/>
                  <w:szCs w:val="24"/>
                  <w:lang w:bidi="en-US"/>
                </w:rPr>
              </w:pPr>
              <w:sdt>
                <w:sdtPr>
                  <w:alias w:val="Numeris"/>
                  <w:tag w:val="nr_e9bbb294c5b34c6da497d06cb2c846ac"/>
                  <w:lock w:val="sdtLocked"/>
                  <w:richText/>
                </w:sdtPr>
                <w:sdtContent>
                  <w:r>
                    <w:rPr>
                      <w:rFonts w:eastAsia="Andale Sans UI" w:cs="Tahoma"/>
                      <w:szCs w:val="24"/>
                      <w:lang w:bidi="en-US"/>
                    </w:rPr>
                    <w:t>7</w:t>
                  </w:r>
                </w:sdtContent>
              </w:sdt>
              <w:r>
                <w:rPr>
                  <w:rFonts w:eastAsia="Andale Sans UI" w:cs="Tahoma"/>
                  <w:szCs w:val="24"/>
                  <w:lang w:bidi="en-US"/>
                </w:rPr>
                <w:t>.</w:t>
                <w:tab/>
                <w:t>Susisiekimo ministerija;</w:t>
              </w:r>
            </w:p>
          </w:sdtContent>
        </w:sdt>
        <w:sdt>
          <w:sdtPr>
            <w:alias w:val="8 p."/>
            <w:tag w:val="part_cd0bcfe8b3c042e3a61c95476c5fbd0e"/>
            <w:lock w:val="sdtLocked"/>
            <w:richText/>
          </w:sdtPr>
          <w:sdtContent>
            <w:p>
              <w:pPr>
                <w:ind w:left="1127" w:hanging="560"/>
                <w:jc w:val="both"/>
                <w:rPr>
                  <w:rFonts w:eastAsia="Andale Sans UI" w:cs="Tahoma"/>
                  <w:szCs w:val="24"/>
                  <w:lang w:bidi="en-US"/>
                </w:rPr>
              </w:pPr>
              <w:sdt>
                <w:sdtPr>
                  <w:alias w:val="Numeris"/>
                  <w:tag w:val="nr_cd0bcfe8b3c042e3a61c95476c5fbd0e"/>
                  <w:lock w:val="sdtLocked"/>
                  <w:richText/>
                </w:sdtPr>
                <w:sdtContent>
                  <w:r>
                    <w:rPr>
                      <w:rFonts w:eastAsia="Andale Sans UI" w:cs="Tahoma"/>
                      <w:szCs w:val="24"/>
                      <w:lang w:bidi="en-US"/>
                    </w:rPr>
                    <w:t>8</w:t>
                  </w:r>
                </w:sdtContent>
              </w:sdt>
              <w:r>
                <w:rPr>
                  <w:rFonts w:eastAsia="Andale Sans UI" w:cs="Tahoma"/>
                  <w:szCs w:val="24"/>
                  <w:lang w:bidi="en-US"/>
                </w:rPr>
                <w:t>.</w:t>
                <w:tab/>
                <w:t>Krašto apsaugos ministerija;</w:t>
              </w:r>
            </w:p>
          </w:sdtContent>
        </w:sdt>
        <w:sdt>
          <w:sdtPr>
            <w:alias w:val="9 p."/>
            <w:tag w:val="part_ea89e32605c84f99879a798fd5af469c"/>
            <w:lock w:val="sdtLocked"/>
            <w:richText/>
          </w:sdtPr>
          <w:sdtContent>
            <w:p>
              <w:pPr>
                <w:ind w:left="1127" w:hanging="560"/>
                <w:jc w:val="both"/>
                <w:rPr>
                  <w:rFonts w:eastAsia="Andale Sans UI" w:cs="Tahoma"/>
                  <w:szCs w:val="24"/>
                  <w:lang w:bidi="en-US"/>
                </w:rPr>
              </w:pPr>
              <w:sdt>
                <w:sdtPr>
                  <w:alias w:val="Numeris"/>
                  <w:tag w:val="nr_ea89e32605c84f99879a798fd5af469c"/>
                  <w:lock w:val="sdtLocked"/>
                  <w:richText/>
                </w:sdtPr>
                <w:sdtContent>
                  <w:r>
                    <w:rPr>
                      <w:rFonts w:eastAsia="Andale Sans UI" w:cs="Tahoma"/>
                      <w:szCs w:val="24"/>
                      <w:lang w:bidi="en-US"/>
                    </w:rPr>
                    <w:t>9</w:t>
                  </w:r>
                </w:sdtContent>
              </w:sdt>
              <w:r>
                <w:rPr>
                  <w:rFonts w:eastAsia="Andale Sans UI" w:cs="Tahoma"/>
                  <w:szCs w:val="24"/>
                  <w:lang w:bidi="en-US"/>
                </w:rPr>
                <w:t>.</w:t>
                <w:tab/>
                <w:t>Nacionalinė žemės tarnyba prie Aplinkos ministerijos;</w:t>
              </w:r>
            </w:p>
          </w:sdtContent>
        </w:sdt>
        <w:sdt>
          <w:sdtPr>
            <w:alias w:val="10 p."/>
            <w:tag w:val="part_8dfdaa8e3e0b49f8816af683ecb931c5"/>
            <w:lock w:val="sdtLocked"/>
            <w:richText/>
          </w:sdtPr>
          <w:sdtContent>
            <w:p>
              <w:pPr>
                <w:ind w:left="1127" w:hanging="560"/>
                <w:jc w:val="both"/>
                <w:rPr>
                  <w:rFonts w:eastAsia="Andale Sans UI" w:cs="Tahoma"/>
                  <w:szCs w:val="24"/>
                  <w:lang w:bidi="en-US"/>
                </w:rPr>
              </w:pPr>
              <w:sdt>
                <w:sdtPr>
                  <w:alias w:val="Numeris"/>
                  <w:tag w:val="nr_8dfdaa8e3e0b49f8816af683ecb931c5"/>
                  <w:lock w:val="sdtLocked"/>
                  <w:richText/>
                </w:sdtPr>
                <w:sdtContent>
                  <w:r>
                    <w:rPr>
                      <w:rFonts w:eastAsia="Andale Sans UI" w:cs="Tahoma"/>
                      <w:szCs w:val="24"/>
                      <w:lang w:bidi="en-US"/>
                    </w:rPr>
                    <w:t>10</w:t>
                  </w:r>
                </w:sdtContent>
              </w:sdt>
              <w:r>
                <w:rPr>
                  <w:rFonts w:eastAsia="Andale Sans UI" w:cs="Tahoma"/>
                  <w:szCs w:val="24"/>
                  <w:lang w:bidi="en-US"/>
                </w:rPr>
                <w:t>.</w:t>
                <w:tab/>
                <w:t>Valstybinė teritorijų planavimo ir statybos inspekcija prie Aplinkos ministerijos;</w:t>
              </w:r>
            </w:p>
          </w:sdtContent>
        </w:sdt>
        <w:sdt>
          <w:sdtPr>
            <w:alias w:val="11 p."/>
            <w:tag w:val="part_599e96f30d564a148bd495c3a486239d"/>
            <w:lock w:val="sdtLocked"/>
            <w:richText/>
          </w:sdtPr>
          <w:sdtContent>
            <w:p>
              <w:pPr>
                <w:ind w:left="1127" w:hanging="560"/>
                <w:jc w:val="both"/>
                <w:rPr>
                  <w:rFonts w:eastAsia="Andale Sans UI" w:cs="Tahoma"/>
                  <w:szCs w:val="24"/>
                  <w:lang w:bidi="en-US"/>
                </w:rPr>
              </w:pPr>
              <w:sdt>
                <w:sdtPr>
                  <w:alias w:val="Numeris"/>
                  <w:tag w:val="nr_599e96f30d564a148bd495c3a486239d"/>
                  <w:lock w:val="sdtLocked"/>
                  <w:richText/>
                </w:sdtPr>
                <w:sdtContent>
                  <w:r>
                    <w:rPr>
                      <w:rFonts w:eastAsia="Andale Sans UI" w:cs="Tahoma"/>
                      <w:szCs w:val="24"/>
                      <w:lang w:bidi="en-US"/>
                    </w:rPr>
                    <w:t>11</w:t>
                  </w:r>
                </w:sdtContent>
              </w:sdt>
              <w:r>
                <w:rPr>
                  <w:rFonts w:eastAsia="Andale Sans UI" w:cs="Tahoma"/>
                  <w:szCs w:val="24"/>
                  <w:lang w:bidi="en-US"/>
                </w:rPr>
                <w:t>.</w:t>
                <w:tab/>
                <w:t>Lietuvos savivaldybių asociacija;</w:t>
              </w:r>
            </w:p>
          </w:sdtContent>
        </w:sdt>
        <w:sdt>
          <w:sdtPr>
            <w:alias w:val="12 p."/>
            <w:tag w:val="part_f0f503df58f34c919eab519348884bb3"/>
            <w:lock w:val="sdtLocked"/>
            <w:richText/>
          </w:sdtPr>
          <w:sdtContent>
            <w:p>
              <w:pPr>
                <w:ind w:left="1127" w:hanging="560"/>
                <w:jc w:val="both"/>
                <w:rPr>
                  <w:rFonts w:eastAsia="Andale Sans UI" w:cs="Tahoma"/>
                  <w:szCs w:val="24"/>
                  <w:lang w:bidi="en-US"/>
                </w:rPr>
              </w:pPr>
              <w:sdt>
                <w:sdtPr>
                  <w:alias w:val="Numeris"/>
                  <w:tag w:val="nr_f0f503df58f34c919eab519348884bb3"/>
                  <w:lock w:val="sdtLocked"/>
                  <w:richText/>
                </w:sdtPr>
                <w:sdtContent>
                  <w:r>
                    <w:rPr>
                      <w:rFonts w:eastAsia="Andale Sans UI" w:cs="Tahoma"/>
                      <w:szCs w:val="24"/>
                      <w:lang w:bidi="en-US"/>
                    </w:rPr>
                    <w:t>12</w:t>
                  </w:r>
                </w:sdtContent>
              </w:sdt>
              <w:r>
                <w:rPr>
                  <w:rFonts w:eastAsia="Andale Sans UI" w:cs="Tahoma"/>
                  <w:szCs w:val="24"/>
                  <w:lang w:bidi="en-US"/>
                </w:rPr>
                <w:t>.</w:t>
                <w:tab/>
                <w:t>Lietuvos Respublikos specialiųjų tyrimų tarnyba;</w:t>
              </w:r>
            </w:p>
          </w:sdtContent>
        </w:sdt>
        <w:sdt>
          <w:sdtPr>
            <w:alias w:val="13 p."/>
            <w:tag w:val="part_0969afd017504242a32260169264ce07"/>
            <w:lock w:val="sdtLocked"/>
            <w:richText/>
          </w:sdtPr>
          <w:sdtContent>
            <w:p>
              <w:pPr>
                <w:ind w:left="1127" w:hanging="560"/>
                <w:jc w:val="both"/>
                <w:rPr>
                  <w:rFonts w:eastAsia="Andale Sans UI" w:cs="Tahoma"/>
                  <w:szCs w:val="24"/>
                  <w:lang w:bidi="en-US"/>
                </w:rPr>
              </w:pPr>
              <w:sdt>
                <w:sdtPr>
                  <w:alias w:val="Numeris"/>
                  <w:tag w:val="nr_0969afd017504242a32260169264ce07"/>
                  <w:lock w:val="sdtLocked"/>
                  <w:richText/>
                </w:sdtPr>
                <w:sdtContent>
                  <w:r>
                    <w:rPr>
                      <w:rFonts w:eastAsia="Andale Sans UI" w:cs="Tahoma"/>
                      <w:szCs w:val="24"/>
                      <w:lang w:bidi="en-US"/>
                    </w:rPr>
                    <w:t>13</w:t>
                  </w:r>
                </w:sdtContent>
              </w:sdt>
              <w:r>
                <w:rPr>
                  <w:rFonts w:eastAsia="Andale Sans UI" w:cs="Tahoma"/>
                  <w:szCs w:val="24"/>
                  <w:lang w:bidi="en-US"/>
                </w:rPr>
                <w:t>.</w:t>
                <w:tab/>
                <w:t>VĮ Turto bankas;</w:t>
              </w:r>
            </w:p>
          </w:sdtContent>
        </w:sdt>
        <w:sdt>
          <w:sdtPr>
            <w:alias w:val="14 p."/>
            <w:tag w:val="part_095c0dd97d3346b39ca2094389f9dd0d"/>
            <w:lock w:val="sdtLocked"/>
            <w:richText/>
          </w:sdtPr>
          <w:sdtContent>
            <w:p>
              <w:pPr>
                <w:ind w:left="1127" w:hanging="560"/>
                <w:jc w:val="both"/>
                <w:rPr>
                  <w:rFonts w:eastAsia="Andale Sans UI" w:cs="Tahoma"/>
                  <w:szCs w:val="24"/>
                  <w:lang w:bidi="en-US"/>
                </w:rPr>
              </w:pPr>
              <w:sdt>
                <w:sdtPr>
                  <w:alias w:val="Numeris"/>
                  <w:tag w:val="nr_095c0dd97d3346b39ca2094389f9dd0d"/>
                  <w:lock w:val="sdtLocked"/>
                  <w:richText/>
                </w:sdtPr>
                <w:sdtContent>
                  <w:r>
                    <w:rPr>
                      <w:rFonts w:eastAsia="Andale Sans UI" w:cs="Tahoma"/>
                      <w:szCs w:val="24"/>
                      <w:lang w:bidi="en-US"/>
                    </w:rPr>
                    <w:t>14</w:t>
                  </w:r>
                </w:sdtContent>
              </w:sdt>
              <w:r>
                <w:rPr>
                  <w:rFonts w:eastAsia="Andale Sans UI" w:cs="Tahoma"/>
                  <w:szCs w:val="24"/>
                  <w:lang w:bidi="en-US"/>
                </w:rPr>
                <w:t>.</w:t>
                <w:tab/>
                <w:t>Valstybinė miškų urėdija;</w:t>
              </w:r>
            </w:p>
          </w:sdtContent>
        </w:sdt>
        <w:sdt>
          <w:sdtPr>
            <w:alias w:val="15 p."/>
            <w:tag w:val="part_7b9d07850454488a8add852681c15eb8"/>
            <w:lock w:val="sdtLocked"/>
            <w:richText/>
          </w:sdtPr>
          <w:sdtContent>
            <w:p>
              <w:pPr>
                <w:ind w:left="1127" w:hanging="560"/>
                <w:jc w:val="both"/>
                <w:rPr>
                  <w:rFonts w:eastAsia="Andale Sans UI" w:cs="Tahoma"/>
                  <w:szCs w:val="24"/>
                  <w:lang w:bidi="en-US"/>
                </w:rPr>
              </w:pPr>
              <w:sdt>
                <w:sdtPr>
                  <w:alias w:val="Numeris"/>
                  <w:tag w:val="nr_7b9d07850454488a8add852681c15eb8"/>
                  <w:lock w:val="sdtLocked"/>
                  <w:richText/>
                </w:sdtPr>
                <w:sdtContent>
                  <w:r>
                    <w:rPr>
                      <w:rFonts w:eastAsia="Andale Sans UI" w:cs="Tahoma"/>
                      <w:szCs w:val="24"/>
                      <w:lang w:bidi="en-US"/>
                    </w:rPr>
                    <w:t>15</w:t>
                  </w:r>
                </w:sdtContent>
              </w:sdt>
              <w:r>
                <w:rPr>
                  <w:rFonts w:eastAsia="Andale Sans UI" w:cs="Tahoma"/>
                  <w:szCs w:val="24"/>
                  <w:lang w:bidi="en-US"/>
                </w:rPr>
                <w:t>.</w:t>
                <w:tab/>
                <w:t>Lietuvos nekilnojamojo turto plėtros asociacija;</w:t>
              </w:r>
            </w:p>
          </w:sdtContent>
        </w:sdt>
        <w:sdt>
          <w:sdtPr>
            <w:alias w:val="16 p."/>
            <w:tag w:val="part_94ad45229e5c401e82685a9c56f0ec21"/>
            <w:lock w:val="sdtLocked"/>
            <w:richText/>
          </w:sdtPr>
          <w:sdtContent>
            <w:p>
              <w:pPr>
                <w:ind w:left="1127" w:hanging="560"/>
                <w:jc w:val="both"/>
                <w:rPr>
                  <w:rFonts w:eastAsia="Andale Sans UI" w:cs="Tahoma"/>
                  <w:szCs w:val="24"/>
                  <w:lang w:bidi="en-US"/>
                </w:rPr>
              </w:pPr>
              <w:sdt>
                <w:sdtPr>
                  <w:alias w:val="Numeris"/>
                  <w:tag w:val="nr_94ad45229e5c401e82685a9c56f0ec21"/>
                  <w:lock w:val="sdtLocked"/>
                  <w:richText/>
                </w:sdtPr>
                <w:sdtContent>
                  <w:r>
                    <w:rPr>
                      <w:rFonts w:eastAsia="Andale Sans UI" w:cs="Tahoma"/>
                      <w:szCs w:val="24"/>
                      <w:lang w:bidi="en-US"/>
                    </w:rPr>
                    <w:t>16</w:t>
                  </w:r>
                </w:sdtContent>
              </w:sdt>
              <w:r>
                <w:rPr>
                  <w:rFonts w:eastAsia="Andale Sans UI" w:cs="Tahoma"/>
                  <w:szCs w:val="24"/>
                  <w:lang w:bidi="en-US"/>
                </w:rPr>
                <w:t>.</w:t>
                <w:tab/>
                <w:t>VĮ Registrų centras;</w:t>
              </w:r>
            </w:p>
          </w:sdtContent>
        </w:sdt>
        <w:sdt>
          <w:sdtPr>
            <w:alias w:val="17 p."/>
            <w:tag w:val="part_ecb0904146cf4c7cb03587c1f378fed5"/>
            <w:lock w:val="sdtLocked"/>
            <w:richText/>
          </w:sdtPr>
          <w:sdtContent>
            <w:p>
              <w:pPr>
                <w:ind w:left="1127" w:hanging="560"/>
                <w:jc w:val="both"/>
                <w:rPr>
                  <w:rFonts w:eastAsia="Andale Sans UI" w:cs="Tahoma"/>
                  <w:szCs w:val="24"/>
                  <w:lang w:bidi="en-US"/>
                </w:rPr>
              </w:pPr>
              <w:sdt>
                <w:sdtPr>
                  <w:alias w:val="Numeris"/>
                  <w:tag w:val="nr_ecb0904146cf4c7cb03587c1f378fed5"/>
                  <w:lock w:val="sdtLocked"/>
                  <w:richText/>
                </w:sdtPr>
                <w:sdtContent>
                  <w:r>
                    <w:rPr>
                      <w:rFonts w:eastAsia="Andale Sans UI" w:cs="Tahoma"/>
                      <w:szCs w:val="24"/>
                      <w:lang w:bidi="en-US"/>
                    </w:rPr>
                    <w:t>17</w:t>
                  </w:r>
                </w:sdtContent>
              </w:sdt>
              <w:r>
                <w:rPr>
                  <w:rFonts w:eastAsia="Andale Sans UI" w:cs="Tahoma"/>
                  <w:szCs w:val="24"/>
                  <w:lang w:bidi="en-US"/>
                </w:rPr>
                <w:t>.</w:t>
                <w:tab/>
                <w:t>Nacionalinės žemės tarnybos prie Aplinkos ministerijos darbuotojų profesinė sąjunga;</w:t>
              </w:r>
            </w:p>
          </w:sdtContent>
        </w:sdt>
        <w:sdt>
          <w:sdtPr>
            <w:alias w:val="18 p."/>
            <w:tag w:val="part_b9346916c55f40c2b6ba2c8e3f17a2a2"/>
            <w:lock w:val="sdtLocked"/>
            <w:richText/>
          </w:sdtPr>
          <w:sdtContent>
            <w:p>
              <w:pPr>
                <w:ind w:left="1127" w:hanging="560"/>
                <w:jc w:val="both"/>
                <w:rPr>
                  <w:rFonts w:eastAsia="Andale Sans UI" w:cs="Tahoma"/>
                  <w:szCs w:val="24"/>
                  <w:lang w:bidi="en-US"/>
                </w:rPr>
              </w:pPr>
              <w:sdt>
                <w:sdtPr>
                  <w:alias w:val="Numeris"/>
                  <w:tag w:val="nr_b9346916c55f40c2b6ba2c8e3f17a2a2"/>
                  <w:lock w:val="sdtLocked"/>
                  <w:richText/>
                </w:sdtPr>
                <w:sdtContent>
                  <w:r>
                    <w:rPr>
                      <w:rFonts w:eastAsia="Andale Sans UI" w:cs="Tahoma"/>
                      <w:szCs w:val="24"/>
                      <w:lang w:bidi="en-US"/>
                    </w:rPr>
                    <w:t>18</w:t>
                  </w:r>
                </w:sdtContent>
              </w:sdt>
              <w:r>
                <w:rPr>
                  <w:rFonts w:eastAsia="Andale Sans UI" w:cs="Tahoma"/>
                  <w:szCs w:val="24"/>
                  <w:lang w:bidi="en-US"/>
                </w:rPr>
                <w:t>.</w:t>
                <w:tab/>
                <w:t>Lietuvos žemės ūkio taryba;</w:t>
              </w:r>
            </w:p>
          </w:sdtContent>
        </w:sdt>
        <w:sdt>
          <w:sdtPr>
            <w:alias w:val="19 p."/>
            <w:tag w:val="part_b13ee7cfcf8d4e05b5f0e729480c48e3"/>
            <w:lock w:val="sdtLocked"/>
            <w:richText/>
          </w:sdtPr>
          <w:sdtContent>
            <w:p>
              <w:pPr>
                <w:ind w:left="1127" w:hanging="560"/>
                <w:jc w:val="both"/>
                <w:rPr>
                  <w:rFonts w:eastAsia="Andale Sans UI" w:cs="Tahoma"/>
                  <w:szCs w:val="24"/>
                  <w:lang w:bidi="en-US"/>
                </w:rPr>
              </w:pPr>
              <w:sdt>
                <w:sdtPr>
                  <w:alias w:val="Numeris"/>
                  <w:tag w:val="nr_b13ee7cfcf8d4e05b5f0e729480c48e3"/>
                  <w:lock w:val="sdtLocked"/>
                  <w:richText/>
                </w:sdtPr>
                <w:sdtContent>
                  <w:r>
                    <w:rPr>
                      <w:rFonts w:eastAsia="Andale Sans UI" w:cs="Tahoma"/>
                      <w:szCs w:val="24"/>
                      <w:lang w:bidi="en-US"/>
                    </w:rPr>
                    <w:t>19</w:t>
                  </w:r>
                </w:sdtContent>
              </w:sdt>
              <w:r>
                <w:rPr>
                  <w:rFonts w:eastAsia="Andale Sans UI" w:cs="Tahoma"/>
                  <w:szCs w:val="24"/>
                  <w:lang w:bidi="en-US"/>
                </w:rPr>
                <w:t>.</w:t>
                <w:tab/>
                <w:t>Lietuvos Respublikos žemės ūkio rūmai;</w:t>
              </w:r>
            </w:p>
          </w:sdtContent>
        </w:sdt>
        <w:sdt>
          <w:sdtPr>
            <w:alias w:val="20 p."/>
            <w:tag w:val="part_309fd688c1ab4fe5a881e6b034781343"/>
            <w:lock w:val="sdtLocked"/>
            <w:richText/>
          </w:sdtPr>
          <w:sdtContent>
            <w:p>
              <w:pPr>
                <w:ind w:left="1127" w:hanging="560"/>
                <w:jc w:val="both"/>
                <w:rPr>
                  <w:rFonts w:eastAsia="Andale Sans UI" w:cs="Tahoma"/>
                  <w:szCs w:val="24"/>
                  <w:lang w:bidi="en-US"/>
                </w:rPr>
              </w:pPr>
              <w:sdt>
                <w:sdtPr>
                  <w:alias w:val="Numeris"/>
                  <w:tag w:val="nr_309fd688c1ab4fe5a881e6b034781343"/>
                  <w:lock w:val="sdtLocked"/>
                  <w:richText/>
                </w:sdtPr>
                <w:sdtContent>
                  <w:r>
                    <w:rPr>
                      <w:rFonts w:eastAsia="Andale Sans UI" w:cs="Tahoma"/>
                      <w:szCs w:val="24"/>
                      <w:lang w:bidi="en-US"/>
                    </w:rPr>
                    <w:t>20</w:t>
                  </w:r>
                </w:sdtContent>
              </w:sdt>
              <w:r>
                <w:rPr>
                  <w:rFonts w:eastAsia="Andale Sans UI" w:cs="Tahoma"/>
                  <w:szCs w:val="24"/>
                  <w:lang w:bidi="en-US"/>
                </w:rPr>
                <w:t>.</w:t>
                <w:tab/>
                <w:t>Vyriausybės atstovų įstaiga.</w:t>
              </w:r>
            </w:p>
            <w:p>
              <w:pPr>
                <w:ind w:firstLine="567"/>
                <w:jc w:val="both"/>
                <w:rPr>
                  <w:rFonts w:eastAsia="Andale Sans UI" w:cs="Tahoma"/>
                  <w:szCs w:val="24"/>
                  <w:lang w:bidi="en-US"/>
                </w:rPr>
              </w:pPr>
            </w:p>
          </w:sdtContent>
        </w:sdt>
      </w:sdtContent>
    </w:sdt>
    <w:sectPr>
      <w:footnotePr>
        <w:pos w:val="beneathText"/>
        <w:numRestart w:val="eachPage"/>
      </w:footnotePr>
      <w:endnotePr>
        <w:numFmt w:val="decimal"/>
      </w:endnotePr>
      <w:pgSz w:w="11905" w:h="16837"/>
      <w:pgMar w:top="1021" w:right="567" w:bottom="1021" w:left="1588" w:header="567" w:footer="232"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rPr>
          <w:rFonts w:eastAsia="Andale Sans UI" w:cs="Tahoma"/>
          <w:szCs w:val="24"/>
          <w:lang w:bidi="en-US"/>
        </w:rPr>
      </w:pPr>
      <w:r>
        <w:rPr>
          <w:rFonts w:eastAsia="Andale Sans UI" w:cs="Tahoma"/>
          <w:szCs w:val="24"/>
          <w:lang w:bidi="en-US"/>
        </w:rPr>
        <w:separator/>
      </w:r>
    </w:p>
  </w:endnote>
  <w:endnote w:type="continuationSeparator" w:id="0">
    <w:p>
      <w:pPr>
        <w:jc w:val="both"/>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p>
    <w:pPr>
      <w:suppressLineNumbers/>
      <w:tabs>
        <w:tab w:val="center" w:pos="4800"/>
        <w:tab w:val="right" w:pos="9601"/>
      </w:tab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rPr>
          <w:rFonts w:eastAsia="Andale Sans UI" w:cs="Tahoma"/>
          <w:szCs w:val="24"/>
          <w:lang w:bidi="en-US"/>
        </w:rPr>
      </w:pPr>
      <w:r>
        <w:rPr>
          <w:rFonts w:eastAsia="Andale Sans UI" w:cs="Tahoma"/>
          <w:szCs w:val="24"/>
          <w:lang w:bidi="en-US"/>
        </w:rPr>
        <w:separator/>
      </w:r>
    </w:p>
  </w:footnote>
  <w:footnote w:type="continuationSeparator" w:id="0">
    <w:p>
      <w:pPr>
        <w:jc w:val="both"/>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suppressLineNumbers/>
      <w:tabs>
        <w:tab w:val="center" w:pos="4800"/>
        <w:tab w:val="right" w:pos="9601"/>
      </w:tabs>
      <w:jc w:val="both"/>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2</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center"/>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PAGE   \* MERGEFORMAT</w:instrText>
    </w:r>
    <w:r>
      <w:rPr>
        <w:rFonts w:eastAsia="Andale Sans UI" w:cs="Tahoma"/>
        <w:szCs w:val="24"/>
        <w:lang w:bidi="en-US"/>
      </w:rPr>
      <w:fldChar w:fldCharType="separate"/>
    </w:r>
    <w:r>
      <w:rPr>
        <w:rFonts w:eastAsia="Andale Sans UI" w:cs="Tahoma"/>
        <w:szCs w:val="24"/>
        <w:lang w:val="en-GB" w:bidi="en-US"/>
      </w:rPr>
      <w:t>4</w:t>
    </w:r>
    <w:r>
      <w:rPr>
        <w:rFonts w:eastAsia="Andale Sans UI" w:cs="Tahoma"/>
        <w:szCs w:val="24"/>
        <w:lang w:bidi="en-US"/>
      </w:rPr>
      <w:fldChar w:fldCharType="end"/>
    </w:r>
  </w:p>
  <w:p>
    <w:pPr>
      <w:suppressLineNumbers/>
      <w:tabs>
        <w:tab w:val="center" w:pos="4800"/>
        <w:tab w:val="right" w:pos="9601"/>
      </w:tabs>
      <w:jc w:val="both"/>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00"/>
        <w:tab w:val="right" w:pos="9601"/>
      </w:tabs>
      <w:jc w:val="both"/>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50"/>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7D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5C83408-DEC8-46E3-871A-180CFBC6C2D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0274677">
      <w:bodyDiv w:val="1"/>
      <w:marLeft w:val="0"/>
      <w:marRight w:val="0"/>
      <w:marTop w:val="0"/>
      <w:marBottom w:val="0"/>
      <w:divBdr>
        <w:top w:val="none" w:sz="0" w:space="0" w:color="auto"/>
        <w:left w:val="none" w:sz="0" w:space="0" w:color="auto"/>
        <w:bottom w:val="none" w:sz="0" w:space="0" w:color="auto"/>
        <w:right w:val="none" w:sz="0" w:space="0" w:color="auto"/>
      </w:divBdr>
    </w:div>
    <w:div w:id="493882544">
      <w:bodyDiv w:val="1"/>
      <w:marLeft w:val="0"/>
      <w:marRight w:val="0"/>
      <w:marTop w:val="0"/>
      <w:marBottom w:val="0"/>
      <w:divBdr>
        <w:top w:val="none" w:sz="0" w:space="0" w:color="auto"/>
        <w:left w:val="none" w:sz="0" w:space="0" w:color="auto"/>
        <w:bottom w:val="none" w:sz="0" w:space="0" w:color="auto"/>
        <w:right w:val="none" w:sz="0" w:space="0" w:color="auto"/>
      </w:divBdr>
      <w:divsChild>
        <w:div w:id="598099785">
          <w:marLeft w:val="0"/>
          <w:marRight w:val="0"/>
          <w:marTop w:val="0"/>
          <w:marBottom w:val="0"/>
          <w:divBdr>
            <w:top w:val="none" w:sz="0" w:space="0" w:color="auto"/>
            <w:left w:val="none" w:sz="0" w:space="0" w:color="auto"/>
            <w:bottom w:val="none" w:sz="0" w:space="0" w:color="auto"/>
            <w:right w:val="none" w:sz="0" w:space="0" w:color="auto"/>
          </w:divBdr>
        </w:div>
        <w:div w:id="1297907655">
          <w:marLeft w:val="0"/>
          <w:marRight w:val="0"/>
          <w:marTop w:val="0"/>
          <w:marBottom w:val="0"/>
          <w:divBdr>
            <w:top w:val="none" w:sz="0" w:space="0" w:color="auto"/>
            <w:left w:val="none" w:sz="0" w:space="0" w:color="auto"/>
            <w:bottom w:val="none" w:sz="0" w:space="0" w:color="auto"/>
            <w:right w:val="none" w:sz="0" w:space="0" w:color="auto"/>
          </w:divBdr>
        </w:div>
      </w:divsChild>
    </w:div>
    <w:div w:id="782111478">
      <w:bodyDiv w:val="1"/>
      <w:marLeft w:val="0"/>
      <w:marRight w:val="0"/>
      <w:marTop w:val="0"/>
      <w:marBottom w:val="0"/>
      <w:divBdr>
        <w:top w:val="none" w:sz="0" w:space="0" w:color="auto"/>
        <w:left w:val="none" w:sz="0" w:space="0" w:color="auto"/>
        <w:bottom w:val="none" w:sz="0" w:space="0" w:color="auto"/>
        <w:right w:val="none" w:sz="0" w:space="0" w:color="auto"/>
      </w:divBdr>
    </w:div>
    <w:div w:id="916746596">
      <w:bodyDiv w:val="1"/>
      <w:marLeft w:val="0"/>
      <w:marRight w:val="0"/>
      <w:marTop w:val="0"/>
      <w:marBottom w:val="0"/>
      <w:divBdr>
        <w:top w:val="none" w:sz="0" w:space="0" w:color="auto"/>
        <w:left w:val="none" w:sz="0" w:space="0" w:color="auto"/>
        <w:bottom w:val="none" w:sz="0" w:space="0" w:color="auto"/>
        <w:right w:val="none" w:sz="0" w:space="0" w:color="auto"/>
      </w:divBdr>
      <w:divsChild>
        <w:div w:id="1093864504">
          <w:marLeft w:val="0"/>
          <w:marRight w:val="0"/>
          <w:marTop w:val="0"/>
          <w:marBottom w:val="0"/>
          <w:divBdr>
            <w:top w:val="none" w:sz="0" w:space="0" w:color="auto"/>
            <w:left w:val="none" w:sz="0" w:space="0" w:color="auto"/>
            <w:bottom w:val="none" w:sz="0" w:space="0" w:color="auto"/>
            <w:right w:val="none" w:sz="0" w:space="0" w:color="auto"/>
          </w:divBdr>
        </w:div>
        <w:div w:id="1060790193">
          <w:marLeft w:val="0"/>
          <w:marRight w:val="0"/>
          <w:marTop w:val="0"/>
          <w:marBottom w:val="0"/>
          <w:divBdr>
            <w:top w:val="none" w:sz="0" w:space="0" w:color="auto"/>
            <w:left w:val="none" w:sz="0" w:space="0" w:color="auto"/>
            <w:bottom w:val="none" w:sz="0" w:space="0" w:color="auto"/>
            <w:right w:val="none" w:sz="0" w:space="0" w:color="auto"/>
          </w:divBdr>
        </w:div>
        <w:div w:id="822156668">
          <w:marLeft w:val="0"/>
          <w:marRight w:val="0"/>
          <w:marTop w:val="0"/>
          <w:marBottom w:val="0"/>
          <w:divBdr>
            <w:top w:val="none" w:sz="0" w:space="0" w:color="auto"/>
            <w:left w:val="none" w:sz="0" w:space="0" w:color="auto"/>
            <w:bottom w:val="none" w:sz="0" w:space="0" w:color="auto"/>
            <w:right w:val="none" w:sz="0" w:space="0" w:color="auto"/>
          </w:divBdr>
        </w:div>
      </w:divsChild>
    </w:div>
    <w:div w:id="1040327560">
      <w:bodyDiv w:val="1"/>
      <w:marLeft w:val="0"/>
      <w:marRight w:val="0"/>
      <w:marTop w:val="0"/>
      <w:marBottom w:val="0"/>
      <w:divBdr>
        <w:top w:val="none" w:sz="0" w:space="0" w:color="auto"/>
        <w:left w:val="none" w:sz="0" w:space="0" w:color="auto"/>
        <w:bottom w:val="none" w:sz="0" w:space="0" w:color="auto"/>
        <w:right w:val="none" w:sz="0" w:space="0" w:color="auto"/>
      </w:divBdr>
    </w:div>
    <w:div w:id="1184318278">
      <w:bodyDiv w:val="1"/>
      <w:marLeft w:val="0"/>
      <w:marRight w:val="0"/>
      <w:marTop w:val="0"/>
      <w:marBottom w:val="0"/>
      <w:divBdr>
        <w:top w:val="none" w:sz="0" w:space="0" w:color="auto"/>
        <w:left w:val="none" w:sz="0" w:space="0" w:color="auto"/>
        <w:bottom w:val="none" w:sz="0" w:space="0" w:color="auto"/>
        <w:right w:val="none" w:sz="0" w:space="0" w:color="auto"/>
      </w:divBdr>
      <w:divsChild>
        <w:div w:id="1336346376">
          <w:marLeft w:val="0"/>
          <w:marRight w:val="0"/>
          <w:marTop w:val="0"/>
          <w:marBottom w:val="0"/>
          <w:divBdr>
            <w:top w:val="none" w:sz="0" w:space="0" w:color="auto"/>
            <w:left w:val="none" w:sz="0" w:space="0" w:color="auto"/>
            <w:bottom w:val="none" w:sz="0" w:space="0" w:color="auto"/>
            <w:right w:val="none" w:sz="0" w:space="0" w:color="auto"/>
          </w:divBdr>
        </w:div>
        <w:div w:id="1058750904">
          <w:marLeft w:val="0"/>
          <w:marRight w:val="0"/>
          <w:marTop w:val="0"/>
          <w:marBottom w:val="0"/>
          <w:divBdr>
            <w:top w:val="none" w:sz="0" w:space="0" w:color="auto"/>
            <w:left w:val="none" w:sz="0" w:space="0" w:color="auto"/>
            <w:bottom w:val="none" w:sz="0" w:space="0" w:color="auto"/>
            <w:right w:val="none" w:sz="0" w:space="0" w:color="auto"/>
          </w:divBdr>
        </w:div>
        <w:div w:id="1167481611">
          <w:marLeft w:val="0"/>
          <w:marRight w:val="0"/>
          <w:marTop w:val="0"/>
          <w:marBottom w:val="0"/>
          <w:divBdr>
            <w:top w:val="none" w:sz="0" w:space="0" w:color="auto"/>
            <w:left w:val="none" w:sz="0" w:space="0" w:color="auto"/>
            <w:bottom w:val="none" w:sz="0" w:space="0" w:color="auto"/>
            <w:right w:val="none" w:sz="0" w:space="0" w:color="auto"/>
          </w:divBdr>
        </w:div>
      </w:divsChild>
    </w:div>
    <w:div w:id="1670673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Jurgita Užkurnienė</DisplayName>
        <AccountId>118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lentele" DocPartId="8953b295ec284021a2d649cd46b45e57" PartId="e70952b0b96041e5a9896d3319767275"/>
  <Part Type="pastraipa" DocPartId="8e9115b99aa5456b99bbee65afc19dc5" PartId="5171546aefbd4eba90decc93ab5dfb9e"/>
  <Part Type="pastraipa" DocPartId="2d1acbec08864220ad11de3c1a7030ff" PartId="e2b186f7921240ed9708d808178a0f4e">
    <Part Type="punktas" Nr="1" Abbr="1 p." DocPartId="06a7dcbd9a1a4e5bbb3d8fe58a6b82a8" PartId="afcb1788d62345c3992cb95eab9e3022"/>
    <Part Type="punktas" Nr="2" Abbr="2 p." DocPartId="ad44b566222f4c64a0628361382f7f90" PartId="015e5e166c6b4ef99d3603e7c7a919a1"/>
    <Part Type="punktas" Nr="3" Abbr="3 p." DocPartId="f8f17fe2c7c949fdbf41d01cc63d293d" PartId="15840472c49c48d6b92031ae0d640db7"/>
    <Part Type="punktas" Nr="4" Abbr="4 p." DocPartId="f836864a444a49d3ac3924d1c79fa7ba" PartId="6fdc80d85e57468799db868176ff23f3"/>
    <Part Type="punktas" Nr="5" Abbr="5 p." DocPartId="c83dc4b5c938449f8c305e54d536e969" PartId="54fc39d50ea34da3ab918a25ec1e092b"/>
    <Part Type="punktas" Nr="6" Abbr="6 p." DocPartId="905c306e812a447499d748ee032d7e5b" PartId="b0d992f85c6341f486b084c968b07a27"/>
    <Part Type="punktas" Nr="7" Abbr="7 p." DocPartId="dcca5c9847c54196bfdad13052349578" PartId="5443b62911cd440a8106a2952da9ca74"/>
    <Part Type="punktas" Nr="8" Abbr="8 p." DocPartId="507aa575c39047eb8f9345c5aa676275" PartId="ee0c252fc0f74072b20e98b67f3e2306"/>
    <Part Type="punktas" Nr="9" Abbr="9 p." DocPartId="f777cf62a5c54261a3d648476712a7bc" PartId="97d4cf8db9334590b5d28e5142719b9d"/>
    <Part Type="punktas" Nr="10" Abbr="10 p." DocPartId="25be5a20a66445c783b4221ed9dc3d76" PartId="f276b7d08b2449eeb855f9d0c5880db9"/>
    <Part Type="punktas" Nr="11" Abbr="11 p." DocPartId="67fdfd0f0231450d8d6e5e042ae6eefe" PartId="6bf2392a58cc4e74b6ec9b58dd10aab8"/>
    <Part Type="punktas" Nr="12" Abbr="12 p." DocPartId="61e4091b1a3140b0a939ebd34a2e8c3b" PartId="8f6a49f890294077b8bfcd162c2a5bd0"/>
    <Part Type="punktas" Nr="13" Abbr="13 p." DocPartId="2eb143d9ee294f18b3a51f0ea5c7fe17" PartId="0705a37cbea3495e87382cfd06ed627b"/>
    <Part Type="punktas" Nr="14" Abbr="14 p." DocPartId="905404cd13b74bdd890912f1ec2d1908" PartId="e223a728ded349ab995a7c37825dc882"/>
    <Part Type="punktas" Nr="15" Abbr="15 p." DocPartId="ae18836ddcfd4ecfa49a8e53bbad4cef" PartId="75de1ed6f58b4101a929a61b5e58eb27"/>
    <Part Type="punktas" Nr="1" Abbr="1 p." Notes="Numeris ne iš eilės. Trūksta dalių? [DocDalys]" DocPartId="5b798fc5ba874a2190726b2bfcc9e80e" PartId="72277a83c9c44e0a9e3f158617b4183f"/>
    <Part Type="punktas" Nr="2" Abbr="2 p." DocPartId="0680688ce5c44e53908dc52720359d8e" PartId="2d3536a472814ad5ba6244a14b7b99e3"/>
    <Part Type="punktas" Nr="3" Abbr="3 p." DocPartId="ebd2825b302147fcbfc9306a96e9d58a" PartId="8bbc51cb75c4434d97307d0236f74796"/>
    <Part Type="punktas" Nr="4" Abbr="4 p." DocPartId="3e46bd10569f46448e5c994e10e663c3" PartId="d9151e8211b54b42991aa0d6e693b407"/>
    <Part Type="punktas" Nr="5" Abbr="5 p." DocPartId="6e0ccd77e0d04092b8b8d350d46edf27" PartId="ff48ce7aef8a4f4e899d7c7f3459f421"/>
    <Part Type="punktas" Nr="6" Abbr="6 p." DocPartId="0ccc4c75fa8b4e4989f1717d021f6079" PartId="e1e87f91f8814259af45f708b0fabc48"/>
    <Part Type="punktas" Nr="7" Abbr="7 p." DocPartId="c262e0142aa64112ae5033a0985f924c" PartId="da425a935f2a484182db170753be696a"/>
    <Part Type="punktas" Nr="8" Abbr="8 p." DocPartId="3dce0fab7f964181a4a31d037bf95bc7" PartId="cce01fab96df4adaa43615020d1b7def"/>
    <Part Type="punktas" Nr="9" Abbr="9 p." DocPartId="d906f820e8db47dcb0894c1b8b5310fa" PartId="7dc23227b7fa4b6d96b5763b4cdfe0e3"/>
    <Part Type="punktas" Nr="1" Abbr="1 p." Notes="Numeris ne iš eilės. Trūksta dalių? [DocDalys]" DocPartId="a30fb1618e154128849bcffc17d48c19" PartId="e4d65c63b0e44640b9cfaed3c3d66ed4"/>
    <Part Type="punktas" Nr="2" Abbr="2 p." DocPartId="e6bb071cb7c54b4095b150846116936b" PartId="b55b176797d848bb815d42e6211fdead"/>
    <Part Type="punktas" Nr="3" Abbr="3 p." DocPartId="f4770fff704d4384abe7b19342320f7c" PartId="bba0cf71bf5c4a45b32f67fbe27227b6"/>
    <Part Type="punktas" Nr="4" Abbr="4 p." DocPartId="b85b31eb0c5b482cb6fbca70be37566e" PartId="ef6d8f20f45141f28a4d40e411f450fa"/>
    <Part Type="punktas" Nr="5" Abbr="5 p." DocPartId="fba6e0ad2ec6456194a7f60911394b25" PartId="6df4c306a4c74413bc3cc6e3ec56c87d"/>
    <Part Type="punktas" Nr="6" Abbr="6 p." DocPartId="c44d5f47a5774b20b66e37d9920f0f3c" PartId="8402d3f2e8a543538b0de510b7789e05"/>
    <Part Type="punktas" Nr="7" Abbr="7 p." DocPartId="11c54d4c1009432eb4da43a0b437f3fd" PartId="e9bbb294c5b34c6da497d06cb2c846ac"/>
    <Part Type="punktas" Nr="8" Abbr="8 p." DocPartId="14823ab2c745487ba8052ccfd79f17e5" PartId="cd0bcfe8b3c042e3a61c95476c5fbd0e"/>
    <Part Type="punktas" Nr="9" Abbr="9 p." DocPartId="61ca77b62bee4fbcbcfda8116cdac9ca" PartId="ea89e32605c84f99879a798fd5af469c"/>
    <Part Type="punktas" Nr="10" Abbr="10 p." DocPartId="0d6499b113d24528977358f3a055d790" PartId="8dfdaa8e3e0b49f8816af683ecb931c5"/>
    <Part Type="punktas" Nr="11" Abbr="11 p." DocPartId="41b8680f79bf4858871b36c028bd0e97" PartId="599e96f30d564a148bd495c3a486239d"/>
    <Part Type="punktas" Nr="12" Abbr="12 p." DocPartId="126fe65c6d6b47a58584af71d8c05795" PartId="f0f503df58f34c919eab519348884bb3"/>
    <Part Type="punktas" Nr="13" Abbr="13 p." DocPartId="7ec70a306dce49cf808b316f9edfc8d7" PartId="0969afd017504242a32260169264ce07"/>
    <Part Type="punktas" Nr="14" Abbr="14 p." DocPartId="30e8e81a733443b4bbb6ddf1be30ea8d" PartId="095c0dd97d3346b39ca2094389f9dd0d"/>
    <Part Type="punktas" Nr="15" Abbr="15 p." DocPartId="c70e3bd3046c4072bdf628fadc366b7a" PartId="7b9d07850454488a8add852681c15eb8"/>
    <Part Type="punktas" Nr="16" Abbr="16 p." DocPartId="853513147cb14a589640cda49c3de381" PartId="94ad45229e5c401e82685a9c56f0ec21"/>
    <Part Type="punktas" Nr="17" Abbr="17 p." DocPartId="1e9d1df00eaa4dbfb99ec739412759a1" PartId="ecb0904146cf4c7cb03587c1f378fed5"/>
    <Part Type="punktas" Nr="18" Abbr="18 p." DocPartId="34e5ed6e961f4ca588f8a809dac4f8b5" PartId="b9346916c55f40c2b6ba2c8e3f17a2a2"/>
    <Part Type="punktas" Nr="19" Abbr="19 p." DocPartId="9c17e8a774384d0ea97318681f0901e6" PartId="b13ee7cfcf8d4e05b5f0e729480c48e3"/>
    <Part Type="punktas" Nr="20" Abbr="20 p." DocPartId="0ca0cdf9acdf465e976ca60a932682fe" PartId="309fd688c1ab4fe5a881e6b034781343"/>
  </Part>
</Parts>
</file>

<file path=customXml/itemProps1.xml><?xml version="1.0" encoding="utf-8"?>
<ds:datastoreItem xmlns:ds="http://schemas.openxmlformats.org/officeDocument/2006/customXml" ds:itemID="{4DEE301B-E495-4750-B0E8-CBFC8E239BAA}">
  <ds:schemaRefs>
    <ds:schemaRef ds:uri="http://schemas.microsoft.com/sharepoint/v3/contenttype/forms"/>
  </ds:schemaRefs>
</ds:datastoreItem>
</file>

<file path=customXml/itemProps2.xml><?xml version="1.0" encoding="utf-8"?>
<ds:datastoreItem xmlns:ds="http://schemas.openxmlformats.org/officeDocument/2006/customXml" ds:itemID="{2ECC1323-9F72-4681-9895-5BB6B34E3FBB}">
  <ds:schemaRef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purl.org/dc/terms/"/>
    <ds:schemaRef ds:uri="0379a545-9986-45d7-9e6d-3845025712a0"/>
    <ds:schemaRef ds:uri="47c1ea38-b788-4873-88f4-3b1f34597b9a"/>
    <ds:schemaRef ds:uri="http://www.w3.org/XML/1998/namespace"/>
  </ds:schemaRefs>
</ds:datastoreItem>
</file>

<file path=customXml/itemProps3.xml><?xml version="1.0" encoding="utf-8"?>
<ds:datastoreItem xmlns:ds="http://schemas.openxmlformats.org/officeDocument/2006/customXml" ds:itemID="{F458D579-1020-4B83-8A6C-6EAE18A6B9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68575A9-76FD-4F90-90C6-1B8F6EE7176E}">
  <ds:schemaRefs>
    <ds:schemaRef ds:uri="http://schemas.openxmlformats.org/officeDocument/2006/bibliography"/>
  </ds:schemaRefs>
</ds:datastoreItem>
</file>

<file path=customXml/itemProps5.xml><?xml version="1.0" encoding="utf-8"?>
<ds:datastoreItem xmlns:ds="http://schemas.openxmlformats.org/officeDocument/2006/customXml" ds:itemID="{1E0BF9BB-4E8B-4355-83D9-7026DC5E28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1522</Words>
  <Characters>10540</Characters>
  <Application>Microsoft Office Word</Application>
  <DocSecurity>4</DocSecurity>
  <Lines>215</Lines>
  <Paragraphs>109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11953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2025-02-14T13:38:00Z</dcterms:created>
  <dc:creator>Kristina Šarkienė</dc:creator>
  <lastModifiedBy>adlibuser</lastModifiedBy>
  <dcterms:modified xsi:type="dcterms:W3CDTF">2025-02-14T13:38:00Z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