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ac73653ab845ba877b9f1c1112bbe7"/>
        <w:lock w:val="sdtLocked"/>
        <w:richText/>
      </w:sdtPr>
      <w:sdtContent>
        <w:p>
          <w:pPr>
            <w:jc w:val="right"/>
            <w:rPr>
              <w:b/>
              <w:bCs/>
              <w:szCs w:val="24"/>
              <w:lang w:val="en-GB"/>
            </w:rPr>
          </w:pPr>
          <w:r>
            <w:rPr>
              <w:b/>
              <w:bCs/>
              <w:szCs w:val="24"/>
              <w:lang w:val="en-GB"/>
            </w:rPr>
            <w:t>Projekto lyginamasis variantas</w:t>
          </w:r>
        </w:p>
        <w:p>
          <w:pPr>
            <w:spacing w:line="259" w:lineRule="auto"/>
            <w:jc w:val="center"/>
            <w:rPr>
              <w:sz w:val="22"/>
              <w:szCs w:val="22"/>
              <w:lang w:val="en-GB"/>
            </w:rPr>
          </w:pPr>
        </w:p>
        <w:p>
          <w:pPr>
            <w:rPr>
              <w:sz w:val="14"/>
              <w:szCs w:val="14"/>
            </w:rPr>
          </w:pPr>
        </w:p>
        <w:p>
          <w:pPr>
            <w:jc w:val="center"/>
            <w:rPr>
              <w:b/>
              <w:bCs/>
              <w:szCs w:val="24"/>
            </w:rPr>
          </w:pPr>
          <w:r>
            <w:rPr>
              <w:b/>
              <w:bCs/>
              <w:szCs w:val="24"/>
            </w:rPr>
            <w:t>LIETUVOS RESPUBLIKOS</w:t>
          </w:r>
        </w:p>
        <w:p>
          <w:pPr>
            <w:jc w:val="center"/>
            <w:rPr>
              <w:b/>
              <w:bCs/>
              <w:szCs w:val="24"/>
            </w:rPr>
          </w:pPr>
          <w:r>
            <w:rPr>
              <w:b/>
              <w:bCs/>
              <w:szCs w:val="24"/>
            </w:rPr>
            <w:t>MOTERŲ IR VYRŲ LYGIŲ GALIMYBIŲ ĮSTATYMO Nr. VIII-947</w:t>
          </w:r>
        </w:p>
        <w:p>
          <w:pPr>
            <w:jc w:val="center"/>
            <w:rPr>
              <w:b/>
              <w:bCs/>
              <w:szCs w:val="24"/>
            </w:rPr>
          </w:pPr>
          <w:r>
            <w:rPr>
              <w:b/>
              <w:bCs/>
              <w:szCs w:val="24"/>
            </w:rPr>
            <w:t>6</w:t>
          </w:r>
          <w:r>
            <w:rPr>
              <w:b/>
              <w:bCs/>
              <w:szCs w:val="24"/>
              <w:vertAlign w:val="superscript"/>
            </w:rPr>
            <w:t>1</w:t>
          </w:r>
          <w:r>
            <w:rPr>
              <w:b/>
              <w:bCs/>
              <w:szCs w:val="24"/>
            </w:rPr>
            <w:t>, 11</w:t>
          </w:r>
          <w:r>
            <w:rPr>
              <w:b/>
              <w:bCs/>
              <w:szCs w:val="24"/>
              <w:vertAlign w:val="superscript"/>
            </w:rPr>
            <w:t>1</w:t>
          </w:r>
          <w:r>
            <w:rPr>
              <w:b/>
              <w:bCs/>
              <w:szCs w:val="24"/>
            </w:rPr>
            <w:t xml:space="preserve"> IR 20 STRAIPSNIŲ PAKEITIMO </w:t>
          </w:r>
        </w:p>
        <w:p>
          <w:pPr>
            <w:jc w:val="center"/>
            <w:rPr>
              <w:b/>
              <w:bCs/>
              <w:szCs w:val="24"/>
            </w:rPr>
          </w:pPr>
          <w:r>
            <w:rPr>
              <w:b/>
              <w:bCs/>
              <w:szCs w:val="24"/>
            </w:rPr>
            <w:t>ĮSTATYMAS</w:t>
          </w:r>
        </w:p>
        <w:p>
          <w:pPr>
            <w:jc w:val="center"/>
            <w:rPr>
              <w:szCs w:val="24"/>
            </w:rPr>
          </w:pPr>
        </w:p>
        <w:p>
          <w:pPr>
            <w:jc w:val="center"/>
            <w:rPr>
              <w:szCs w:val="24"/>
            </w:rPr>
          </w:pPr>
          <w:r>
            <w:rPr>
              <w:szCs w:val="24"/>
            </w:rPr>
            <w:t xml:space="preserve">2025 m        d. Nr.</w:t>
          </w:r>
        </w:p>
        <w:p>
          <w:pPr>
            <w:jc w:val="center"/>
            <w:rPr>
              <w:szCs w:val="24"/>
            </w:rPr>
          </w:pPr>
          <w:r>
            <w:rPr>
              <w:szCs w:val="24"/>
            </w:rPr>
            <w:t>Vilnius</w:t>
          </w:r>
        </w:p>
        <w:p>
          <w:pPr>
            <w:jc w:val="both"/>
            <w:rPr>
              <w:szCs w:val="24"/>
            </w:rPr>
          </w:pPr>
        </w:p>
        <w:sdt>
          <w:sdtPr>
            <w:alias w:val="1 p."/>
            <w:tag w:val="part_37801173b1fa467eb3b1f0b9151c5f77"/>
            <w:lock w:val="sdtLocked"/>
            <w:richText/>
          </w:sdtPr>
          <w:sdtContent>
            <w:p>
              <w:pPr>
                <w:jc w:val="both"/>
                <w:rPr>
                  <w:b/>
                  <w:bCs/>
                  <w:szCs w:val="24"/>
                </w:rPr>
              </w:pPr>
              <w:sdt>
                <w:sdtPr>
                  <w:alias w:val="Numeris"/>
                  <w:tag w:val="nr_37801173b1fa467eb3b1f0b9151c5f77"/>
                  <w:lock w:val="sdtLocked"/>
                  <w:richText/>
                </w:sdtPr>
                <w:sdtContent>
                  <w:r>
                    <w:rPr>
                      <w:b/>
                      <w:bCs/>
                      <w:szCs w:val="24"/>
                    </w:rPr>
                    <w:t>1</w:t>
                  </w:r>
                </w:sdtContent>
              </w:sdt>
              <w:r>
                <w:rPr>
                  <w:b/>
                  <w:bCs/>
                  <w:szCs w:val="24"/>
                </w:rPr>
                <w:t>. straipsnis. 6</w:t>
              </w:r>
              <w:r>
                <w:rPr>
                  <w:b/>
                  <w:bCs/>
                  <w:szCs w:val="24"/>
                  <w:vertAlign w:val="superscript"/>
                </w:rPr>
                <w:t>1</w:t>
              </w:r>
              <w:r>
                <w:rPr>
                  <w:b/>
                  <w:bCs/>
                  <w:szCs w:val="24"/>
                </w:rPr>
                <w:t xml:space="preserve"> straipsnio pakeitimas:</w:t>
              </w:r>
            </w:p>
            <w:p>
              <w:pPr>
                <w:jc w:val="both"/>
                <w:rPr>
                  <w:bCs/>
                  <w:szCs w:val="24"/>
                </w:rPr>
              </w:pPr>
              <w:r>
                <w:rPr>
                  <w:bCs/>
                  <w:szCs w:val="24"/>
                </w:rPr>
                <w:t>Pakeisti 6</w:t>
              </w:r>
              <w:r>
                <w:rPr>
                  <w:bCs/>
                  <w:szCs w:val="24"/>
                  <w:vertAlign w:val="superscript"/>
                </w:rPr>
                <w:t>1</w:t>
              </w:r>
              <w:r>
                <w:rPr>
                  <w:bCs/>
                  <w:szCs w:val="24"/>
                </w:rPr>
                <w:t xml:space="preserve"> straipsnį ir jį išdėstyti taip:</w:t>
              </w:r>
            </w:p>
          </w:sdtContent>
        </w:sdt>
        <w:sdt>
          <w:sdtPr>
            <w:alias w:val="6-1 str."/>
            <w:tag w:val="part_326b3d8c209c49beaa968d2511c518d2"/>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326b3d8c209c49beaa968d2511c518d2"/>
                  <w:lock w:val="sdtLocked"/>
                  <w:richText/>
                </w:sdtPr>
                <w:sdtContent>
                  <w:r>
                    <w:rPr>
                      <w:rFonts w:ascii="Liberation Serif" w:eastAsia="NSimSun" w:hAnsi="Liberation Serif" w:cs="Arial"/>
                      <w:bCs/>
                      <w:kern w:val="2"/>
                      <w:szCs w:val="24"/>
                      <w:lang w:eastAsia="zh-CN" w:bidi="hi-IN"/>
                    </w:rPr>
                    <w:t>6</w:t>
                  </w:r>
                  <w:r>
                    <w:rPr>
                      <w:rFonts w:ascii="Liberation Serif" w:eastAsia="NSimSun" w:hAnsi="Liberation Serif" w:cs="Arial"/>
                      <w:bCs/>
                      <w:kern w:val="2"/>
                      <w:szCs w:val="24"/>
                      <w:vertAlign w:val="superscript"/>
                      <w:lang w:eastAsia="zh-CN" w:bidi="hi-IN"/>
                    </w:rPr>
                    <w:t>1</w:t>
                  </w:r>
                </w:sdtContent>
              </w:sdt>
              <w:r>
                <w:rPr>
                  <w:rFonts w:ascii="Liberation Serif" w:eastAsia="NSimSun" w:hAnsi="Liberation Serif" w:cs="Arial"/>
                  <w:bCs/>
                  <w:kern w:val="2"/>
                  <w:szCs w:val="24"/>
                  <w:lang w:eastAsia="zh-CN" w:bidi="hi-IN"/>
                </w:rPr>
                <w:t> straipsnis.</w:t>
              </w:r>
              <w:r>
                <w:rPr>
                  <w:rFonts w:ascii="Liberation Serif" w:eastAsia="NSimSun" w:hAnsi="Liberation Serif" w:cs="Arial"/>
                  <w:b/>
                  <w:bCs/>
                  <w:kern w:val="2"/>
                  <w:szCs w:val="24"/>
                  <w:lang w:eastAsia="zh-CN" w:bidi="hi-IN"/>
                </w:rPr>
                <w:t> </w:t>
              </w:r>
              <w:r>
                <w:rPr>
                  <w:rFonts w:ascii="Liberation Serif" w:eastAsia="NSimSun" w:hAnsi="Liberation Serif" w:cs="Arial"/>
                  <w:bCs/>
                  <w:kern w:val="2"/>
                  <w:szCs w:val="24"/>
                  <w:lang w:eastAsia="zh-CN" w:bidi="hi-IN"/>
                </w:rPr>
                <w:t>Moterų ir vyrų lygių galimybių įgyvendinimas didelių įmonių, kurių vertybiniais popieriais leista prekiauti reguliuojamoje rinkoje, valdymo ir priežiūros organuose</w:t>
              </w:r>
            </w:p>
            <w:sdt>
              <w:sdtPr>
                <w:alias w:val="6-1 str. 1 d."/>
                <w:tag w:val="part_f9da3395a5d84be2b02c5d8d5cae21b4"/>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f9da3395a5d84be2b02c5d8d5cae21b4"/>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turi imtis priemonių siekdamos užtikrinti, </w:t>
                  </w:r>
                  <w:r>
                    <w:rPr>
                      <w:rFonts w:ascii="Liberation Serif" w:eastAsia="NSimSun" w:hAnsi="Liberation Serif" w:cs="Arial"/>
                      <w:bCs/>
                      <w:kern w:val="2"/>
                      <w:szCs w:val="24"/>
                      <w:lang w:eastAsia="zh-CN" w:bidi="hi-IN"/>
                    </w:rPr>
                    <w:t>kad jų valdymo</w:t>
                  </w:r>
                  <w:r>
                    <w:rPr>
                      <w:rFonts w:ascii="Liberation Serif" w:eastAsia="NSimSun" w:hAnsi="Liberation Serif" w:cs="Arial"/>
                      <w:kern w:val="2"/>
                      <w:szCs w:val="24"/>
                      <w:lang w:eastAsia="zh-CN" w:bidi="hi-IN"/>
                    </w:rPr>
                    <w:t xml:space="preserve"> ir priežiūros organuose nepakankamai atstovaujamos lyties asmenys užimtų ne mažiau kaip 33 proc. (bet ne daugiau kaip 49 proc.) įmonės vadovo, valdybos narių, stebėtojų tarybos narių pozicijų.</w:t>
                  </w:r>
                </w:p>
              </w:sdtContent>
            </w:sdt>
            <w:sdt>
              <w:sdtPr>
                <w:alias w:val="6-1 str. 2 d."/>
                <w:tag w:val="part_8803fdcb905c432ebfe6c0b2717d7353"/>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8803fdcb905c432ebfe6c0b2717d7353"/>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Kandidatai į didelės įmonės,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vadovo, valdybos narių, stebėtojų tarybos narių pozicijas atrenkami remiantis kiekvieno kandidato lyginamuoju kvalifikacijų vertinimu. Prieš atranką ir jai vykstant didelės įmonės turi nustatyti reikalavimus ir kriterijus, taikomus kandidatams, siekiantiems užimti tam tikrą poziciją. Kandidatus į minėtas pozicijas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informuoja apie atrankos metu pagal nustatytus kriterijus bei reikalavimus atliekamą jų lyginamąjį kvalifikacijų vertinimą ir, jei aktualu, konkrečius atrankos komisijos svarstymus – pateikia informaciją apie vykusį vertinimą ir jo argumentaciją, diskusijas ar kitą svarbią informaciją, į kurią atsižvelgiant išimtinai palankiau buvo vertinamas didelėje įmonėje pakankamai atstovaujamos lyties kandidatas.</w:t>
                  </w:r>
                </w:p>
              </w:sdtContent>
            </w:sdt>
            <w:sdt>
              <w:sdtPr>
                <w:alias w:val="6-1 str. 3 d."/>
                <w:tag w:val="part_7b0b15532cc14614abc99f805a2fb401"/>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7b0b15532cc14614abc99f805a2fb401"/>
                      <w:lock w:val="sdtLocked"/>
                      <w:richText/>
                    </w:sdtPr>
                    <w:sdtContent>
                      <w:r>
                        <w:rPr>
                          <w:rFonts w:ascii="Liberation Serif" w:eastAsia="NSimSun" w:hAnsi="Liberation Serif" w:cs="Arial"/>
                          <w:kern w:val="2"/>
                          <w:szCs w:val="24"/>
                          <w:lang w:eastAsia="zh-CN" w:bidi="hi-IN"/>
                        </w:rPr>
                        <w:t>3</w:t>
                      </w:r>
                    </w:sdtContent>
                  </w:sdt>
                  <w:r>
                    <w:rPr>
                      <w:rFonts w:ascii="Liberation Serif" w:eastAsia="NSimSun" w:hAnsi="Liberation Serif" w:cs="Arial"/>
                      <w:kern w:val="2"/>
                      <w:szCs w:val="24"/>
                      <w:lang w:eastAsia="zh-CN" w:bidi="hi-IN"/>
                    </w:rPr>
                    <w:t xml:space="preserve">. Jeigu vykstant atrankai reikia rinktis iš kandidatų, kurių kvalifikacijos, tinkamumas užimti tam tikrą poziciją, kompetencijos ir profesinės veiklos rezultatai yra tokie pat, pirmenybė teikiama didelėje įmonėje,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nepakankamai atstovaujamos lyties kandidatui. Išimtys taikomos, jei, pavyzdžiui, didelei įmonei,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vykdant įvairovės politiką, atliekant objektyvų vertinimą, kuriuo atsižvelgiama į specifinę kitos lyties kandidato padėtį ir kuris grindžiamas nediskriminaciniais kriterijais, palankiau vertinamas kitos lyties kandidatas.</w:t>
                  </w:r>
                </w:p>
              </w:sdtContent>
            </w:sdt>
            <w:sdt>
              <w:sdtPr>
                <w:alias w:val="6-1 str. 4 d."/>
                <w:tag w:val="part_1a87dcc41f4c411abd98481340835429"/>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1a87dcc41f4c411abd98481340835429"/>
                      <w:lock w:val="sdtLocked"/>
                      <w:richText/>
                    </w:sdtPr>
                    <w:sdtContent>
                      <w:r>
                        <w:rPr>
                          <w:rFonts w:ascii="Liberation Serif" w:eastAsia="NSimSun" w:hAnsi="Liberation Serif" w:cs="Arial"/>
                          <w:kern w:val="2"/>
                          <w:szCs w:val="24"/>
                          <w:lang w:eastAsia="zh-CN" w:bidi="hi-IN"/>
                        </w:rPr>
                        <w:t>4</w:t>
                      </w:r>
                    </w:sdtContent>
                  </w:sdt>
                  <w:r>
                    <w:rPr>
                      <w:rFonts w:ascii="Liberation Serif" w:eastAsia="NSimSun" w:hAnsi="Liberation Serif" w:cs="Arial"/>
                      <w:kern w:val="2"/>
                      <w:szCs w:val="24"/>
                      <w:lang w:eastAsia="zh-CN" w:bidi="hi-IN"/>
                    </w:rPr>
                    <w:t xml:space="preserve">. Jeigu kandidatų į skiriamą ar renkamą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vadovo, valdybos nario, stebėtojų tarybos nario poziciją atranka vykdoma balsuojant akcininkams, kitiems juridinio asmens dalyviams, didelės įmonės,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xml:space="preserve"> užtikrina, kad balsavime dalyvaujantys asmenys būtų informuoti apie šiame straipsnyje nustatytus reikalavimus ir taikytiną atsakomybę, jeigu jų nesilaikoma.</w:t>
                  </w:r>
                </w:p>
              </w:sdtContent>
            </w:sdt>
            <w:sdt>
              <w:sdtPr>
                <w:alias w:val="6-1 str. 5 d."/>
                <w:tag w:val="part_cdebecde46a84508b7ea94c42b063f85"/>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cdebecde46a84508b7ea94c42b063f85"/>
                      <w:lock w:val="sdtLocked"/>
                      <w:richText/>
                    </w:sdtPr>
                    <w:sdtContent>
                      <w:r>
                        <w:rPr>
                          <w:rFonts w:ascii="Liberation Serif" w:eastAsia="NSimSun" w:hAnsi="Liberation Serif" w:cs="Arial"/>
                          <w:kern w:val="2"/>
                          <w:szCs w:val="24"/>
                          <w:lang w:eastAsia="zh-CN" w:bidi="hi-IN"/>
                        </w:rPr>
                        <w:t>5</w:t>
                      </w:r>
                    </w:sdtContent>
                  </w:sdt>
                  <w:r>
                    <w:rPr>
                      <w:rFonts w:ascii="Liberation Serif" w:eastAsia="NSimSun" w:hAnsi="Liberation Serif" w:cs="Arial"/>
                      <w:kern w:val="2"/>
                      <w:szCs w:val="24"/>
                      <w:lang w:eastAsia="zh-CN" w:bidi="hi-IN"/>
                    </w:rPr>
                    <w:t>. Didelės įmonės, kurių vertybiniais popieriais leista prekiauti reguliuojamoje rinkoje, Įmonių ir įmonių grupių atskaitomybės įstatymo nustatyta tvarka rengiamoje bendrovės valdymo ataskaitoje pateikia statistinę informaciją apie lyčių atstovavimą įmonės valdymo ir priežiūros organuose (atstovavimo procentus pagal lytį), nurodo priemones, kurių įmonė jau ėmėsi arba ketina imtis tam, kad jos valdymo ir priežiūros organuose nepakankamai atstovaujamos lyties asmenys užimtų ne mažiau kaip 33 proc. (bet ne daugiau kaip 49 proc.) įmonės vadovo, valdybos narių, stebėtojų tarybos narių pozicijų, ir priežastis, jeigu šios proporcijos nepavyksta pasiekti. </w:t>
                  </w:r>
                  <w:r>
                    <w:rPr>
                      <w:rFonts w:ascii="Liberation Serif" w:eastAsia="NSimSun" w:hAnsi="Liberation Serif" w:cs="Arial"/>
                      <w:strike/>
                      <w:kern w:val="2"/>
                      <w:szCs w:val="24"/>
                      <w:lang w:eastAsia="zh-CN" w:bidi="hi-IN"/>
                    </w:rPr>
                    <w:t>Kitos didelės įmonės, kitaip nei didelės įmonės, kurių vertybiniais popieriais leista prekiauti reguliuojamoje rinkoje, parengia lyčių lygybės ataskaitą pagal socialinės apsaugos ir darbo ministro patvirtintą formą, joje pateikia statistinę informaciją apie lyčių atstovavimą didelės įmonės valdymo ir priežiūros organuose (atstovavimo procentus pagal lytį), nurodo priemones, kurių įmonė jau ėmėsi arba ketina imtis tam, kad įmonės valdymo ir priežiūros organuose nepakankamai atstovaujamos lyties asmenys užimtų ne mažiau kaip 33 proc. (bet ne daugiau kaip 49 proc.) didelės įmonės vadovo, valdybos narių, stebėtojų tarybos narių pozicijų, ir priežastis, jeigu šios proporcijos nepavyksta pasiekti</w:t>
                  </w:r>
                  <w:r>
                    <w:rPr>
                      <w:rFonts w:ascii="Liberation Serif" w:eastAsia="NSimSun" w:hAnsi="Liberation Serif" w:cs="Arial"/>
                      <w:kern w:val="2"/>
                      <w:szCs w:val="24"/>
                      <w:lang w:eastAsia="zh-CN" w:bidi="hi-IN"/>
                    </w:rPr>
                    <w:t>.</w:t>
                  </w:r>
                </w:p>
                <w:p>
                  <w:pPr>
                    <w:jc w:val="both"/>
                    <w:rPr>
                      <w:szCs w:val="24"/>
                    </w:rPr>
                  </w:pPr>
                </w:p>
              </w:sdtContent>
            </w:sdt>
          </w:sdtContent>
        </w:sdt>
        <w:sdt>
          <w:sdtPr>
            <w:alias w:val="2 str."/>
            <w:tag w:val="part_3dafab93491d4dc38abdc31f2be5704a"/>
            <w:lock w:val="sdtLocked"/>
            <w:richText/>
          </w:sdtPr>
          <w:sdtContent>
            <w:p>
              <w:pPr>
                <w:jc w:val="both"/>
                <w:rPr>
                  <w:b/>
                  <w:bCs/>
                  <w:szCs w:val="24"/>
                </w:rPr>
              </w:pPr>
              <w:sdt>
                <w:sdtPr>
                  <w:alias w:val="Numeris"/>
                  <w:tag w:val="nr_3dafab93491d4dc38abdc31f2be5704a"/>
                  <w:lock w:val="sdtLocked"/>
                  <w:richText/>
                </w:sdtPr>
                <w:sdtContent>
                  <w:r>
                    <w:rPr>
                      <w:b/>
                      <w:bCs/>
                      <w:szCs w:val="24"/>
                    </w:rPr>
                    <w:t>2</w:t>
                  </w:r>
                </w:sdtContent>
              </w:sdt>
              <w:r>
                <w:rPr>
                  <w:b/>
                  <w:bCs/>
                  <w:szCs w:val="24"/>
                </w:rPr>
                <w:t xml:space="preserve"> straipsnis. </w:t>
              </w:r>
              <w:sdt>
                <w:sdtPr>
                  <w:alias w:val="Pavadinimas"/>
                  <w:tag w:val="title_3dafab93491d4dc38abdc31f2be5704a"/>
                  <w:lock w:val="sdtLocked"/>
                  <w:richText/>
                </w:sdtPr>
                <w:sdtContent>
                  <w:r>
                    <w:rPr>
                      <w:b/>
                      <w:bCs/>
                      <w:szCs w:val="24"/>
                    </w:rPr>
                    <w:t>Pakeisti 11</w:t>
                  </w:r>
                  <w:r>
                    <w:rPr>
                      <w:b/>
                      <w:bCs/>
                      <w:szCs w:val="24"/>
                      <w:vertAlign w:val="superscript"/>
                    </w:rPr>
                    <w:t xml:space="preserve">1 </w:t>
                  </w:r>
                  <w:r>
                    <w:rPr>
                      <w:b/>
                      <w:bCs/>
                      <w:szCs w:val="24"/>
                    </w:rPr>
                    <w:t>str. ir jį išdėstyti taip:</w:t>
                  </w:r>
                </w:sdtContent>
              </w:sdt>
            </w:p>
          </w:sdtContent>
        </w:sdt>
        <w:sdt>
          <w:sdtPr>
            <w:alias w:val="11-1 str."/>
            <w:tag w:val="part_b609d3a63ba44d31b04d8c19f1b6181c"/>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b609d3a63ba44d31b04d8c19f1b6181c"/>
                  <w:lock w:val="sdtLocked"/>
                  <w:richText/>
                </w:sdtPr>
                <w:sdtContent>
                  <w:r>
                    <w:rPr>
                      <w:rFonts w:ascii="Liberation Serif" w:eastAsia="NSimSun" w:hAnsi="Liberation Serif" w:cs="Arial"/>
                      <w:bCs/>
                      <w:kern w:val="2"/>
                      <w:szCs w:val="24"/>
                      <w:lang w:eastAsia="zh-CN" w:bidi="hi-IN"/>
                    </w:rPr>
                    <w:t>11</w:t>
                  </w:r>
                  <w:r>
                    <w:rPr>
                      <w:rFonts w:ascii="Liberation Serif" w:eastAsia="NSimSun" w:hAnsi="Liberation Serif" w:cs="Arial"/>
                      <w:bCs/>
                      <w:kern w:val="2"/>
                      <w:szCs w:val="24"/>
                      <w:vertAlign w:val="superscript"/>
                      <w:lang w:eastAsia="zh-CN" w:bidi="hi-IN"/>
                    </w:rPr>
                    <w:t>1</w:t>
                  </w:r>
                </w:sdtContent>
              </w:sdt>
              <w:r>
                <w:rPr>
                  <w:rFonts w:ascii="Liberation Serif" w:eastAsia="NSimSun" w:hAnsi="Liberation Serif" w:cs="Arial"/>
                  <w:bCs/>
                  <w:kern w:val="2"/>
                  <w:szCs w:val="24"/>
                  <w:vertAlign w:val="superscript"/>
                  <w:lang w:eastAsia="zh-CN" w:bidi="hi-IN"/>
                </w:rPr>
                <w:t> </w:t>
              </w:r>
              <w:r>
                <w:rPr>
                  <w:rFonts w:ascii="Liberation Serif" w:eastAsia="NSimSun" w:hAnsi="Liberation Serif" w:cs="Arial"/>
                  <w:bCs/>
                  <w:kern w:val="2"/>
                  <w:szCs w:val="24"/>
                  <w:lang w:eastAsia="zh-CN" w:bidi="hi-IN"/>
                </w:rPr>
                <w:t>straipsnis. Moterų ir vyrų lygias teises pažeidžiantys veiksmai didelių įmonių, kurių vertybiniais popieriais leista prekiauti reguliuojamoje rinkoje, valdymo ir priežiūros organuose</w:t>
              </w:r>
            </w:p>
            <w:sdt>
              <w:sdtPr>
                <w:alias w:val="11-1 str. 1 d."/>
                <w:tag w:val="part_250e356423c44360b587196aca2aaa4f"/>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Didelių įmonių, </w:t>
                  </w:r>
                  <w:r>
                    <w:rPr>
                      <w:rFonts w:ascii="Liberation Serif" w:eastAsia="NSimSun" w:hAnsi="Liberation Serif" w:cs="Arial"/>
                      <w:b/>
                      <w:bCs/>
                      <w:kern w:val="2"/>
                      <w:szCs w:val="24"/>
                      <w:lang w:eastAsia="zh-CN" w:bidi="hi-IN"/>
                    </w:rPr>
                    <w:t>kurių vertybiniais popieriais leista prekiauti reguliuojamoje rinkoje</w:t>
                  </w:r>
                  <w:r>
                    <w:rPr>
                      <w:rFonts w:ascii="Liberation Serif" w:eastAsia="NSimSun" w:hAnsi="Liberation Serif" w:cs="Arial"/>
                      <w:kern w:val="2"/>
                      <w:szCs w:val="24"/>
                      <w:lang w:eastAsia="zh-CN" w:bidi="hi-IN"/>
                    </w:rPr>
                    <w:t>, veiksmai pripažįstami pažeidžiančiais moterų ir vyrų lygias teises, jeigu šios įmonės dėl asmens lyties:</w:t>
                  </w:r>
                </w:p>
                <w:sdt>
                  <w:sdtPr>
                    <w:alias w:val="11-1 str. 1 d. 1 p."/>
                    <w:tag w:val="part_85bbe8b82097466e89a6ed8a6931f0d7"/>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85bbe8b82097466e89a6ed8a6931f0d7"/>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vykdydamos atranką į didelės įmonės,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vadovo, valdybos narių, stebėtojų tarybos narių pozicijas nenustato reikalavimų ir kriterijų, taikomų kandidatams, siekiantiems užimti tam tikrą poziciją, arba nesivadovauja nustatytais reikalavimais ir kriterijais;</w:t>
                      </w:r>
                    </w:p>
                  </w:sdtContent>
                </w:sdt>
                <w:sdt>
                  <w:sdtPr>
                    <w:alias w:val="11-1 str. 1 d. 2 p."/>
                    <w:tag w:val="part_2799f95c5cd345fca4d7228b7d46c7ab"/>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2799f95c5cd345fca4d7228b7d46c7ab"/>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nesiima priemonių, kad didelės įmonės, </w:t>
                      </w:r>
                      <w:r>
                        <w:rPr>
                          <w:rFonts w:ascii="Liberation Serif" w:eastAsia="NSimSun" w:hAnsi="Liberation Serif" w:cs="Arial"/>
                          <w:b/>
                          <w:bCs/>
                          <w:kern w:val="2"/>
                          <w:szCs w:val="24"/>
                          <w:lang w:eastAsia="zh-CN" w:bidi="hi-IN"/>
                        </w:rPr>
                        <w:t>kurios vertybiniais popieriais leista prekiauti reguliuojamoje rinkoje,</w:t>
                      </w:r>
                      <w:r>
                        <w:rPr>
                          <w:rFonts w:ascii="Liberation Serif" w:eastAsia="NSimSun" w:hAnsi="Liberation Serif" w:cs="Arial"/>
                          <w:kern w:val="2"/>
                          <w:szCs w:val="24"/>
                          <w:lang w:eastAsia="zh-CN" w:bidi="hi-IN"/>
                        </w:rPr>
                        <w:t xml:space="preserve"> valdymo ir priežiūros organuose nepakankamai atstovaujamos lyties asmenys užimtų ne mažiau kaip 33 proc. (bet ne daugiau kaip 49 proc.) įmonės vadovo, valdybos narių, stebėtojų tarybos narių pozicijų.</w:t>
                      </w:r>
                    </w:p>
                    <w:p>
                      <w:pPr>
                        <w:jc w:val="both"/>
                        <w:rPr>
                          <w:szCs w:val="24"/>
                        </w:rPr>
                      </w:pPr>
                    </w:p>
                  </w:sdtContent>
                </w:sdt>
              </w:sdtContent>
            </w:sdt>
          </w:sdtContent>
        </w:sdt>
        <w:sdt>
          <w:sdtPr>
            <w:alias w:val="3 str."/>
            <w:tag w:val="part_f23bc53ac4e04e0b8b63eef2cacc2119"/>
            <w:lock w:val="sdtLocked"/>
            <w:richText/>
          </w:sdtPr>
          <w:sdtContent>
            <w:p>
              <w:pPr>
                <w:jc w:val="both"/>
                <w:rPr>
                  <w:b/>
                  <w:bCs/>
                  <w:szCs w:val="24"/>
                </w:rPr>
              </w:pPr>
              <w:sdt>
                <w:sdtPr>
                  <w:alias w:val="Numeris"/>
                  <w:tag w:val="nr_f23bc53ac4e04e0b8b63eef2cacc2119"/>
                  <w:lock w:val="sdtLocked"/>
                  <w:richText/>
                </w:sdtPr>
                <w:sdtContent>
                  <w:r>
                    <w:rPr>
                      <w:b/>
                      <w:bCs/>
                      <w:szCs w:val="24"/>
                    </w:rPr>
                    <w:t>3</w:t>
                  </w:r>
                </w:sdtContent>
              </w:sdt>
              <w:r>
                <w:rPr>
                  <w:b/>
                  <w:bCs/>
                  <w:szCs w:val="24"/>
                </w:rPr>
                <w:t xml:space="preserve"> straipsnis. </w:t>
              </w:r>
              <w:sdt>
                <w:sdtPr>
                  <w:alias w:val="Pavadinimas"/>
                  <w:tag w:val="title_f23bc53ac4e04e0b8b63eef2cacc2119"/>
                  <w:lock w:val="sdtLocked"/>
                  <w:richText/>
                </w:sdtPr>
                <w:sdtContent>
                  <w:r>
                    <w:rPr>
                      <w:b/>
                      <w:bCs/>
                      <w:szCs w:val="24"/>
                    </w:rPr>
                    <w:t>Pakeisti 20 str. ir jį išdėstyti taip:</w:t>
                  </w:r>
                </w:sdtContent>
              </w:sdt>
            </w:p>
          </w:sdtContent>
        </w:sdt>
        <w:sdt>
          <w:sdtPr>
            <w:alias w:val="20 str."/>
            <w:tag w:val="part_18515b5d552f4b22b18f977dfc85405b"/>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18515b5d552f4b22b18f977dfc85405b"/>
                  <w:lock w:val="sdtLocked"/>
                  <w:richText/>
                </w:sdtPr>
                <w:sdtContent>
                  <w:r>
                    <w:rPr>
                      <w:rFonts w:ascii="Liberation Serif" w:eastAsia="NSimSun" w:hAnsi="Liberation Serif" w:cs="Arial"/>
                      <w:bCs/>
                      <w:kern w:val="2"/>
                      <w:szCs w:val="24"/>
                      <w:lang w:eastAsia="zh-CN" w:bidi="hi-IN"/>
                    </w:rPr>
                    <w:t>20</w:t>
                  </w:r>
                </w:sdtContent>
              </w:sdt>
              <w:r>
                <w:rPr>
                  <w:rFonts w:ascii="Liberation Serif" w:eastAsia="NSimSun" w:hAnsi="Liberation Serif" w:cs="Arial"/>
                  <w:bCs/>
                  <w:kern w:val="2"/>
                  <w:szCs w:val="24"/>
                  <w:lang w:eastAsia="zh-CN" w:bidi="hi-IN"/>
                </w:rPr>
                <w:t> straipsnis. Pranešimo apie priemones, skirtas moterų ir vyrų lygioms galimybėms didelių įmonių, kurių vertybiniais popieriais leista prekiauti reguliuojamoje rinkoje, valdymo ir priežiūros organuose užtikrinti, rengimas Europos Komisijai ir informacijos viešinimas</w:t>
              </w:r>
            </w:p>
            <w:sdt>
              <w:sdtPr>
                <w:alias w:val="20 str. 1 d."/>
                <w:tag w:val="part_902f6660ff63454980a799388fbce0f8"/>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strike/>
                      <w:kern w:val="2"/>
                      <w:szCs w:val="24"/>
                      <w:lang w:eastAsia="zh-CN" w:bidi="hi-IN"/>
                    </w:rPr>
                  </w:pPr>
                  <w:sdt>
                    <w:sdtPr>
                      <w:alias w:val="Numeris"/>
                      <w:tag w:val="nr_902f6660ff63454980a799388fbce0f8"/>
                      <w:lock w:val="sdtLocked"/>
                      <w:richText/>
                    </w:sdtPr>
                    <w:sdtContent>
                      <w:r>
                        <w:rPr>
                          <w:rFonts w:ascii="Liberation Serif" w:eastAsia="NSimSun" w:hAnsi="Liberation Serif" w:cs="Arial"/>
                          <w:kern w:val="2"/>
                          <w:szCs w:val="24"/>
                          <w:lang w:eastAsia="zh-CN" w:bidi="hi-IN"/>
                        </w:rPr>
                        <w:t>1</w:t>
                      </w:r>
                    </w:sdtContent>
                  </w:sdt>
                  <w:r>
                    <w:rPr>
                      <w:rFonts w:ascii="Liberation Serif" w:eastAsia="NSimSun" w:hAnsi="Liberation Serif" w:cs="Arial"/>
                      <w:kern w:val="2"/>
                      <w:szCs w:val="24"/>
                      <w:lang w:eastAsia="zh-CN" w:bidi="hi-IN"/>
                    </w:rPr>
                    <w:t xml:space="preserve">. Lietuvos Respublikos socialinės apsaugos ir darbo ministerija ne vėliau kaip iki 2025 m. gruodžio 29 d., o vėliau – kas 2 metus Europos Komisijai raštu pateikia informaciją apie didelių įmonių, </w:t>
                  </w:r>
                  <w:r>
                    <w:rPr>
                      <w:rFonts w:ascii="Liberation Serif" w:eastAsia="NSimSun" w:hAnsi="Liberation Serif" w:cs="Arial"/>
                      <w:b/>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 xml:space="preserve"> taikytas priemones, kurių imtasi, kad didelių įmonių </w:t>
                  </w:r>
                  <w:r>
                    <w:rPr>
                      <w:rFonts w:ascii="Liberation Serif" w:eastAsia="NSimSun" w:hAnsi="Liberation Serif" w:cs="Arial"/>
                      <w:b/>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 xml:space="preserve">valdymo ir priežiūros organuose nepakankamai atstovaujamos lyties asmenys užimtų ne mažiau kaip 33 proc. (bet ne daugiau kaip 49 proc.) įmonės vadovo, valdybos narių, stebėtojų tarybos narių pozicijų. Lygių galimybių kontrolieriaus tarnyba šią informaciją Socialinės apsaugos ir darbo ministerijai raštu pateikia ne vėliau kaip iki 2025 m. gruodžio 15 d., vėliau – kas 2 metus. </w:t>
                  </w:r>
                  <w:r>
                    <w:rPr>
                      <w:rFonts w:ascii="Liberation Serif" w:eastAsia="NSimSun" w:hAnsi="Liberation Serif" w:cs="Arial"/>
                      <w:strike/>
                      <w:kern w:val="2"/>
                      <w:szCs w:val="24"/>
                      <w:lang w:eastAsia="zh-CN" w:bidi="hi-IN"/>
                    </w:rPr>
                    <w:t>Kitos didelės įmonės, kitaip nei didelės įmonės, kurių vertybiniais popieriais leista prekiauti reguliuojamoje rinkoje, lyčių lygybės ataskaitą, parengtą pagal socialinės apsaugos ir darbo ministro patvirtintą formą, Lygių galimybių kontrolieriaus tarnybai už praėjusius kalendorinius metus pateikia ne vėliau kaip iki birželio 1 d.</w:t>
                  </w:r>
                </w:p>
              </w:sdtContent>
            </w:sdt>
            <w:sdt>
              <w:sdtPr>
                <w:alias w:val="20 str. 2 d."/>
                <w:tag w:val="part_a9775e605570468c9205896e8b22a99c"/>
                <w:lock w:val="sdtLocked"/>
                <w:richText/>
              </w:sdtPr>
              <w:sdtContent>
                <w:p>
                  <w:pPr>
                    <w:widowControl w:val="0"/>
                    <w:tabs>
                      <w:tab w:val="left" w:pos="1080"/>
                    </w:tabs>
                    <w:suppressAutoHyphens/>
                    <w:spacing w:line="276" w:lineRule="auto"/>
                    <w:ind w:firstLine="709"/>
                    <w:jc w:val="both"/>
                    <w:rPr>
                      <w:rFonts w:ascii="Liberation Serif" w:eastAsia="NSimSun" w:hAnsi="Liberation Serif" w:cs="Arial"/>
                      <w:kern w:val="2"/>
                      <w:szCs w:val="24"/>
                      <w:lang w:eastAsia="zh-CN" w:bidi="hi-IN"/>
                    </w:rPr>
                  </w:pPr>
                  <w:sdt>
                    <w:sdtPr>
                      <w:alias w:val="Numeris"/>
                      <w:tag w:val="nr_a9775e605570468c9205896e8b22a99c"/>
                      <w:lock w:val="sdtLocked"/>
                      <w:richText/>
                    </w:sdtPr>
                    <w:sdtContent>
                      <w:r>
                        <w:rPr>
                          <w:rFonts w:ascii="Liberation Serif" w:eastAsia="NSimSun" w:hAnsi="Liberation Serif" w:cs="Arial"/>
                          <w:kern w:val="2"/>
                          <w:szCs w:val="24"/>
                          <w:lang w:eastAsia="zh-CN" w:bidi="hi-IN"/>
                        </w:rPr>
                        <w:t>2</w:t>
                      </w:r>
                    </w:sdtContent>
                  </w:sdt>
                  <w:r>
                    <w:rPr>
                      <w:rFonts w:ascii="Liberation Serif" w:eastAsia="NSimSun" w:hAnsi="Liberation Serif" w:cs="Arial"/>
                      <w:kern w:val="2"/>
                      <w:szCs w:val="24"/>
                      <w:lang w:eastAsia="zh-CN" w:bidi="hi-IN"/>
                    </w:rPr>
                    <w:t xml:space="preserve">. Lygių galimybių kontrolieriaus tarnyba savo interneto svetainėje viešai skelbia didelių įmonių, </w:t>
                  </w:r>
                  <w:r>
                    <w:rPr>
                      <w:rFonts w:ascii="Liberation Serif" w:eastAsia="NSimSun" w:hAnsi="Liberation Serif" w:cs="Arial"/>
                      <w:b/>
                      <w:bCs/>
                      <w:kern w:val="2"/>
                      <w:szCs w:val="24"/>
                      <w:lang w:eastAsia="zh-CN" w:bidi="hi-IN"/>
                    </w:rPr>
                    <w:t xml:space="preserve">kurių vertybiniais popieriais leista prekiauti reguliuojamoje rinkoje, </w:t>
                  </w:r>
                  <w:r>
                    <w:rPr>
                      <w:rFonts w:ascii="Liberation Serif" w:eastAsia="NSimSun" w:hAnsi="Liberation Serif" w:cs="Arial"/>
                      <w:kern w:val="2"/>
                      <w:szCs w:val="24"/>
                      <w:lang w:eastAsia="zh-CN" w:bidi="hi-IN"/>
                    </w:rPr>
                    <w:t>kurių valdymo ir priežiūros organuose nepakankamai atstovaujamos lyties asmenys užima ne mažiau kaip 33 proc. (bet ne daugiau kaip 49 proc.) įmonės vadovo, valdybos narių, stebėtojų tarybos narių pozicijų, sąrašą, nurodydama juridinio asmens pavadinimą, ir reguliariai jį atnaujina.</w:t>
                  </w:r>
                </w:p>
                <w:p>
                  <w:pPr>
                    <w:jc w:val="both"/>
                    <w:rPr>
                      <w:szCs w:val="24"/>
                    </w:rPr>
                  </w:pPr>
                </w:p>
                <w:p>
                  <w:pPr>
                    <w:jc w:val="both"/>
                    <w:rPr>
                      <w:szCs w:val="24"/>
                    </w:rPr>
                  </w:pPr>
                </w:p>
                <w:p>
                  <w:pPr>
                    <w:jc w:val="both"/>
                    <w:rPr>
                      <w:szCs w:val="24"/>
                    </w:rPr>
                  </w:pPr>
                </w:p>
              </w:sdtContent>
            </w:sdt>
          </w:sdtContent>
        </w:sdt>
        <w:sdt>
          <w:sdtPr>
            <w:alias w:val="signatura"/>
            <w:tag w:val="part_234a4feaf4884707b8788e67ee73cbb1"/>
            <w:lock w:val="sdtLocked"/>
            <w:richText/>
          </w:sdtPr>
          <w:sdtContent>
            <w:p>
              <w:pPr>
                <w:jc w:val="both"/>
                <w:rPr>
                  <w:szCs w:val="24"/>
                </w:rPr>
              </w:pPr>
              <w:r>
                <w:rPr>
                  <w:i/>
                  <w:iCs/>
                  <w:szCs w:val="24"/>
                </w:rPr>
                <w:t>Skelbiu šį Lietuvos Respublikos Seimo priimtą įstatymą.</w:t>
              </w:r>
            </w:p>
            <w:p>
              <w:pPr>
                <w:ind w:firstLine="62"/>
                <w:jc w:val="both"/>
                <w:rPr>
                  <w:szCs w:val="24"/>
                </w:rPr>
              </w:pPr>
            </w:p>
            <w:p>
              <w:pPr>
                <w:ind w:firstLine="62"/>
                <w:jc w:val="both"/>
                <w:rPr>
                  <w:szCs w:val="24"/>
                </w:rPr>
              </w:pPr>
            </w:p>
            <w:p>
              <w:pPr>
                <w:ind w:firstLine="62"/>
                <w:jc w:val="both"/>
                <w:rPr>
                  <w:szCs w:val="24"/>
                </w:rPr>
              </w:pPr>
            </w:p>
            <w:p>
              <w:pPr>
                <w:jc w:val="both"/>
                <w:rPr>
                  <w:szCs w:val="24"/>
                  <w:lang w:val="en-GB"/>
                </w:rPr>
              </w:pPr>
              <w:r>
                <w:rPr>
                  <w:szCs w:val="24"/>
                  <w:lang w:val="en-GB"/>
                </w:rPr>
                <w:t>Respublikos Prezidentas</w:t>
              </w:r>
              <w:r>
                <w:rPr>
                  <w:szCs w:val="24"/>
                </w:rPr>
                <w:t>                                                                                          </w:t>
              </w:r>
              <w:r>
                <w:rPr>
                  <w:szCs w:val="24"/>
                  <w:lang w:val="en-GB"/>
                </w:rPr>
                <w:t>Gitanas Nausėda</w:t>
              </w:r>
            </w:p>
            <w:p>
              <w:pPr>
                <w:jc w:val="both"/>
                <w:rPr>
                  <w:szCs w:val="24"/>
                  <w:lang w:val="en-GB"/>
                </w:rPr>
              </w:pPr>
            </w:p>
            <w:p>
              <w:pPr>
                <w:jc w:val="both"/>
                <w:rPr>
                  <w:szCs w:val="24"/>
                  <w:lang w:val="en-GB"/>
                </w:rPr>
              </w:pPr>
            </w:p>
            <w:p>
              <w:pPr>
                <w:jc w:val="both"/>
                <w:rPr>
                  <w:szCs w:val="24"/>
                  <w:lang w:val="en-GB"/>
                </w:rPr>
              </w:pPr>
            </w:p>
            <w:p>
              <w:pPr>
                <w:jc w:val="both"/>
                <w:rPr>
                  <w:szCs w:val="24"/>
                  <w:lang w:val="en-GB"/>
                </w:rPr>
              </w:pPr>
              <w:r>
                <w:rPr>
                  <w:szCs w:val="24"/>
                  <w:lang w:val="en-GB"/>
                </w:rPr>
                <w:t>Teikia</w:t>
              </w:r>
            </w:p>
            <w:p>
              <w:pPr>
                <w:jc w:val="both"/>
                <w:rPr>
                  <w:szCs w:val="24"/>
                  <w:lang w:val="en-GB"/>
                </w:rPr>
              </w:pPr>
            </w:p>
            <w:p>
              <w:pPr>
                <w:jc w:val="both"/>
                <w:rPr>
                  <w:szCs w:val="24"/>
                  <w:lang w:val="en-GB"/>
                </w:rPr>
              </w:pPr>
              <w:r>
                <w:rPr>
                  <w:szCs w:val="24"/>
                  <w:lang w:val="en-GB"/>
                </w:rPr>
                <w:t>Seimo narys</w:t>
              </w:r>
            </w:p>
            <w:p>
              <w:pPr>
                <w:jc w:val="both"/>
                <w:rPr>
                  <w:szCs w:val="24"/>
                  <w:lang w:val="en-GB"/>
                </w:rPr>
              </w:pPr>
            </w:p>
            <w:p>
              <w:pPr>
                <w:jc w:val="both"/>
                <w:rPr>
                  <w:szCs w:val="24"/>
                  <w:lang w:val="en-GB"/>
                </w:rPr>
              </w:pPr>
              <w:r>
                <w:rPr>
                  <w:szCs w:val="24"/>
                  <w:lang w:val="en-GB"/>
                </w:rPr>
                <w:t>Vytautas Sinica</w:t>
              </w:r>
            </w:p>
          </w:sdtContent>
        </w:sdt>
      </w:sdtContent>
    </w:sdt>
    <w:sectPr>
      <w:pgSz w:w="11906" w:h="16838"/>
      <w:pgMar w:top="1701" w:right="567" w:bottom="1134" w:left="1701"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Aptos Display">
    <w:altName w:val="Arial"/>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A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40FA08-13CF-4940-8FCF-86CE3901D2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8b2d7660a34b9ba6bf71ac0984a5a9" PartId="fdac73653ab845ba877b9f1c1112bbe7">
    <Part Type="punktas" Nr="1" Abbr="1 p." DocPartId="8845759426014cecb5c0872ed100bdec" PartId="37801173b1fa467eb3b1f0b9151c5f77"/>
    <Part Type="straipsnis" Nr="6-1" Abbr="6-1 str." DocPartId="31e7408fd77e43e4ac480cb8b66dd8a3" PartId="326b3d8c209c49beaa968d2511c518d2">
      <Part Type="strDalis" Nr="1" Abbr="6-1 str. 1 d." DocPartId="b4b0ce26c44e4f49b46ebba5426601ae" PartId="f9da3395a5d84be2b02c5d8d5cae21b4"/>
      <Part Type="strDalis" Nr="2" Abbr="6-1 str. 2 d." DocPartId="47611507e8ac45d08ffacf363ebd8dfd" PartId="8803fdcb905c432ebfe6c0b2717d7353"/>
      <Part Type="strDalis" Nr="3" Abbr="6-1 str. 3 d." DocPartId="68b6f23d5e4a461a833448d3f4a7d9c7" PartId="7b0b15532cc14614abc99f805a2fb401"/>
      <Part Type="strDalis" Nr="4" Abbr="6-1 str. 4 d." DocPartId="e4b0722a3c4545a1ba12c90f0ebb39d5" PartId="1a87dcc41f4c411abd98481340835429"/>
      <Part Type="strDalis" Nr="5" Abbr="6-1 str. 5 d." DocPartId="167848970ee74d3dac02c41458069e56" PartId="cdebecde46a84508b7ea94c42b063f85"/>
    </Part>
    <Part Type="straipsnis" Nr="2" Abbr="2 str." Title="Pakeisti 11¹ str. ir jį išdėstyti taip:" Notes="Numeris ne iš eilės. Trūksta dalių? [DocDalys]" DocPartId="fd28e5b4e14248b8a5f92ff7e3ebf205" PartId="3dafab93491d4dc38abdc31f2be5704a"/>
    <Part Type="straipsnis" Nr="11-1" Abbr="11-1 str." Notes="Numeris ne iš eilės. Trūksta dalių? [DocDalys]" DocPartId="1ba1e7673c7b48e6bf82a9936d7e6af5" PartId="b609d3a63ba44d31b04d8c19f1b6181c">
      <Part Type="strDalis" Nr="1" Abbr="11-1 str. 1 d." DocPartId="b629e4b723c54dcabd5f45f331efc601" PartId="250e356423c44360b587196aca2aaa4f">
        <Part Type="strPunktas" Nr="1" Abbr="11-1 str. 1 d. 1 p." DocPartId="a609e45d54ed4d13af9d68bebc5e96e0" PartId="85bbe8b82097466e89a6ed8a6931f0d7"/>
        <Part Type="strPunktas" Nr="2" Abbr="11-1 str. 1 d. 2 p." DocPartId="e6a19a729e904baa9e8529a432f995ab" PartId="2799f95c5cd345fca4d7228b7d46c7ab"/>
      </Part>
    </Part>
    <Part Type="straipsnis" Nr="3" Abbr="3 str." Title="Pakeisti 20 str. ir jį išdėstyti taip:" Notes="Numeris ne iš eilės. Trūksta dalių? [DocDalys]" DocPartId="c48359a00a1144c5ba36a1da974917ff" PartId="f23bc53ac4e04e0b8b63eef2cacc2119"/>
    <Part Type="straipsnis" Nr="20" Abbr="20 str." Notes="Numeris ne iš eilės. Trūksta dalių? [DocDalys]" DocPartId="9b6652d10c9e4317af959404db48590e" PartId="18515b5d552f4b22b18f977dfc85405b">
      <Part Type="strDalis" Nr="1" Abbr="20 str. 1 d." DocPartId="683cb02e5cbc459ab4f3f3915408bd9a" PartId="902f6660ff63454980a799388fbce0f8"/>
      <Part Type="strDalis" Nr="2" Abbr="20 str. 2 d." DocPartId="03e35d5498634083b2bb33721b5c94be" PartId="a9775e605570468c9205896e8b22a99c"/>
    </Part>
    <Part Type="signatura" DocPartId="e6b7c91718244847bcb64cf879f4c09b" PartId="234a4feaf4884707b8788e67ee73cbb1"/>
  </Part>
</Parts>
</file>

<file path=customXml/itemProps1.xml><?xml version="1.0" encoding="utf-8"?>
<ds:datastoreItem xmlns:ds="http://schemas.openxmlformats.org/officeDocument/2006/customXml" ds:itemID="{FF7E4104-2A5B-4035-8E09-2E1F01FD22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922</Words>
  <Characters>6507</Characters>
  <Application>Microsoft Office Word</Application>
  <DocSecurity>4</DocSecurity>
  <Lines>110</Lines>
  <Paragraphs>33</Paragraphs>
  <ScaleCrop>false</ScaleCrop>
  <HeadingPairs>
    <vt:vector size="2" baseType="variant">
      <vt:variant>
        <vt:lpstr>Pavadinimas</vt:lpstr>
      </vt:variant>
      <vt:variant>
        <vt:i4>1</vt:i4>
      </vt:variant>
    </vt:vector>
  </HeadingPairs>
  <TitlesOfParts>
    <vt:vector size="1" baseType="lpstr">
      <vt:lpstr/>
    </vt:vector>
  </TitlesOfParts>
  <Manager/>
  <Company/>
  <LinksUpToDate>false</LinksUpToDate>
  <CharactersWithSpaces>7396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2025-02-18T10:05:00Z</dcterms:created>
  <lastModifiedBy>adlibuser</lastModifiedBy>
  <dcterms:modified xsi:type="dcterms:W3CDTF">2025-02-18T10:05:00Z</dcterms:modified>
  <revision>2</revision>
</coreProperties>
</file>