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5f6cd7d3534997b4fa85bedf7e8f20"/>
        <w:lock w:val="sdtLocked"/>
        <w:richText/>
      </w:sdtPr>
      <w:sdtContent>
        <w:p w14:paraId="577B69B3" w14:textId="77777777">
          <w:pPr>
            <w:suppressAutoHyphens/>
            <w:jc w:val="center"/>
            <w:rPr>
              <w:b/>
              <w:szCs w:val="22"/>
              <w:lang w:eastAsia="lt-LT"/>
            </w:rPr>
          </w:pPr>
          <w:r>
            <w:rPr>
              <w:b/>
              <w:szCs w:val="22"/>
              <w:lang w:eastAsia="lt-LT"/>
            </w:rPr>
            <w:t>ŠIAULIŲ MIESTO SAVIVALDYBĖS ADMINISTRACIJOS</w:t>
          </w:r>
        </w:p>
        <w:sdt>
          <w:sdtPr>
            <w:alias w:val="skyrius"/>
            <w:tag w:val="part_3b9ffa16360049c0a60eee9885d59097"/>
            <w:lock w:val="sdtLocked"/>
            <w:richText/>
          </w:sdtPr>
          <w:sdtContent>
            <w:p w14:paraId="3492E400" w14:textId="77777777">
              <w:pPr>
                <w:suppressAutoHyphens/>
                <w:jc w:val="center"/>
                <w:rPr>
                  <w:b/>
                  <w:color w:val="000000"/>
                  <w:szCs w:val="22"/>
                  <w:lang w:eastAsia="lt-LT"/>
                </w:rPr>
              </w:pPr>
              <w:r>
                <w:rPr>
                  <w:b/>
                  <w:color w:val="000000"/>
                  <w:szCs w:val="22"/>
                  <w:lang w:eastAsia="lt-LT"/>
                </w:rPr>
                <w:t>TURTO VALDYMO SKYRIUS</w:t>
              </w:r>
            </w:p>
            <w:p w14:paraId="0241A407" w14:textId="77777777">
              <w:pPr>
                <w:tabs>
                  <w:tab w:val="left" w:pos="2612"/>
                </w:tabs>
                <w:suppressAutoHyphens/>
                <w:jc w:val="center"/>
                <w:rPr>
                  <w:szCs w:val="22"/>
                  <w:lang w:eastAsia="lt-LT"/>
                </w:rPr>
              </w:pPr>
            </w:p>
            <w:p w14:paraId="36635988" w14:textId="7FED2D3A">
              <w:pPr>
                <w:jc w:val="center"/>
                <w:rPr>
                  <w:b/>
                  <w:bCs/>
                  <w:szCs w:val="24"/>
                  <w:lang w:eastAsia="lt-LT"/>
                </w:rPr>
              </w:pPr>
              <w:sdt>
                <w:sdtPr>
                  <w:alias w:val="Pavadinimas"/>
                  <w:tag w:val="title_3b9ffa16360049c0a60eee9885d59097"/>
                  <w:lock w:val="sdtLocked"/>
                  <w:richText/>
                </w:sdtPr>
                <w:sdtContent>
                  <w:r>
                    <w:rPr>
                      <w:b/>
                      <w:szCs w:val="24"/>
                      <w:lang w:eastAsia="lt-LT"/>
                    </w:rPr>
                    <w:t>SPRENDIMO „</w:t>
                  </w:r>
                  <w:r>
                    <w:rPr>
                      <w:b/>
                      <w:bCs/>
                      <w:szCs w:val="24"/>
                      <w:lang w:eastAsia="lt-LT"/>
                    </w:rPr>
                    <w:t>DĖL SAVIVALDYBĖS TURTO PRIPAŽINIMO NETINKAMU (NEGALIMU) NAUDOTI IR JO NURAŠYMO</w:t>
                  </w:r>
                  <w:r>
                    <w:rPr>
                      <w:b/>
                      <w:szCs w:val="24"/>
                      <w:lang w:eastAsia="lt-LT"/>
                    </w:rPr>
                    <w:t>“ PROJEKTO</w:t>
                  </w:r>
                </w:sdtContent>
              </w:sdt>
            </w:p>
            <w:p w14:paraId="018F5AB3" w14:textId="77777777">
              <w:pPr>
                <w:jc w:val="center"/>
                <w:rPr>
                  <w:b/>
                  <w:bCs/>
                  <w:szCs w:val="24"/>
                  <w:lang w:eastAsia="lt-LT"/>
                </w:rPr>
              </w:pPr>
            </w:p>
            <w:sdt>
              <w:sdtPr>
                <w:alias w:val="poskyris"/>
                <w:tag w:val="part_b143fb82d86f434198d5f0b73dc3365d"/>
                <w:lock w:val="sdtLocked"/>
                <w:richText/>
              </w:sdtPr>
              <w:sdtContent>
                <w:p w14:paraId="5D6DA53D" w14:textId="77777777">
                  <w:pPr>
                    <w:tabs>
                      <w:tab w:val="left" w:pos="2504"/>
                    </w:tabs>
                    <w:suppressAutoHyphens/>
                    <w:jc w:val="center"/>
                    <w:rPr>
                      <w:b/>
                      <w:szCs w:val="24"/>
                      <w:lang w:eastAsia="lt-LT"/>
                    </w:rPr>
                  </w:pPr>
                  <w:sdt>
                    <w:sdtPr>
                      <w:alias w:val="Pavadinimas"/>
                      <w:tag w:val="title_b143fb82d86f434198d5f0b73dc3365d"/>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61109882">
                  <w:pPr>
                    <w:suppressAutoHyphens/>
                    <w:jc w:val="center"/>
                    <w:rPr>
                      <w:szCs w:val="24"/>
                      <w:lang w:eastAsia="lt-LT"/>
                    </w:rPr>
                  </w:pPr>
                  <w:r>
                    <w:rPr>
                      <w:szCs w:val="24"/>
                      <w:lang w:eastAsia="lt-LT"/>
                    </w:rPr>
                    <w:t>2024-11-12</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35492022048e48b9a51e69e544da962a"/>
                <w:lock w:val="sdtLocked"/>
                <w:richText/>
              </w:sdtPr>
              <w:sdtContent>
                <w:p w14:paraId="392529E9" w14:textId="77777777">
                  <w:pPr>
                    <w:suppressAutoHyphens/>
                    <w:ind w:firstLine="720"/>
                    <w:rPr>
                      <w:b/>
                      <w:szCs w:val="24"/>
                      <w:lang w:eastAsia="lt-LT"/>
                    </w:rPr>
                  </w:pPr>
                  <w:sdt>
                    <w:sdtPr>
                      <w:alias w:val="Pavadinimas"/>
                      <w:tag w:val="title_35492022048e48b9a51e69e544da962a"/>
                      <w:lock w:val="sdtLocked"/>
                      <w:richText/>
                    </w:sdtPr>
                    <w:sdtContent>
                      <w:r>
                        <w:rPr>
                          <w:b/>
                          <w:szCs w:val="24"/>
                          <w:lang w:eastAsia="lt-LT"/>
                        </w:rPr>
                        <w:t>Parengto sprendimo projekto tikslai ir uždaviniai:</w:t>
                      </w:r>
                    </w:sdtContent>
                  </w:sdt>
                </w:p>
                <w:p w14:paraId="7A8E5A9C" w14:textId="55FEDFFA">
                  <w:pPr>
                    <w:suppressAutoHyphens/>
                    <w:ind w:firstLine="720"/>
                    <w:jc w:val="both"/>
                    <w:rPr>
                      <w:szCs w:val="24"/>
                      <w:lang w:eastAsia="lt-LT"/>
                    </w:rPr>
                  </w:pPr>
                  <w:r>
                    <w:rPr>
                      <w:szCs w:val="24"/>
                      <w:lang w:eastAsia="lt-LT"/>
                    </w:rPr>
                    <w:t xml:space="preserve">Šiaulių miesto savivaldybei nuosavybės teise priklausantį </w:t>
                  </w:r>
                  <w:r>
                    <w:rPr>
                      <w:szCs w:val="24"/>
                      <w:shd w:val="clear" w:color="auto" w:fill="FFFFFF"/>
                      <w:lang w:eastAsia="lt-LT"/>
                    </w:rPr>
                    <w:t xml:space="preserve">ilgalaikį materialųjį turtą – mozaiką „Šiauliai“ </w:t>
                  </w:r>
                  <w:r>
                    <w:rPr>
                      <w:szCs w:val="24"/>
                      <w:lang w:eastAsia="lt-LT"/>
                    </w:rPr>
                    <w:t>pripažinti netinkamu (negalimu) naudoti ir nurašyti.</w:t>
                  </w:r>
                </w:p>
              </w:sdtContent>
            </w:sdt>
            <w:sdt>
              <w:sdtPr>
                <w:alias w:val="poskyris"/>
                <w:tag w:val="part_d53ac4ea7a404c4781e7e579b3b1d475"/>
                <w:lock w:val="sdtLocked"/>
                <w:richText/>
              </w:sdtPr>
              <w:sdtContent>
                <w:p w14:paraId="15892851" w14:textId="43423C7D">
                  <w:pPr>
                    <w:suppressAutoHyphens/>
                    <w:ind w:firstLine="720"/>
                    <w:jc w:val="both"/>
                    <w:rPr>
                      <w:szCs w:val="24"/>
                      <w:lang w:eastAsia="lt-LT"/>
                    </w:rPr>
                  </w:pPr>
                  <w:sdt>
                    <w:sdtPr>
                      <w:alias w:val="Pavadinimas"/>
                      <w:tag w:val="title_d53ac4ea7a404c4781e7e579b3b1d475"/>
                      <w:lock w:val="sdtLocked"/>
                      <w:richText/>
                    </w:sdtPr>
                    <w:sdtContent>
                      <w:r>
                        <w:rPr>
                          <w:b/>
                          <w:szCs w:val="24"/>
                          <w:lang w:eastAsia="lt-LT"/>
                        </w:rPr>
                        <w:t>Dabartinis sprendimo projekte aptariamų klausimų reguliavimas.</w:t>
                      </w:r>
                    </w:sdtContent>
                  </w:sdt>
                </w:p>
                <w:p w14:paraId="34A72B0B" w14:textId="51282799">
                  <w:pPr>
                    <w:suppressAutoHyphens/>
                    <w:ind w:firstLine="720"/>
                    <w:jc w:val="both"/>
                    <w:rPr>
                      <w:szCs w:val="24"/>
                      <w:shd w:val="clear" w:color="auto" w:fill="FFFFFF"/>
                      <w:lang w:eastAsia="lt-LT"/>
                    </w:rPr>
                  </w:pPr>
                  <w:r>
                    <w:rPr>
                      <w:szCs w:val="24"/>
                      <w:lang w:eastAsia="lt-LT"/>
                    </w:rPr>
                    <w:t xml:space="preserve">Savivaldybės turto pripažinimą netinkamu (negalimu) naudoti apsprendžia Lietuvos Respublikos valstybės ir savivaldybių turto valdymo, naudojimo ir disponavimo juo įstatymas, Pripažinto nereikalingu arba netinkamu (negalimu) naudoti valstybės ir savivaldybių turto nurašymo, išardymo ir likvidavimo tvarkos aprašas, patvirtintas Lietuvos Respublikos Vyriausybės 2001 m. spalio 19 d. nutarimu Nr. 1250 „Dėl pripažinto nereikalingu arba netinkamu (negalimu) naudoti valstybės ir savivaldybių turto nurašymo, išardymo ir likvidavimo tvarkos aprašo patvirtinimo“, </w:t>
                  </w:r>
                  <w:r>
                    <w:rPr>
                      <w:szCs w:val="24"/>
                      <w:shd w:val="clear" w:color="auto" w:fill="FFFFFF"/>
                      <w:lang w:eastAsia="lt-LT"/>
                    </w:rPr>
                    <w:t xml:space="preserve">Turto pripažinimo nereikalingu arba netinkamu (negalimu) naudoti ir jo nurašymo, išardymo ir likvidavimo tvarkos aprašas, patvirtintas Šiaulių miesto savivaldybės tarybos </w:t>
                  </w:r>
                  <w:r>
                    <w:rPr>
                      <w:szCs w:val="24"/>
                      <w:lang w:eastAsia="lt-LT"/>
                    </w:rPr>
                    <w:t>2023 m. kovo 30 d</w:t>
                  </w:r>
                  <w:r>
                    <w:rPr>
                      <w:szCs w:val="24"/>
                      <w:shd w:val="clear" w:color="auto" w:fill="FFFFFF"/>
                      <w:lang w:eastAsia="lt-LT"/>
                    </w:rPr>
                    <w:t>. sprendimu Nr. T-169 „Dėl turto pripažinimo nereikalingu arba netinkamu (negalimu) naudoti ir jo nurašymo, išardymo ir likvidavimo tvarkos aprašo patvirtinimo“.</w:t>
                  </w:r>
                </w:p>
                <w:p w14:paraId="6755F9F0" w14:textId="5F9CF55C">
                  <w:pPr>
                    <w:suppressAutoHyphens/>
                    <w:ind w:firstLine="720"/>
                    <w:jc w:val="both"/>
                    <w:rPr>
                      <w:szCs w:val="24"/>
                      <w:lang w:eastAsia="lt-LT"/>
                    </w:rPr>
                  </w:pPr>
                  <w:r>
                    <w:rPr>
                      <w:szCs w:val="24"/>
                      <w:lang w:eastAsia="lt-LT"/>
                    </w:rPr>
                    <w:t>Lietuvos Respublikos valstybės ir savivaldybių turto valdymo, naudojimo ir disponavimo juo įstatymo 26 straipsnio 1 dalies 1 ir 2 punktuose numatyta, kad ilgalaikis materialusis turtas pripažįstamas netinkamu (negalimu) naudoti, kai jis fiziškai ir funkciškai (technologiškai) nusidėvi.</w:t>
                  </w:r>
                </w:p>
                <w:p w14:paraId="1745CED9" w14:textId="6BF1F165">
                  <w:pPr>
                    <w:suppressAutoHyphens/>
                    <w:ind w:firstLine="720"/>
                    <w:jc w:val="both"/>
                    <w:rPr>
                      <w:szCs w:val="24"/>
                      <w:lang w:eastAsia="lt-LT"/>
                    </w:rPr>
                  </w:pPr>
                  <w:r>
                    <w:rPr>
                      <w:szCs w:val="24"/>
                      <w:lang w:eastAsia="lt-LT"/>
                    </w:rPr>
                    <w:t>Vadovaujantis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nuostatomis, sprendimą dėl Savivaldybės turto pripažinimo netinkamu (negalimu) naudoti, jo nurašymo ir likvidavimo priima Savivaldybės taryba.</w:t>
                  </w:r>
                </w:p>
                <w:p w14:paraId="59B82647" w14:textId="63710107">
                  <w:pPr>
                    <w:suppressAutoHyphens/>
                    <w:ind w:firstLine="720"/>
                    <w:jc w:val="both"/>
                    <w:rPr>
                      <w:szCs w:val="24"/>
                      <w:shd w:val="clear" w:color="auto" w:fill="FFFFFF"/>
                      <w:lang w:eastAsia="lt-LT"/>
                    </w:rPr>
                  </w:pPr>
                  <w:r>
                    <w:rPr>
                      <w:szCs w:val="24"/>
                      <w:lang w:eastAsia="lt-LT"/>
                    </w:rPr>
                    <w:t>Siekiant įvertinti mozaikos „Šiauliai“ (toliau – Mozaika) būklę buvo atlikta Mozaikos konstruktyvo ekspertizė jos buvimo vietoje</w:t>
                  </w:r>
                  <w:r>
                    <w:rPr>
                      <w:szCs w:val="24"/>
                      <w:shd w:val="clear" w:color="auto" w:fill="FFFFFF"/>
                      <w:lang w:eastAsia="lt-LT"/>
                    </w:rPr>
                    <w:t xml:space="preserve"> (statinio, esančio Tilžės g. 198, Šiauliai, fasado siena</w:t>
                  </w:r>
                  <w:r>
                    <w:rPr>
                      <w:szCs w:val="24"/>
                      <w:lang w:eastAsia="lt-LT"/>
                    </w:rPr>
                    <w:t>). Ekspertai įvertinę Mozaikos būklę nustatė, kad Mozaikos (jos dalių) techninė būklė nepatenkinama, nes netenkina statybos techninio reglamento STR 2.01.01(4):2008 Esminis statinio reikalavimas „Naudojimo sauga“ reikalavimų:</w:t>
                  </w:r>
                </w:p>
                <w:p w14:paraId="640B1DE7" w14:textId="58BC9DBB">
                  <w:pPr>
                    <w:suppressAutoHyphens/>
                    <w:ind w:firstLine="720"/>
                    <w:jc w:val="both"/>
                    <w:rPr>
                      <w:szCs w:val="24"/>
                      <w:lang w:eastAsia="lt-LT"/>
                    </w:rPr>
                  </w:pPr>
                  <w:r>
                    <w:rPr>
                      <w:szCs w:val="24"/>
                      <w:lang w:eastAsia="lt-LT"/>
                    </w:rPr>
                    <w:t>- smūgio pavojus nuo krintančių ant naudotojų ir trečiųjų asmenų statinio konstrukcijų dėl byrančio armatūros apsauginio betono sluoksnio (IV skyrius 10.1punktas).</w:t>
                  </w:r>
                </w:p>
                <w:p w14:paraId="43736473" w14:textId="422E6282">
                  <w:pPr>
                    <w:suppressAutoHyphens/>
                    <w:ind w:firstLine="720"/>
                    <w:jc w:val="both"/>
                    <w:rPr>
                      <w:szCs w:val="24"/>
                      <w:lang w:eastAsia="lt-LT"/>
                    </w:rPr>
                  </w:pPr>
                  <w:r>
                    <w:rPr>
                      <w:szCs w:val="24"/>
                      <w:lang w:eastAsia="lt-LT"/>
                    </w:rPr>
                    <w:t>Ekspertai taip pat nustatė, kad Mozaika turi statinio (jo dalies) galimos avarinės būklės požymių pagal statybos techninio reglamento STR 1.03.01:2016 „Statybiniai tyrimai. Statinio avarija“ 1 priedą „Statinio galimos avarinės būklės požymiai“:</w:t>
                  </w:r>
                </w:p>
                <w:p w14:paraId="4932DFFA" w14:textId="115AEB10">
                  <w:pPr>
                    <w:suppressAutoHyphens/>
                    <w:ind w:firstLine="720"/>
                    <w:jc w:val="both"/>
                    <w:rPr>
                      <w:szCs w:val="24"/>
                      <w:lang w:eastAsia="lt-LT"/>
                    </w:rPr>
                  </w:pPr>
                  <w:r>
                    <w:rPr>
                      <w:szCs w:val="24"/>
                      <w:lang w:eastAsia="lt-LT"/>
                    </w:rPr>
                    <w:t>- suiręs armatūros apsauginis sluoksnis;</w:t>
                  </w:r>
                </w:p>
                <w:p w14:paraId="49309040" w14:textId="67F887A5">
                  <w:pPr>
                    <w:suppressAutoHyphens/>
                    <w:ind w:firstLine="720"/>
                    <w:jc w:val="both"/>
                    <w:rPr>
                      <w:szCs w:val="24"/>
                      <w:lang w:eastAsia="lt-LT"/>
                    </w:rPr>
                  </w:pPr>
                  <w:r>
                    <w:rPr>
                      <w:szCs w:val="24"/>
                      <w:lang w:eastAsia="lt-LT"/>
                    </w:rPr>
                    <w:t>- suvirinimo siūlių arba konstrukcijos elementų įtrūkiai, nepriklausomai nuo jų pločio;</w:t>
                  </w:r>
                </w:p>
                <w:p w14:paraId="7AD1E445" w14:textId="77777777">
                  <w:pPr>
                    <w:suppressAutoHyphens/>
                    <w:ind w:firstLine="720"/>
                    <w:jc w:val="both"/>
                    <w:rPr>
                      <w:szCs w:val="24"/>
                      <w:lang w:eastAsia="lt-LT"/>
                    </w:rPr>
                  </w:pPr>
                  <w:r>
                    <w:rPr>
                      <w:szCs w:val="24"/>
                      <w:lang w:eastAsia="lt-LT"/>
                    </w:rPr>
                    <w:t>- dėl korozijos suardytas profilių ir jungčių storesnis negu 1 mm metalo sluoksnis.</w:t>
                  </w:r>
                </w:p>
                <w:p w14:paraId="34D88071" w14:textId="218DA648">
                  <w:pPr>
                    <w:suppressAutoHyphens/>
                    <w:ind w:firstLine="720"/>
                    <w:jc w:val="both"/>
                    <w:rPr>
                      <w:szCs w:val="24"/>
                      <w:lang w:eastAsia="lt-LT"/>
                    </w:rPr>
                  </w:pPr>
                  <w:r>
                    <w:rPr>
                      <w:szCs w:val="24"/>
                      <w:lang w:eastAsia="lt-LT"/>
                    </w:rPr>
                    <w:t>Ekspertų pateiktose Mozaikos techninės būklės išvadose ir rekomendacijose nurodoma, kad nedelsiant būtina:</w:t>
                  </w:r>
                </w:p>
                <w:p w14:paraId="58F96EA6" w14:textId="7D718D12">
                  <w:pPr>
                    <w:suppressAutoHyphens/>
                    <w:ind w:firstLine="720"/>
                    <w:jc w:val="both"/>
                    <w:rPr>
                      <w:szCs w:val="24"/>
                      <w:lang w:eastAsia="lt-LT"/>
                    </w:rPr>
                  </w:pPr>
                  <w:r>
                    <w:rPr>
                      <w:szCs w:val="24"/>
                      <w:lang w:eastAsia="lt-LT"/>
                    </w:rPr>
                    <w:t>- apriboti žmonių patekimą į pavojingą zoną aplinkui Mozaiką;</w:t>
                  </w:r>
                </w:p>
                <w:p w14:paraId="237EF8B2" w14:textId="7F567FFE">
                  <w:pPr>
                    <w:suppressAutoHyphens/>
                    <w:ind w:firstLine="720"/>
                    <w:jc w:val="both"/>
                    <w:rPr>
                      <w:szCs w:val="22"/>
                      <w:lang w:eastAsia="lt-LT"/>
                    </w:rPr>
                  </w:pPr>
                  <w:r>
                    <w:rPr>
                      <w:color w:val="000000"/>
                      <w:szCs w:val="24"/>
                      <w:lang w:eastAsia="lt-LT"/>
                    </w:rPr>
                    <w:t>- išmontuoti Mozaiką bei visus Mozaikos tvirtinimo prie pastato sieno</w:t>
                  </w:r>
                  <w:r>
                    <w:rPr>
                      <w:szCs w:val="22"/>
                      <w:lang w:eastAsia="lt-LT"/>
                    </w:rPr>
                    <w:t>s elementus kaip keliančius grėsmę žmonių saugumui.</w:t>
                  </w:r>
                </w:p>
                <w:p w14:paraId="1CE1C85C" w14:textId="34794AB1">
                  <w:pPr>
                    <w:suppressAutoHyphens/>
                    <w:ind w:firstLine="720"/>
                    <w:jc w:val="both"/>
                    <w:rPr>
                      <w:szCs w:val="22"/>
                      <w:lang w:eastAsia="lt-LT"/>
                    </w:rPr>
                  </w:pPr>
                  <w:r>
                    <w:rPr>
                      <w:szCs w:val="22"/>
                      <w:lang w:eastAsia="lt-LT"/>
                    </w:rPr>
                    <w:t xml:space="preserve">Pažymėtina ir tai, kad Mozaikos autorius dėl prastos </w:t>
                  </w:r>
                  <w:r>
                    <w:rPr>
                      <w:szCs w:val="24"/>
                      <w:lang w:eastAsia="lt-LT"/>
                    </w:rPr>
                    <w:t>techninės būklės yra davęs sutikimą pašalinti Mozaiką iš jos buvimo vietos.</w:t>
                  </w:r>
                </w:p>
                <w:p w14:paraId="3353CB3D" w14:textId="3D34E8D4">
                  <w:pPr>
                    <w:suppressAutoHyphens/>
                    <w:ind w:firstLine="720"/>
                    <w:jc w:val="both"/>
                    <w:rPr>
                      <w:szCs w:val="24"/>
                      <w:shd w:val="clear" w:color="auto" w:fill="FFFFFF"/>
                      <w:lang w:eastAsia="lt-LT"/>
                    </w:rPr>
                  </w:pPr>
                  <w:r>
                    <w:rPr>
                      <w:szCs w:val="22"/>
                      <w:lang w:eastAsia="lt-LT"/>
                    </w:rPr>
                    <w:t>Atsižvelgusi į tai, kas išdėstyta, teikiamu Tarybos sprendimo projektu siūloma Mozaiką</w:t>
                  </w:r>
                  <w:r>
                    <w:rPr>
                      <w:szCs w:val="24"/>
                      <w:shd w:val="clear" w:color="auto" w:fill="FFFFFF"/>
                      <w:lang w:eastAsia="lt-LT"/>
                    </w:rPr>
                    <w:t xml:space="preserve"> </w:t>
                  </w:r>
                  <w:r>
                    <w:rPr>
                      <w:szCs w:val="24"/>
                      <w:lang w:eastAsia="lt-LT"/>
                    </w:rPr>
                    <w:t>pripažinti netinkama (negalima) naudoti, ją nurašyti</w:t>
                  </w:r>
                  <w:r>
                    <w:rPr>
                      <w:szCs w:val="22"/>
                      <w:lang w:eastAsia="lt-LT"/>
                    </w:rPr>
                    <w:t xml:space="preserve"> ir išmontuoti</w:t>
                  </w:r>
                  <w:r>
                    <w:rPr>
                      <w:szCs w:val="24"/>
                      <w:lang w:eastAsia="lt-LT"/>
                    </w:rPr>
                    <w:t xml:space="preserve">. </w:t>
                  </w:r>
                </w:p>
                <w:p w14:paraId="6802773C" w14:textId="77777777">
                  <w:pPr>
                    <w:widowControl w:val="0"/>
                    <w:suppressAutoHyphens/>
                    <w:ind w:firstLine="720"/>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20"/>
                    <w:jc w:val="both"/>
                    <w:rPr>
                      <w:szCs w:val="22"/>
                      <w:lang w:eastAsia="lt-LT"/>
                    </w:rPr>
                  </w:pPr>
                  <w:r>
                    <w:rPr>
                      <w:szCs w:val="22"/>
                      <w:lang w:eastAsia="lt-LT"/>
                    </w:rPr>
                    <w:t>Naujos teisinio reguliavimo nuostatos nenumatomos.</w:t>
                  </w:r>
                </w:p>
                <w:p w14:paraId="516A6931" w14:textId="5E9C5EF8">
                  <w:pPr>
                    <w:widowControl w:val="0"/>
                    <w:suppressAutoHyphens/>
                    <w:ind w:firstLine="720"/>
                    <w:jc w:val="both"/>
                    <w:rPr>
                      <w:szCs w:val="22"/>
                      <w:lang w:eastAsia="lt-LT"/>
                    </w:rPr>
                  </w:pPr>
                  <w:r>
                    <w:rPr>
                      <w:b/>
                      <w:szCs w:val="22"/>
                      <w:lang w:eastAsia="lt-LT"/>
                    </w:rPr>
                    <w:t>Priėmus sprendimą, galimos pasekmės</w:t>
                  </w:r>
                  <w:r>
                    <w:rPr>
                      <w:szCs w:val="22"/>
                      <w:lang w:eastAsia="lt-LT"/>
                    </w:rPr>
                    <w:t xml:space="preserve"> (tiek teigiamos, tiek neigiamos).</w:t>
                  </w:r>
                </w:p>
                <w:p w14:paraId="37CFE0AD" w14:textId="6635A1E6">
                  <w:pPr>
                    <w:ind w:firstLine="720"/>
                    <w:jc w:val="both"/>
                    <w:rPr>
                      <w:szCs w:val="24"/>
                      <w:lang w:eastAsia="lt-LT"/>
                    </w:rPr>
                  </w:pPr>
                  <w:r>
                    <w:rPr>
                      <w:szCs w:val="24"/>
                      <w:lang w:eastAsia="lt-LT"/>
                    </w:rPr>
                    <w:t>Priėmus sprendimą neigiamų pasekmių nenumatoma. Teigiamos pasekmės − nurašius ir likvidavus fiziškai nusidėvėjusį</w:t>
                  </w:r>
                  <w:r>
                    <w:rPr>
                      <w:szCs w:val="24"/>
                      <w:shd w:val="clear" w:color="auto" w:fill="FFFFFF"/>
                      <w:lang w:eastAsia="lt-LT"/>
                    </w:rPr>
                    <w:t xml:space="preserve"> </w:t>
                  </w:r>
                  <w:r>
                    <w:rPr>
                      <w:szCs w:val="24"/>
                      <w:lang w:eastAsia="lt-LT"/>
                    </w:rPr>
                    <w:t>ilgalaikį materialųjį turtą</w:t>
                  </w:r>
                  <w:r>
                    <w:rPr>
                      <w:szCs w:val="22"/>
                      <w:lang w:eastAsia="lt-LT"/>
                    </w:rPr>
                    <w:t xml:space="preserve"> </w:t>
                  </w:r>
                  <w:r>
                    <w:rPr>
                      <w:szCs w:val="24"/>
                      <w:lang w:eastAsia="lt-LT"/>
                    </w:rPr>
                    <w:t>bus pašalintas pavojus aplinkinių žmonių saugumui, galimos avarijos grėsmės, užtikrintas pastato saugus eksploatavimas.</w:t>
                  </w:r>
                </w:p>
              </w:sdtContent>
            </w:sdt>
            <w:sdt>
              <w:sdtPr>
                <w:alias w:val="poskyris"/>
                <w:tag w:val="part_4c8c4f80a3ed4660b30d102caf3cc902"/>
                <w:lock w:val="sdtLocked"/>
                <w:richText/>
              </w:sdtPr>
              <w:sdtContent>
                <w:p w14:paraId="43501B09" w14:textId="77777777">
                  <w:pPr>
                    <w:widowControl w:val="0"/>
                    <w:suppressAutoHyphens/>
                    <w:ind w:firstLine="720"/>
                    <w:jc w:val="both"/>
                    <w:rPr>
                      <w:szCs w:val="22"/>
                      <w:lang w:eastAsia="lt-LT"/>
                    </w:rPr>
                  </w:pPr>
                  <w:sdt>
                    <w:sdtPr>
                      <w:alias w:val="Pavadinimas"/>
                      <w:tag w:val="title_4c8c4f80a3ed4660b30d102caf3cc902"/>
                      <w:lock w:val="sdtLocked"/>
                      <w:richText/>
                    </w:sdtPr>
                    <w:sdtContent>
                      <w:r>
                        <w:rPr>
                          <w:b/>
                          <w:szCs w:val="22"/>
                          <w:lang w:eastAsia="lt-LT"/>
                        </w:rPr>
                        <w:t>Priėmus sprendimą, keičiami ar pripažįstami negaliojančiais teisės aktai.</w:t>
                      </w:r>
                    </w:sdtContent>
                  </w:sdt>
                </w:p>
                <w:p w14:paraId="7329F777" w14:textId="77777777">
                  <w:pPr>
                    <w:widowControl w:val="0"/>
                    <w:suppressAutoHyphens/>
                    <w:ind w:firstLine="720"/>
                    <w:jc w:val="both"/>
                    <w:rPr>
                      <w:szCs w:val="22"/>
                      <w:lang w:eastAsia="lt-LT"/>
                    </w:rPr>
                  </w:pPr>
                  <w:r>
                    <w:rPr>
                      <w:szCs w:val="22"/>
                      <w:lang w:eastAsia="lt-LT"/>
                    </w:rPr>
                    <w:t>Priėmus sprendimą, teisės aktai nekeičiami ir nepripažįstami negaliojančiais.</w:t>
                  </w:r>
                </w:p>
              </w:sdtContent>
            </w:sdt>
            <w:sdt>
              <w:sdtPr>
                <w:alias w:val="poskyris"/>
                <w:tag w:val="part_2f5d8320adef4fd18e7081f969129eeb"/>
                <w:lock w:val="sdtLocked"/>
                <w:richText/>
              </w:sdtPr>
              <w:sdtContent>
                <w:p w14:paraId="2C079036" w14:textId="77777777">
                  <w:pPr>
                    <w:widowControl w:val="0"/>
                    <w:suppressAutoHyphens/>
                    <w:ind w:firstLine="720"/>
                    <w:jc w:val="both"/>
                    <w:rPr>
                      <w:b/>
                      <w:szCs w:val="22"/>
                      <w:lang w:eastAsia="lt-LT"/>
                    </w:rPr>
                  </w:pPr>
                  <w:sdt>
                    <w:sdtPr>
                      <w:alias w:val="Pavadinimas"/>
                      <w:tag w:val="title_2f5d8320adef4fd18e7081f969129eeb"/>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20"/>
                    <w:jc w:val="both"/>
                    <w:rPr>
                      <w:szCs w:val="22"/>
                      <w:lang w:eastAsia="lt-LT"/>
                    </w:rPr>
                  </w:pPr>
                  <w:r>
                    <w:rPr>
                      <w:szCs w:val="22"/>
                      <w:lang w:eastAsia="lt-LT"/>
                    </w:rPr>
                    <w:t>Sprendimo įgyvendinimui reikalingų priimti papildomų teisės aktų nenumatoma.</w:t>
                  </w:r>
                </w:p>
              </w:sdtContent>
            </w:sdt>
            <w:sdt>
              <w:sdtPr>
                <w:alias w:val="poskyris"/>
                <w:tag w:val="part_1f9368dc6d8d4ac6af98b5c79431a632"/>
                <w:lock w:val="sdtLocked"/>
                <w:richText/>
              </w:sdtPr>
              <w:sdtContent>
                <w:p w14:paraId="2064A95B" w14:textId="77777777">
                  <w:pPr>
                    <w:widowControl w:val="0"/>
                    <w:suppressAutoHyphens/>
                    <w:ind w:firstLine="720"/>
                    <w:jc w:val="both"/>
                    <w:rPr>
                      <w:b/>
                      <w:szCs w:val="22"/>
                      <w:lang w:eastAsia="lt-LT"/>
                    </w:rPr>
                  </w:pPr>
                  <w:sdt>
                    <w:sdtPr>
                      <w:alias w:val="Pavadinimas"/>
                      <w:tag w:val="title_1f9368dc6d8d4ac6af98b5c79431a632"/>
                      <w:lock w:val="sdtLocked"/>
                      <w:richText/>
                    </w:sdtPr>
                    <w:sdtContent>
                      <w:r>
                        <w:rPr>
                          <w:b/>
                          <w:szCs w:val="22"/>
                          <w:lang w:eastAsia="lt-LT"/>
                        </w:rPr>
                        <w:t>Kiek biudžeto lėšų pareikalaus ar leis sutaupyti sprendimo įgyvendinimas.</w:t>
                      </w:r>
                    </w:sdtContent>
                  </w:sdt>
                </w:p>
                <w:p w14:paraId="7A597947" w14:textId="4DC193AF">
                  <w:pPr>
                    <w:ind w:firstLine="720"/>
                    <w:jc w:val="both"/>
                    <w:rPr>
                      <w:szCs w:val="24"/>
                      <w:lang w:eastAsia="lt-LT"/>
                    </w:rPr>
                  </w:pPr>
                  <w:r>
                    <w:rPr>
                      <w:rFonts w:eastAsia="HG Mincho Light J"/>
                      <w:szCs w:val="24"/>
                      <w:lang w:eastAsia="lt-LT"/>
                    </w:rPr>
                    <w:t xml:space="preserve">Nurašyto turto nugriovimui bus reikalingos Savivaldybės biudžeto lėšos. Turto nugriovimas bus finansuojamas </w:t>
                  </w:r>
                  <w:r>
                    <w:rPr>
                      <w:szCs w:val="22"/>
                      <w:lang w:eastAsia="lt-LT"/>
                    </w:rPr>
                    <w:t>iš Savivaldybės administracijai skirtų asignavimų.</w:t>
                  </w:r>
                </w:p>
              </w:sdtContent>
            </w:sdt>
            <w:sdt>
              <w:sdtPr>
                <w:alias w:val="poskyris"/>
                <w:tag w:val="part_0d62a6d80ae642f0ac0f11d36054b96a"/>
                <w:lock w:val="sdtLocked"/>
                <w:richText/>
              </w:sdtPr>
              <w:sdtContent>
                <w:p w14:paraId="371B5C36" w14:textId="77777777">
                  <w:pPr>
                    <w:suppressAutoHyphens/>
                    <w:ind w:firstLine="720"/>
                    <w:jc w:val="both"/>
                    <w:rPr>
                      <w:b/>
                      <w:szCs w:val="22"/>
                      <w:lang w:eastAsia="lt-LT"/>
                    </w:rPr>
                  </w:pPr>
                  <w:sdt>
                    <w:sdtPr>
                      <w:alias w:val="Pavadinimas"/>
                      <w:tag w:val="title_0d62a6d80ae642f0ac0f11d36054b96a"/>
                      <w:lock w:val="sdtLocked"/>
                      <w:richText/>
                    </w:sdtPr>
                    <w:sdtContent>
                      <w:r>
                        <w:rPr>
                          <w:b/>
                          <w:szCs w:val="22"/>
                          <w:lang w:eastAsia="lt-LT"/>
                        </w:rPr>
                        <w:t>Sprendimo projekto rengėjas ar rengėjų grupė, sprendimo projekto iniciatoriai.</w:t>
                      </w:r>
                    </w:sdtContent>
                  </w:sdt>
                </w:p>
                <w:p w14:paraId="2B407A23" w14:textId="77777777">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p>
              </w:sdtContent>
            </w:sdt>
            <w:sdt>
              <w:sdtPr>
                <w:alias w:val="poskyris"/>
                <w:tag w:val="part_9d510faff92a4d49bd67a12671fa72bb"/>
                <w:lock w:val="sdtLocked"/>
                <w:richText/>
              </w:sdtPr>
              <w:sdtContent>
                <w:p w14:paraId="2A5712A0" w14:textId="77777777">
                  <w:pPr>
                    <w:widowControl w:val="0"/>
                    <w:ind w:firstLine="720"/>
                    <w:jc w:val="both"/>
                    <w:rPr>
                      <w:b/>
                      <w:szCs w:val="22"/>
                      <w:lang w:eastAsia="lt-LT"/>
                    </w:rPr>
                  </w:pPr>
                  <w:sdt>
                    <w:sdtPr>
                      <w:alias w:val="Pavadinimas"/>
                      <w:tag w:val="title_9d510faff92a4d49bd67a12671fa72bb"/>
                      <w:lock w:val="sdtLocked"/>
                      <w:richText/>
                    </w:sdtPr>
                    <w:sdtContent>
                      <w:r>
                        <w:rPr>
                          <w:b/>
                          <w:szCs w:val="22"/>
                          <w:lang w:eastAsia="lt-LT"/>
                        </w:rPr>
                        <w:t>Numatomo teisinio reguliavimo poveikio vertinimo rezultatai.</w:t>
                      </w:r>
                    </w:sdtContent>
                  </w:sdt>
                </w:p>
                <w:p w14:paraId="55DB4B74" w14:textId="77777777">
                  <w:pPr>
                    <w:suppressAutoHyphens/>
                    <w:ind w:firstLine="709"/>
                    <w:jc w:val="both"/>
                    <w:rPr>
                      <w:szCs w:val="24"/>
                      <w:lang w:eastAsia="lt-LT"/>
                    </w:rPr>
                  </w:pPr>
                  <w:r>
                    <w:rPr>
                      <w:szCs w:val="24"/>
                      <w:lang w:eastAsia="lt-LT"/>
                    </w:rPr>
                    <w:t xml:space="preserve">Numatomo teisinio reguliavimo poveikio vertinimas neatliekamas, nes sprendimo projektu nėra numatoma reglamentuoti iki tol nereglamentuotus santykius ar iš esmės keisti teisinį reguliavimą. </w:t>
                  </w:r>
                </w:p>
                <w:p w14:paraId="432C817B" w14:textId="77777777">
                  <w:pPr>
                    <w:suppressAutoHyphens/>
                    <w:rPr>
                      <w:szCs w:val="22"/>
                      <w:lang w:eastAsia="lt-LT"/>
                    </w:rPr>
                  </w:pPr>
                </w:p>
                <w:p w14:paraId="6ED54B67" w14:textId="77777777">
                  <w:pPr>
                    <w:suppressAutoHyphens/>
                    <w:rPr>
                      <w:szCs w:val="22"/>
                      <w:lang w:eastAsia="lt-LT"/>
                    </w:rPr>
                  </w:pPr>
                </w:p>
              </w:sdtContent>
            </w:sdt>
          </w:sdtContent>
        </w:sdt>
        <w:sdt>
          <w:sdtPr>
            <w:alias w:val="signatura"/>
            <w:tag w:val="part_03014aeb27154bdc9daec9fc49cfa78c"/>
            <w:lock w:val="sdtLocked"/>
            <w:richText/>
          </w:sdtPr>
          <w:sdtContent>
            <w:p w14:paraId="7DE9A67A" w14:textId="77FA061D">
              <w:pPr>
                <w:suppressAutoHyphens/>
                <w:rPr>
                  <w:szCs w:val="24"/>
                  <w:lang w:eastAsia="lt-LT"/>
                </w:rPr>
              </w:pPr>
              <w:r>
                <w:rPr>
                  <w:szCs w:val="24"/>
                  <w:lang w:eastAsia="lt-LT"/>
                </w:rPr>
                <w:t>Turto valdymo skyriaus vedėja</w:t>
                <w:tab/>
                <w:tab/>
                <w:tab/>
                <w:tab/>
                <w:t>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3f506c10c2f4138988b2c63483c7a23" PartId="bf5f6cd7d3534997b4fa85bedf7e8f20">
    <Part Type="skyrius" Nr="999" Title="SPRENDIMO „DĖL SAVIVALDYBĖS TURTO PRIPAŽINIMO NETINKAMU (NEGALIMU) NAUDOTI IR JO NURAŠYMO“ PROJEKTO" DocPartId="f65d81f36f394df4ad6cd831667cac39" PartId="3b9ffa16360049c0a60eee9885d59097">
      <Part Type="poskyris" Title="AIŠKINAMASIS RAŠTAS" DocPartId="e053ad8916844210a1bdc3748fa188ee" PartId="b143fb82d86f434198d5f0b73dc3365d"/>
      <Part Type="poskyris" Title="Parengto sprendimo projekto tikslai ir uždaviniai:" DocPartId="b5c27b6bf29d4923bdd18ab43642500a" PartId="35492022048e48b9a51e69e544da962a"/>
      <Part Type="poskyris" Title="Dabartinis sprendimo projekte aptariamų klausimų reguliavimas." DocPartId="3e1f43f99f284f7abd0de1d2a2b44ce8" PartId="d53ac4ea7a404c4781e7e579b3b1d475"/>
      <Part Type="poskyris" Title="Priėmus sprendimą, keičiami ar pripažįstami negaliojančiais teisės aktai." DocPartId="877a64f32af74f00af32de335a9bb0e5" PartId="4c8c4f80a3ed4660b30d102caf3cc902"/>
      <Part Type="poskyris" Title="Sprendimui įgyvendinti reikalingi priimti papildomi teisės aktai." DocPartId="9b9e1eda2f604842a1e36b769b531945" PartId="2f5d8320adef4fd18e7081f969129eeb"/>
      <Part Type="poskyris" Title="Kiek biudžeto lėšų pareikalaus ar leis sutaupyti sprendimo įgyvendinimas." DocPartId="d1f9325673e04d25944b7d8929efd8b3" PartId="1f9368dc6d8d4ac6af98b5c79431a632"/>
      <Part Type="poskyris" Title="Sprendimo projekto rengėjas ar rengėjų grupė, sprendimo projekto iniciatoriai." DocPartId="f9516331eaf9427c86da06bbf142742f" PartId="0d62a6d80ae642f0ac0f11d36054b96a"/>
      <Part Type="poskyris" Title="Numatomo teisinio reguliavimo poveikio vertinimo rezultatai." DocPartId="716bcc398c274048b6d54852dcd71107" PartId="9d510faff92a4d49bd67a12671fa72bb"/>
    </Part>
    <Part Type="signatura" DocPartId="4ca5176591844a1ba2ee8346598a317c" PartId="03014aeb27154bdc9daec9fc49cfa78c"/>
  </Part>
</Parts>
</file>

<file path=customXml/itemProps1.xml><?xml version="1.0" encoding="utf-8"?>
<ds:datastoreItem xmlns:ds="http://schemas.openxmlformats.org/officeDocument/2006/customXml" ds:itemID="{16F78B7C-5D41-41BA-BCFC-FDA50CEC6166}">
  <ds:schemaRefs>
    <ds:schemaRef ds:uri="http://schemas.openxmlformats.org/officeDocument/2006/bibliography"/>
  </ds:schemaRefs>
</ds:datastoreItem>
</file>

<file path=customXml/itemProps2.xml><?xml version="1.0" encoding="utf-8"?>
<ds:datastoreItem xmlns:ds="http://schemas.openxmlformats.org/officeDocument/2006/customXml" ds:itemID="{8807FB07-2785-4D01-9069-BB6EE9B373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643</Words>
  <Characters>4753</Characters>
  <Application>Microsoft Office Word</Application>
  <DocSecurity>4</DocSecurity>
  <Lines>80</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2024-11-15T13:52:00Z</dcterms:created>
  <dc:creator>Kęstutis Tamulevičius</dc:creator>
  <lastModifiedBy>adlibuser</lastModifiedBy>
  <lastPrinted>2022-08-08T11:02:00Z</lastPrinted>
  <dcterms:modified xsi:type="dcterms:W3CDTF">2024-11-15T13:52:00Z</dcterms:modified>
  <revision>2</revision>
</coreProperties>
</file>