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00d375ac46d442fb475a42ebbbe497f"/>
        <w:lock w:val="sdtLocked"/>
        <w:richText/>
      </w:sdtPr>
      <w:sdtContent>
        <w:p w14:paraId="032B6903" w14:textId="77777777">
          <w:pPr>
            <w:spacing w:line="259" w:lineRule="auto"/>
            <w:rPr>
              <w:szCs w:val="24"/>
              <w:shd w:val="clear" w:color="auto" w:fill="FFFFFF"/>
            </w:rPr>
          </w:pPr>
        </w:p>
        <w:p w14:paraId="33684B58" w14:textId="77777777">
          <w:pPr>
            <w:jc w:val="center"/>
            <w:rPr>
              <w:szCs w:val="24"/>
              <w:lang w:eastAsia="lt-LT"/>
            </w:rPr>
          </w:pPr>
          <w:r>
            <w:rPr>
              <w:b/>
              <w:szCs w:val="24"/>
              <w:lang w:eastAsia="lt-LT"/>
            </w:rPr>
            <w:t>JONAVOS RAJONO SAVIVALDYBĖS TARYBAI</w:t>
          </w:r>
        </w:p>
        <w:p w14:paraId="431F2BBD" w14:textId="77777777">
          <w:pPr>
            <w:spacing w:line="360" w:lineRule="auto"/>
            <w:jc w:val="center"/>
            <w:rPr>
              <w:b/>
              <w:szCs w:val="24"/>
              <w:lang w:eastAsia="lt-LT"/>
            </w:rPr>
          </w:pPr>
          <w:r>
            <w:rPr>
              <w:b/>
              <w:szCs w:val="24"/>
              <w:lang w:eastAsia="lt-LT"/>
            </w:rPr>
            <w:t>AIŠKINAMASIS RAŠTAS</w:t>
          </w:r>
        </w:p>
        <w:p w14:paraId="1DDDC80E" w14:textId="77777777">
          <w:pPr>
            <w:spacing w:line="360" w:lineRule="auto"/>
            <w:jc w:val="center"/>
            <w:rPr>
              <w:bCs/>
              <w:szCs w:val="24"/>
              <w:lang w:eastAsia="lt-LT"/>
            </w:rPr>
          </w:pPr>
          <w:r>
            <w:rPr>
              <w:bCs/>
              <w:szCs w:val="24"/>
              <w:lang w:eastAsia="lt-LT"/>
            </w:rPr>
            <w:t>(prie sprendimo projekto)</w:t>
          </w:r>
        </w:p>
        <w:tbl>
          <w:tblPr>
            <w:tblW w:w="0" w:type="auto"/>
            <w:tblLook w:val="0000" w:firstRow="0" w:lastRow="0" w:firstColumn="0" w:lastColumn="0" w:noHBand="0" w:noVBand="0"/>
          </w:tblPr>
          <w:tblGrid>
            <w:gridCol w:w="9638"/>
          </w:tblGrid>
          <w:tr w14:paraId="3E613F39" w14:textId="77777777">
            <w:tc>
              <w:tcPr>
                <w:tcW w:w="9638" w:type="dxa"/>
                <w:vAlign w:val="bottom"/>
              </w:tcPr>
              <w:p w14:paraId="6050851F" w14:textId="77777777">
                <w:pPr>
                  <w:jc w:val="center"/>
                  <w:rPr>
                    <w:b/>
                    <w:bCs/>
                    <w:caps/>
                    <w:szCs w:val="24"/>
                  </w:rPr>
                </w:pPr>
              </w:p>
              <w:p w14:paraId="5547CBC6" w14:textId="556A2984">
                <w:pPr>
                  <w:jc w:val="center"/>
                  <w:rPr>
                    <w:b/>
                    <w:bCs/>
                    <w:caps/>
                    <w:szCs w:val="24"/>
                    <w:lang w:eastAsia="lt-LT"/>
                  </w:rPr>
                </w:pPr>
                <w:r>
                  <w:rPr>
                    <w:b/>
                    <w:bCs/>
                    <w:color w:val="000000"/>
                    <w:szCs w:val="24"/>
                    <w:lang w:val="en-GB" w:eastAsia="lt-LT"/>
                  </w:rPr>
                  <w:t>DĖL JONAVOS RAJONO SAVIVALDYBĖS TURTO PERDAVIMO PANAUDOS PAGRINDAIS LAIKINAI NEATLYGINTINAI VALDYTI IR NAUDOTIS TVARKOS APRAŠO PATVIRTINIMO</w:t>
                </w:r>
                <w:r>
                  <w:rPr>
                    <w:b/>
                    <w:bCs/>
                    <w:caps/>
                    <w:szCs w:val="24"/>
                    <w:lang w:eastAsia="lt-LT"/>
                  </w:rPr>
                  <w:t xml:space="preserve"> </w:t>
                </w:r>
              </w:p>
            </w:tc>
          </w:tr>
          <w:tr w14:paraId="679960A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9638" w:type="dxa"/>
                <w:tcBorders>
                  <w:top w:val="nil"/>
                  <w:left w:val="nil"/>
                  <w:bottom w:val="nil"/>
                  <w:right w:val="nil"/>
                </w:tcBorders>
                <w:hideMark/>
              </w:tcPr>
              <w:p w14:paraId="33C354CF" w14:textId="77777777">
                <w:pPr>
                  <w:jc w:val="center"/>
                  <w:rPr>
                    <w:b/>
                    <w:bCs/>
                    <w:caps/>
                    <w:szCs w:val="24"/>
                    <w:lang w:eastAsia="lt-LT"/>
                  </w:rPr>
                </w:pPr>
              </w:p>
            </w:tc>
          </w:tr>
        </w:tbl>
        <w:p w14:paraId="235B4446" w14:textId="77777777">
          <w:pPr>
            <w:ind w:left="360"/>
            <w:jc w:val="center"/>
            <w:rPr>
              <w:szCs w:val="24"/>
              <w:lang w:eastAsia="lt-LT"/>
            </w:rPr>
          </w:pPr>
        </w:p>
        <w:p w14:paraId="021D4C72" w14:textId="4E32A7A1">
          <w:pPr>
            <w:ind w:left="360"/>
            <w:jc w:val="center"/>
            <w:rPr>
              <w:szCs w:val="24"/>
              <w:lang w:eastAsia="lt-LT"/>
            </w:rPr>
          </w:pPr>
          <w:r>
            <w:rPr>
              <w:szCs w:val="24"/>
              <w:lang w:eastAsia="lt-LT"/>
            </w:rPr>
            <w:t xml:space="preserve">2026 m. birželio      d.</w:t>
          </w:r>
        </w:p>
        <w:p w14:paraId="390A753A" w14:textId="77777777">
          <w:pPr>
            <w:ind w:left="360"/>
            <w:jc w:val="center"/>
            <w:rPr>
              <w:szCs w:val="24"/>
              <w:lang w:eastAsia="lt-LT"/>
            </w:rPr>
          </w:pPr>
        </w:p>
        <w:sdt>
          <w:sdtPr>
            <w:alias w:val="1 p."/>
            <w:tag w:val="part_97e9057df2544f2599d7837d44a37fe8"/>
            <w:lock w:val="sdtLocked"/>
            <w:richText/>
          </w:sdtPr>
          <w:sdtContent>
            <w:p w14:paraId="613FF44F" w14:textId="77777777">
              <w:pPr>
                <w:overflowPunct w:val="0"/>
                <w:ind w:left="1069" w:hanging="360"/>
                <w:jc w:val="both"/>
                <w:outlineLvl w:val="5"/>
                <w:rPr>
                  <w:rFonts w:eastAsia="Calibri"/>
                  <w:b/>
                  <w:szCs w:val="24"/>
                  <w:lang w:eastAsia="lt-LT"/>
                </w:rPr>
              </w:pPr>
              <w:sdt>
                <w:sdtPr>
                  <w:alias w:val="Numeris"/>
                  <w:tag w:val="nr_97e9057df2544f2599d7837d44a37fe8"/>
                  <w:lock w:val="sdtLocked"/>
                  <w:richText/>
                </w:sdtPr>
                <w:sdtContent>
                  <w:r>
                    <w:rPr>
                      <w:rFonts w:eastAsia="Calibri"/>
                      <w:b/>
                      <w:szCs w:val="24"/>
                      <w:lang w:eastAsia="lt-LT"/>
                    </w:rPr>
                    <w:t>1</w:t>
                  </w:r>
                </w:sdtContent>
              </w:sdt>
              <w:r>
                <w:rPr>
                  <w:rFonts w:eastAsia="Calibri"/>
                  <w:b/>
                  <w:szCs w:val="24"/>
                  <w:lang w:eastAsia="lt-LT"/>
                </w:rPr>
                <w:t>.</w:t>
                <w:tab/>
                <w:t xml:space="preserve">Sprendimo projekto tikslai ir uždaviniai, kiti sprendimui priimti reikalingi pagrindimai. </w:t>
              </w:r>
            </w:p>
            <w:p w14:paraId="6D8C5B0E" w14:textId="3FA6153D">
              <w:pPr>
                <w:ind w:firstLine="720"/>
                <w:jc w:val="both"/>
                <w:rPr>
                  <w:rFonts w:eastAsia="Calibri"/>
                  <w:szCs w:val="24"/>
                  <w:lang w:eastAsia="lt-LT"/>
                </w:rPr>
              </w:pPr>
              <w:r>
                <w:rPr>
                  <w:rFonts w:eastAsia="Calibri"/>
                  <w:szCs w:val="24"/>
                  <w:lang w:eastAsia="lt-LT"/>
                </w:rPr>
                <w:t xml:space="preserve">Sprendimo projekto tikslas – patvirtinti naujai parengtą Jonavos rajono savivaldybės turto perdavimo panaudos pagrindais laikinai neatlygintinai valdyti ir naudotis tvarkos aprašą (toliau – Aprašas), siekiant įgyvendinti Lietuvos Respublikos </w:t>
              </w:r>
              <w:r>
                <w:rPr>
                  <w:iCs/>
                  <w:szCs w:val="24"/>
                  <w:lang w:eastAsia="lt-LT"/>
                </w:rPr>
                <w:t xml:space="preserve">valstybės ir savivaldybių turto valdymo, naudojimo ir disponavimo  juo  įstatymo </w:t>
              </w:r>
              <w:r>
                <w:rPr>
                  <w:szCs w:val="24"/>
                </w:rPr>
                <w:t>Nr. VIII-729 pakeitimo įstatymo Nr. XV-527 nuostatas</w:t>
              </w:r>
              <w:r>
                <w:rPr>
                  <w:rFonts w:eastAsia="Calibri"/>
                  <w:szCs w:val="24"/>
                  <w:lang w:eastAsia="lt-LT"/>
                </w:rPr>
                <w:t xml:space="preserve">, kuriomis pakeistas ir nauja redakcija išdėstytas Lietuvos Respublikos </w:t>
              </w:r>
              <w:r>
                <w:rPr>
                  <w:iCs/>
                  <w:szCs w:val="24"/>
                  <w:lang w:eastAsia="lt-LT"/>
                </w:rPr>
                <w:t xml:space="preserve">valstybės ir savivaldybių turto valdymo, naudojimo ir disponavimo  juo  įstatymas (toliau – Įstatymas), kuris įsigaliojo 2026 m. birželio 1 d.</w:t>
              </w:r>
              <w:r>
                <w:rPr>
                  <w:rFonts w:eastAsia="Calibri"/>
                  <w:szCs w:val="24"/>
                  <w:lang w:eastAsia="lt-LT"/>
                </w:rPr>
                <w:t xml:space="preserve"> </w:t>
              </w:r>
            </w:p>
            <w:p w14:paraId="5934F472" w14:textId="77777777">
              <w:pPr>
                <w:ind w:firstLine="720"/>
                <w:jc w:val="both"/>
                <w:rPr>
                  <w:rFonts w:eastAsia="Calibri"/>
                  <w:szCs w:val="24"/>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3"/>
                <w:gridCol w:w="4961"/>
              </w:tblGrid>
              <w:tr w14:paraId="501107DC" w14:textId="77777777">
                <w:tc>
                  <w:tcPr>
                    <w:tcW w:w="4673" w:type="dxa"/>
                  </w:tcPr>
                  <w:p w14:paraId="082AD5F7" w14:textId="77777777">
                    <w:pPr>
                      <w:ind w:firstLine="720"/>
                      <w:jc w:val="center"/>
                      <w:rPr>
                        <w:rFonts w:eastAsia="Calibri"/>
                        <w:b/>
                        <w:sz w:val="23"/>
                        <w:szCs w:val="23"/>
                        <w:lang w:eastAsia="lt-LT"/>
                      </w:rPr>
                    </w:pPr>
                    <w:r>
                      <w:rPr>
                        <w:rFonts w:eastAsia="Calibri"/>
                        <w:b/>
                        <w:sz w:val="23"/>
                        <w:szCs w:val="23"/>
                        <w:lang w:eastAsia="lt-LT"/>
                      </w:rPr>
                      <w:t>Pakeitimo esmė</w:t>
                    </w:r>
                  </w:p>
                </w:tc>
                <w:tc>
                  <w:tcPr>
                    <w:tcW w:w="4961" w:type="dxa"/>
                  </w:tcPr>
                  <w:p w14:paraId="6E5F10B6" w14:textId="77777777">
                    <w:pPr>
                      <w:ind w:firstLine="720"/>
                      <w:jc w:val="center"/>
                      <w:rPr>
                        <w:rFonts w:eastAsia="Calibri"/>
                        <w:b/>
                        <w:sz w:val="23"/>
                        <w:szCs w:val="23"/>
                        <w:lang w:eastAsia="lt-LT"/>
                      </w:rPr>
                    </w:pPr>
                    <w:r>
                      <w:rPr>
                        <w:rFonts w:eastAsia="Calibri"/>
                        <w:b/>
                        <w:sz w:val="23"/>
                        <w:szCs w:val="23"/>
                        <w:lang w:eastAsia="lt-LT"/>
                      </w:rPr>
                      <w:t>Pakeitimo priežastis</w:t>
                    </w:r>
                  </w:p>
                </w:tc>
              </w:tr>
              <w:tr w14:paraId="22DAD01A" w14:textId="77777777">
                <w:tc>
                  <w:tcPr>
                    <w:tcW w:w="4673" w:type="dxa"/>
                  </w:tcPr>
                  <w:p w14:paraId="04A8E827" w14:textId="6BB51A2D">
                    <w:pPr>
                      <w:jc w:val="both"/>
                      <w:rPr>
                        <w:rFonts w:eastAsia="Calibri"/>
                        <w:sz w:val="22"/>
                        <w:szCs w:val="22"/>
                        <w:lang w:eastAsia="lt-LT"/>
                      </w:rPr>
                    </w:pPr>
                    <w:r>
                      <w:rPr>
                        <w:rFonts w:eastAsia="Calibri"/>
                        <w:sz w:val="22"/>
                        <w:szCs w:val="22"/>
                      </w:rPr>
                      <w:t xml:space="preserve">Sprendimu savivaldybės administracijos direktorius įgaliojamas </w:t>
                    </w:r>
                    <w:r>
                      <w:rPr>
                        <w:color w:val="000000"/>
                        <w:sz w:val="22"/>
                        <w:szCs w:val="22"/>
                        <w:lang w:eastAsia="lt-LT"/>
                      </w:rPr>
                      <w:t xml:space="preserve">priimti sprendimus dėl </w:t>
                    </w:r>
                    <w:r>
                      <w:rPr>
                        <w:sz w:val="22"/>
                        <w:szCs w:val="22"/>
                        <w:lang w:eastAsia="lt-LT"/>
                      </w:rPr>
                      <w:t xml:space="preserve">Jonavos rajono </w:t>
                    </w:r>
                    <w:r>
                      <w:rPr>
                        <w:color w:val="000000"/>
                        <w:sz w:val="22"/>
                        <w:szCs w:val="22"/>
                        <w:lang w:eastAsia="lt-LT"/>
                      </w:rPr>
                      <w:t>savivaldybei nuosavybės teise priklausančio turto perdavimo panaudos pagrindais</w:t>
                    </w:r>
                    <w:r>
                      <w:rPr>
                        <w:rFonts w:eastAsia="Calibri"/>
                        <w:sz w:val="22"/>
                        <w:szCs w:val="22"/>
                      </w:rPr>
                      <w:t xml:space="preserve"> bei </w:t>
                    </w:r>
                    <w:r>
                      <w:rPr>
                        <w:color w:val="000000"/>
                        <w:sz w:val="22"/>
                        <w:szCs w:val="22"/>
                        <w:lang w:eastAsia="lt-LT"/>
                      </w:rPr>
                      <w:t xml:space="preserve">sudaryti </w:t>
                    </w:r>
                    <w:r>
                      <w:rPr>
                        <w:sz w:val="22"/>
                        <w:szCs w:val="22"/>
                        <w:lang w:eastAsia="lt-LT"/>
                      </w:rPr>
                      <w:t xml:space="preserve">Jonavos rajono </w:t>
                    </w:r>
                    <w:r>
                      <w:rPr>
                        <w:color w:val="000000"/>
                        <w:sz w:val="22"/>
                        <w:szCs w:val="22"/>
                        <w:lang w:eastAsia="lt-LT"/>
                      </w:rPr>
                      <w:t xml:space="preserve">savivaldybės administracijos patikėjimo teise valdomo savivaldybės turto panaudos sutartis, o kitų savivaldybės biudžetinių įstaigų vadovai įgaliojami sudaryti panaudos sutartis su panaudos gavėjais, bet tik savivaldybės administracijos direktoriui priėmus sprendimą. </w:t>
                    </w:r>
                  </w:p>
                </w:tc>
                <w:tc>
                  <w:tcPr>
                    <w:tcW w:w="4961" w:type="dxa"/>
                  </w:tcPr>
                  <w:p w14:paraId="5EDEC28F" w14:textId="2018073A">
                    <w:pPr>
                      <w:jc w:val="both"/>
                      <w:rPr>
                        <w:rFonts w:eastAsia="Calibri"/>
                        <w:sz w:val="22"/>
                        <w:szCs w:val="22"/>
                        <w:lang w:eastAsia="lt-LT"/>
                      </w:rPr>
                    </w:pPr>
                    <w:r>
                      <w:rPr>
                        <w:rFonts w:eastAsia="Calibri"/>
                        <w:sz w:val="22"/>
                        <w:szCs w:val="22"/>
                        <w:lang w:eastAsia="lt-LT"/>
                      </w:rPr>
                      <w:t>Nuo 2026 m. birželio 1 d. įsigaliojusio nauja redakcija išdėstyto Į</w:t>
                    </w:r>
                    <w:r>
                      <w:rPr>
                        <w:iCs/>
                        <w:sz w:val="22"/>
                        <w:szCs w:val="22"/>
                        <w:lang w:eastAsia="lt-LT"/>
                      </w:rPr>
                      <w:t xml:space="preserve">statymo </w:t>
                    </w:r>
                    <w:r>
                      <w:rPr>
                        <w:sz w:val="22"/>
                        <w:szCs w:val="22"/>
                      </w:rPr>
                      <w:t xml:space="preserve">14 straipsnio 4 dalis numato, kad sprendimą dėl savivaldybės turto perdavimo panaudos pagrindais priima savivaldybės taryba arba jos įgalioti savivaldybės turto valdytojai savivaldybės tarybos nustatyta tvarka ir atvejais. </w:t>
                    </w:r>
                    <w:r>
                      <w:rPr>
                        <w:bCs/>
                        <w:sz w:val="22"/>
                        <w:szCs w:val="22"/>
                      </w:rPr>
                      <w:t>Savivaldybės turto panaudos sutartį su panaudos subjektais sudaro savivaldybės tarybos įgaliotas savivaldybės turto valdytojas.</w:t>
                    </w:r>
                  </w:p>
                </w:tc>
              </w:tr>
              <w:tr w14:paraId="6A0744E6" w14:textId="77777777">
                <w:tc>
                  <w:tcPr>
                    <w:tcW w:w="4673" w:type="dxa"/>
                  </w:tcPr>
                  <w:p w14:paraId="13AADB74" w14:textId="554EBF3A">
                    <w:pPr>
                      <w:jc w:val="both"/>
                      <w:rPr>
                        <w:rFonts w:eastAsia="Calibri"/>
                        <w:sz w:val="22"/>
                        <w:szCs w:val="22"/>
                      </w:rPr>
                    </w:pPr>
                    <w:r>
                      <w:rPr>
                        <w:rFonts w:eastAsia="Calibri"/>
                        <w:sz w:val="22"/>
                        <w:szCs w:val="22"/>
                      </w:rPr>
                      <w:t>Atsižvelgiant į pakeitimus, susijusius su sprendimų priėmimu (juos priima administracijos direktorius savo įsakymais), atitinkamai keičiami Aprašo 6, 7, 9, 10, 11 ir 17 punktai, Aprašas papildytas 12 punktu. Atitinkami koreguoti panaudos sutarties ir perdavimo-priėmimo akto kai kurie punktai.</w:t>
                    </w:r>
                  </w:p>
                </w:tc>
                <w:tc>
                  <w:tcPr>
                    <w:tcW w:w="4961" w:type="dxa"/>
                  </w:tcPr>
                  <w:p w14:paraId="1CB1BF5E" w14:textId="2DE8C1C5">
                    <w:pPr>
                      <w:jc w:val="both"/>
                      <w:rPr>
                        <w:rFonts w:eastAsia="Calibri"/>
                        <w:color w:val="000000"/>
                        <w:sz w:val="22"/>
                        <w:szCs w:val="22"/>
                      </w:rPr>
                    </w:pPr>
                    <w:r>
                      <w:rPr>
                        <w:rFonts w:eastAsia="Calibri"/>
                        <w:color w:val="000000"/>
                        <w:sz w:val="22"/>
                        <w:szCs w:val="22"/>
                      </w:rPr>
                      <w:t xml:space="preserve">Susiję su </w:t>
                    </w:r>
                    <w:r>
                      <w:rPr>
                        <w:color w:val="000000"/>
                        <w:sz w:val="22"/>
                        <w:szCs w:val="22"/>
                      </w:rPr>
                      <w:t>Į</w:t>
                    </w:r>
                    <w:r>
                      <w:rPr>
                        <w:iCs/>
                        <w:sz w:val="22"/>
                        <w:szCs w:val="22"/>
                        <w:lang w:eastAsia="lt-LT"/>
                      </w:rPr>
                      <w:t xml:space="preserve">statymo </w:t>
                    </w:r>
                    <w:r>
                      <w:rPr>
                        <w:sz w:val="22"/>
                        <w:szCs w:val="22"/>
                      </w:rPr>
                      <w:t>14 straipsnio 4 dalies pakeitimais</w:t>
                    </w:r>
                    <w:r>
                      <w:rPr>
                        <w:sz w:val="22"/>
                        <w:szCs w:val="22"/>
                        <w:lang w:val="en-GB"/>
                      </w:rPr>
                      <w:t xml:space="preserve">. </w:t>
                    </w:r>
                  </w:p>
                </w:tc>
              </w:tr>
              <w:tr w14:paraId="19D99023" w14:textId="77777777">
                <w:tc>
                  <w:tcPr>
                    <w:tcW w:w="4673" w:type="dxa"/>
                  </w:tcPr>
                  <w:p w14:paraId="0BA79053" w14:textId="1745C3CC">
                    <w:pPr>
                      <w:jc w:val="both"/>
                      <w:rPr>
                        <w:rFonts w:eastAsia="Calibri"/>
                        <w:sz w:val="22"/>
                        <w:szCs w:val="22"/>
                      </w:rPr>
                    </w:pPr>
                    <w:r>
                      <w:rPr>
                        <w:rFonts w:eastAsia="Calibri"/>
                        <w:sz w:val="22"/>
                        <w:szCs w:val="22"/>
                        <w:lang w:eastAsia="lt-LT"/>
                      </w:rPr>
                      <w:t>Apraše pakoreguotos kai kurios kitos nuostatos (papildant, kad panaudos sutartis ir perdavimo-priėmimo aktas gali būti pasirašomi ne tik fiziniais, bet ir elektroniniais parašais, ir t. t.).</w:t>
                    </w:r>
                    <w:r>
                      <w:rPr>
                        <w:rFonts w:eastAsia="Calibri"/>
                        <w:sz w:val="22"/>
                        <w:szCs w:val="22"/>
                      </w:rPr>
                      <w:t xml:space="preserve"> </w:t>
                    </w:r>
                  </w:p>
                  <w:p w14:paraId="1B598D9B" w14:textId="0A06A5AD">
                    <w:pPr>
                      <w:jc w:val="both"/>
                      <w:rPr>
                        <w:rFonts w:eastAsia="Calibri"/>
                        <w:sz w:val="22"/>
                        <w:szCs w:val="22"/>
                      </w:rPr>
                    </w:pPr>
                    <w:r>
                      <w:rPr>
                        <w:rFonts w:eastAsia="Calibri"/>
                        <w:sz w:val="22"/>
                        <w:szCs w:val="22"/>
                      </w:rPr>
                      <w:t>Aprašas papildytas nuostatomis dėl jo vykdymo priežiūros bei kontrolės (18-20 p.).</w:t>
                    </w:r>
                  </w:p>
                </w:tc>
                <w:tc>
                  <w:tcPr>
                    <w:tcW w:w="4961" w:type="dxa"/>
                  </w:tcPr>
                  <w:p w14:paraId="559A41C2" w14:textId="2D74EFD8">
                    <w:pPr>
                      <w:rPr>
                        <w:rFonts w:eastAsia="Calibri"/>
                        <w:sz w:val="22"/>
                        <w:szCs w:val="22"/>
                        <w:lang w:eastAsia="lt-LT"/>
                      </w:rPr>
                    </w:pPr>
                    <w:r>
                      <w:rPr>
                        <w:rFonts w:eastAsia="Calibri"/>
                        <w:sz w:val="22"/>
                        <w:szCs w:val="22"/>
                        <w:lang w:eastAsia="lt-LT"/>
                      </w:rPr>
                      <w:t>Aprašas jau du kartus buvo keistas, todėl tvirtinamas naujai – pateikiamas lyginamasis variantas.</w:t>
                    </w:r>
                  </w:p>
                </w:tc>
              </w:tr>
            </w:tbl>
            <w:p w14:paraId="156FD30E" w14:textId="77777777">
              <w:pPr>
                <w:ind w:firstLine="720"/>
                <w:jc w:val="both"/>
                <w:rPr>
                  <w:rFonts w:eastAsia="Calibri"/>
                  <w:szCs w:val="24"/>
                  <w:lang w:eastAsia="lt-LT"/>
                </w:rPr>
              </w:pPr>
            </w:p>
          </w:sdtContent>
        </w:sdt>
        <w:sdt>
          <w:sdtPr>
            <w:alias w:val="2 p."/>
            <w:tag w:val="part_7330bea907c143b0aed778a1cd62593a"/>
            <w:lock w:val="sdtLocked"/>
            <w:richText/>
          </w:sdtPr>
          <w:sdtContent>
            <w:p w14:paraId="3250CBCA" w14:textId="77777777">
              <w:pPr>
                <w:overflowPunct w:val="0"/>
                <w:ind w:left="1069" w:hanging="360"/>
                <w:jc w:val="both"/>
                <w:outlineLvl w:val="5"/>
                <w:rPr>
                  <w:rFonts w:eastAsia="Calibri"/>
                  <w:b/>
                  <w:szCs w:val="24"/>
                  <w:lang w:eastAsia="lt-LT"/>
                </w:rPr>
              </w:pPr>
              <w:sdt>
                <w:sdtPr>
                  <w:alias w:val="Numeris"/>
                  <w:tag w:val="nr_7330bea907c143b0aed778a1cd62593a"/>
                  <w:lock w:val="sdtLocked"/>
                  <w:richText/>
                </w:sdtPr>
                <w:sdtContent>
                  <w:r>
                    <w:rPr>
                      <w:rFonts w:eastAsia="Calibri"/>
                      <w:b/>
                      <w:szCs w:val="24"/>
                      <w:lang w:eastAsia="lt-LT"/>
                    </w:rPr>
                    <w:t>2</w:t>
                  </w:r>
                </w:sdtContent>
              </w:sdt>
              <w:r>
                <w:rPr>
                  <w:rFonts w:eastAsia="Calibri"/>
                  <w:b/>
                  <w:szCs w:val="24"/>
                  <w:lang w:eastAsia="lt-LT"/>
                </w:rPr>
                <w:t>.</w:t>
                <w:tab/>
                <w:t>Teisinis reglamentavimas, kuriuo vadovaujantis parengtas sprendimo projektas. Keičiami/naikinami teisės aktai priimant sprendimą.</w:t>
              </w:r>
            </w:p>
            <w:p w14:paraId="60A6D3CE" w14:textId="77777777">
              <w:pPr>
                <w:ind w:firstLine="720"/>
                <w:jc w:val="both"/>
                <w:rPr>
                  <w:szCs w:val="24"/>
                </w:rPr>
              </w:pPr>
              <w:r>
                <w:rPr>
                  <w:szCs w:val="24"/>
                  <w:lang w:eastAsia="lt-LT"/>
                </w:rPr>
                <w:t xml:space="preserve">Lietuvos Respublikos </w:t>
              </w:r>
              <w:r>
                <w:rPr>
                  <w:szCs w:val="24"/>
                </w:rPr>
                <w:t>vietos savivaldos įstatymo 15 straipsnio 2 dalies 19 punktas numato savivaldybės tarybos išimtinę kompetenciją įgyvendinti savivaldybei nuosavybės teise priklausančio turto savininko funkcijas įstatymų nustatyta tvarka.</w:t>
              </w:r>
            </w:p>
            <w:p w14:paraId="7B18745A" w14:textId="4ED51F1F">
              <w:pPr>
                <w:ind w:firstLine="720"/>
                <w:jc w:val="both"/>
                <w:rPr>
                  <w:szCs w:val="24"/>
                </w:rPr>
              </w:pPr>
              <w:r>
                <w:rPr>
                  <w:szCs w:val="24"/>
                </w:rPr>
                <w:t>Lietuvos Respublikos valstybės ir savivaldybių turto valdymo, naudojimo ir disponavimo juo įstatymo (toliau – Įstatymas) 8 straipsnio 1 dalis numato, kad savivaldybių turto savininko funkcijas vadovaudamosi įstatymais atlieka savivaldybių tarybos; Įstatymo 14 straipsnio 1 dalis numato, kad savivaldybių turtas gali būti perduodamas panaudos pagrindais laikinai neatlygintinai valdyti ir naudotis juo savivaldybės tarybos nustatyta tvarka, kitos Įstatymo 14 straipsnio dalys reglamentuoja šio turto perdavimo panaudos pagrindais sąlygas ir tvarką.</w:t>
              </w:r>
            </w:p>
            <w:p w14:paraId="74349DD3" w14:textId="77777777">
              <w:pPr>
                <w:ind w:firstLine="720"/>
                <w:jc w:val="both"/>
                <w:rPr>
                  <w:sz w:val="10"/>
                  <w:szCs w:val="10"/>
                </w:rPr>
              </w:pPr>
            </w:p>
          </w:sdtContent>
        </w:sdt>
        <w:sdt>
          <w:sdtPr>
            <w:alias w:val="3 p."/>
            <w:tag w:val="part_6880ee51abd7481093d11e995c5194c7"/>
            <w:lock w:val="sdtLocked"/>
            <w:richText/>
          </w:sdtPr>
          <w:sdtContent>
            <w:p w14:paraId="21978EAE" w14:textId="77777777">
              <w:pPr>
                <w:overflowPunct w:val="0"/>
                <w:ind w:left="1069" w:hanging="360"/>
                <w:jc w:val="both"/>
                <w:outlineLvl w:val="5"/>
                <w:rPr>
                  <w:rFonts w:eastAsia="Calibri"/>
                  <w:b/>
                  <w:szCs w:val="24"/>
                  <w:lang w:eastAsia="lt-LT"/>
                </w:rPr>
              </w:pPr>
              <w:sdt>
                <w:sdtPr>
                  <w:alias w:val="Numeris"/>
                  <w:tag w:val="nr_6880ee51abd7481093d11e995c5194c7"/>
                  <w:lock w:val="sdtLocked"/>
                  <w:richText/>
                </w:sdtPr>
                <w:sdtContent>
                  <w:r>
                    <w:rPr>
                      <w:rFonts w:eastAsia="Calibri"/>
                      <w:b/>
                      <w:szCs w:val="24"/>
                      <w:lang w:eastAsia="lt-LT"/>
                    </w:rPr>
                    <w:t>3</w:t>
                  </w:r>
                </w:sdtContent>
              </w:sdt>
              <w:r>
                <w:rPr>
                  <w:rFonts w:eastAsia="Calibri"/>
                  <w:b/>
                  <w:szCs w:val="24"/>
                  <w:lang w:eastAsia="lt-LT"/>
                </w:rPr>
                <w:t>.</w:t>
                <w:tab/>
                <w:t>Laukiami sprendimo priėmimo rezultatai.</w:t>
              </w:r>
            </w:p>
            <w:p w14:paraId="4E4979C2" w14:textId="77777777">
              <w:pPr>
                <w:ind w:firstLine="720"/>
                <w:jc w:val="both"/>
                <w:rPr>
                  <w:szCs w:val="24"/>
                </w:rPr>
              </w:pPr>
              <w:r>
                <w:rPr>
                  <w:rFonts w:eastAsia="Calibri"/>
                  <w:szCs w:val="24"/>
                  <w:lang w:eastAsia="lt-LT"/>
                </w:rPr>
                <w:t xml:space="preserve">Priėmus </w:t>
              </w:r>
              <w:r>
                <w:rPr>
                  <w:rFonts w:eastAsia="Calibri"/>
                  <w:color w:val="000000"/>
                  <w:szCs w:val="24"/>
                  <w:lang w:eastAsia="lt-LT"/>
                </w:rPr>
                <w:t xml:space="preserve">sprendimą, </w:t>
              </w:r>
              <w:r>
                <w:rPr>
                  <w:szCs w:val="24"/>
                </w:rPr>
                <w:t>Aprašas atitiks šiuo metu galiojančius teisės aktus</w:t>
              </w:r>
              <w:r>
                <w:rPr>
                  <w:rFonts w:eastAsia="Calibri"/>
                  <w:szCs w:val="24"/>
                  <w:lang w:eastAsia="lt-LT"/>
                </w:rPr>
                <w:t xml:space="preserve">. </w:t>
              </w:r>
              <w:r>
                <w:rPr>
                  <w:szCs w:val="24"/>
                </w:rPr>
                <w:t xml:space="preserve">Neigiamų pasekmių nenumatoma. </w:t>
              </w:r>
            </w:p>
            <w:p w14:paraId="73D0EB6E" w14:textId="77777777">
              <w:pPr>
                <w:rPr>
                  <w:sz w:val="10"/>
                  <w:szCs w:val="10"/>
                </w:rPr>
              </w:pPr>
            </w:p>
          </w:sdtContent>
        </w:sdt>
        <w:sdt>
          <w:sdtPr>
            <w:alias w:val="4 p."/>
            <w:tag w:val="part_2839e7a2a714436ca99475f2b6954e67"/>
            <w:lock w:val="sdtLocked"/>
            <w:richText/>
          </w:sdtPr>
          <w:sdtContent>
            <w:p w14:paraId="30E4C0A4" w14:textId="77777777">
              <w:pPr>
                <w:overflowPunct w:val="0"/>
                <w:ind w:left="1069" w:hanging="360"/>
                <w:jc w:val="both"/>
                <w:outlineLvl w:val="5"/>
                <w:rPr>
                  <w:rFonts w:eastAsia="Calibri"/>
                  <w:b/>
                  <w:szCs w:val="24"/>
                  <w:lang w:eastAsia="lt-LT"/>
                </w:rPr>
              </w:pPr>
              <w:sdt>
                <w:sdtPr>
                  <w:alias w:val="Numeris"/>
                  <w:tag w:val="nr_2839e7a2a714436ca99475f2b6954e67"/>
                  <w:lock w:val="sdtLocked"/>
                  <w:richText/>
                </w:sdtPr>
                <w:sdtContent>
                  <w:r>
                    <w:rPr>
                      <w:rFonts w:eastAsia="Calibri"/>
                      <w:b/>
                      <w:szCs w:val="24"/>
                      <w:lang w:eastAsia="lt-LT"/>
                    </w:rPr>
                    <w:t>4</w:t>
                  </w:r>
                </w:sdtContent>
              </w:sdt>
              <w:r>
                <w:rPr>
                  <w:rFonts w:eastAsia="Calibri"/>
                  <w:b/>
                  <w:szCs w:val="24"/>
                  <w:lang w:eastAsia="lt-LT"/>
                </w:rPr>
                <w:t>.</w:t>
                <w:tab/>
                <w:t>Lėšų poreikis ir šaltiniai reikalingi sprendimo priėmimui.</w:t>
              </w:r>
            </w:p>
            <w:p w14:paraId="52BF19C9" w14:textId="77777777">
              <w:pPr>
                <w:overflowPunct w:val="0"/>
                <w:ind w:left="1069" w:hanging="360"/>
                <w:jc w:val="both"/>
                <w:outlineLvl w:val="5"/>
                <w:rPr>
                  <w:szCs w:val="24"/>
                  <w:lang w:eastAsia="lt-LT"/>
                </w:rPr>
              </w:pPr>
              <w:r>
                <w:rPr>
                  <w:szCs w:val="24"/>
                  <w:lang w:eastAsia="lt-LT"/>
                </w:rPr>
                <w:t>Sprendimo priėmimui papildomų lėšų poreikis nenumatomas.</w:t>
              </w:r>
            </w:p>
            <w:p w14:paraId="084D156E" w14:textId="77777777">
              <w:pPr>
                <w:jc w:val="both"/>
                <w:rPr>
                  <w:sz w:val="10"/>
                  <w:szCs w:val="10"/>
                  <w:lang w:eastAsia="lt-LT"/>
                </w:rPr>
              </w:pPr>
            </w:p>
          </w:sdtContent>
        </w:sdt>
        <w:sdt>
          <w:sdtPr>
            <w:alias w:val="5 p."/>
            <w:tag w:val="part_885d3a5f7aa84374af1692d82308a550"/>
            <w:lock w:val="sdtLocked"/>
            <w:richText/>
          </w:sdtPr>
          <w:sdtContent>
            <w:p w14:paraId="103BD589" w14:textId="77777777">
              <w:pPr>
                <w:overflowPunct w:val="0"/>
                <w:ind w:left="1069" w:hanging="360"/>
                <w:jc w:val="both"/>
                <w:outlineLvl w:val="5"/>
                <w:rPr>
                  <w:rFonts w:eastAsia="Calibri"/>
                  <w:b/>
                  <w:bCs/>
                  <w:szCs w:val="24"/>
                  <w:lang w:eastAsia="lt-LT"/>
                </w:rPr>
              </w:pPr>
              <w:sdt>
                <w:sdtPr>
                  <w:alias w:val="Numeris"/>
                  <w:tag w:val="nr_885d3a5f7aa84374af1692d82308a550"/>
                  <w:lock w:val="sdtLocked"/>
                  <w:richText/>
                </w:sdtPr>
                <w:sdtContent>
                  <w:r>
                    <w:rPr>
                      <w:rFonts w:eastAsia="Calibri"/>
                      <w:b/>
                      <w:bCs/>
                      <w:szCs w:val="24"/>
                      <w:lang w:eastAsia="lt-LT"/>
                    </w:rPr>
                    <w:t>5</w:t>
                  </w:r>
                </w:sdtContent>
              </w:sdt>
              <w:r>
                <w:rPr>
                  <w:rFonts w:eastAsia="Calibri"/>
                  <w:b/>
                  <w:bCs/>
                  <w:szCs w:val="24"/>
                  <w:lang w:eastAsia="lt-LT"/>
                </w:rPr>
                <w:t>.</w:t>
                <w:tab/>
              </w:r>
              <w:r>
                <w:rPr>
                  <w:rFonts w:eastAsia="Calibri"/>
                  <w:b/>
                  <w:szCs w:val="24"/>
                  <w:lang w:eastAsia="lt-LT"/>
                </w:rPr>
                <w:t>Antikorupcinis</w:t>
              </w:r>
              <w:r>
                <w:rPr>
                  <w:rFonts w:eastAsia="Calibri"/>
                  <w:b/>
                  <w:bCs/>
                  <w:szCs w:val="24"/>
                  <w:lang w:eastAsia="lt-LT"/>
                </w:rPr>
                <w:t xml:space="preserve"> vertinimas.         </w:t>
              </w:r>
            </w:p>
            <w:p w14:paraId="627BA190" w14:textId="52EFDC4A">
              <w:pPr>
                <w:ind w:firstLine="720"/>
                <w:jc w:val="both"/>
                <w:rPr>
                  <w:szCs w:val="24"/>
                </w:rPr>
              </w:pPr>
              <w:r>
                <w:rPr>
                  <w:szCs w:val="24"/>
                </w:rPr>
                <w:t>Vadovaujantis Korupcijos prevencijos įstatymo nuostatomis, sprendimo projekto antikorupcinis vertinimas atliekamas, nes sprendime numatoma reguliuoti visuomeninius santykius, numatytus šio įstatymo 8 straipsnio 1 dalies 1 punkte. Sprendimo projekto antikorupcinio vertinimo pažyma pridedama.</w:t>
              </w:r>
            </w:p>
            <w:p w14:paraId="3BF20561" w14:textId="77777777">
              <w:pPr>
                <w:rPr>
                  <w:szCs w:val="24"/>
                </w:rPr>
              </w:pPr>
            </w:p>
            <w:p w14:paraId="4EC51B93" w14:textId="77777777">
              <w:pPr>
                <w:rPr>
                  <w:szCs w:val="24"/>
                </w:rPr>
              </w:pPr>
            </w:p>
            <w:p w14:paraId="4793CDD8" w14:textId="77777777">
              <w:pPr>
                <w:rPr>
                  <w:szCs w:val="24"/>
                </w:rPr>
              </w:pPr>
            </w:p>
            <w:p w14:paraId="0CBFB4B0" w14:textId="77777777">
              <w:pPr>
                <w:rPr>
                  <w:szCs w:val="24"/>
                </w:rPr>
              </w:pPr>
            </w:p>
            <w:p w14:paraId="1DFB9E7E" w14:textId="77777777">
              <w:pPr>
                <w:rPr>
                  <w:szCs w:val="24"/>
                </w:rPr>
              </w:pPr>
            </w:p>
            <w:p w14:paraId="7482FDA5" w14:textId="77777777">
              <w:pPr>
                <w:rPr>
                  <w:szCs w:val="24"/>
                </w:rPr>
              </w:pPr>
            </w:p>
          </w:sdtContent>
        </w:sdt>
        <w:sdt>
          <w:sdtPr>
            <w:alias w:val="signatura"/>
            <w:tag w:val="part_f671f45e77f3409c9326cbde7f2f53c8"/>
            <w:lock w:val="sdtLocked"/>
            <w:richText/>
          </w:sdtPr>
          <w:sdtContent>
            <w:p w14:paraId="66F889F2" w14:textId="77777777">
              <w:pPr>
                <w:rPr>
                  <w:szCs w:val="24"/>
                </w:rPr>
              </w:pPr>
              <w:r>
                <w:rPr>
                  <w:szCs w:val="24"/>
                </w:rPr>
                <w:t xml:space="preserve">Turto ir aplinkos apsaugos skyriaus </w:t>
              </w:r>
            </w:p>
            <w:p w14:paraId="7ABFBF39" w14:textId="077A10CA">
              <w:pPr>
                <w:rPr>
                  <w:sz w:val="20"/>
                  <w:lang w:val="en-GB"/>
                </w:rPr>
              </w:pPr>
              <w:r>
                <w:rPr>
                  <w:szCs w:val="24"/>
                </w:rPr>
                <w:t xml:space="preserve">vyriausioji specialistė </w:t>
                <w:tab/>
                <w:t xml:space="preserve">                                                                              Rosita Saladinskienė</w:t>
              </w:r>
            </w:p>
            <w:p w14:paraId="2917F255" w14:textId="77777777"/>
            <w:p w14:paraId="4C190168" w14:textId="77777777">
              <w:pPr>
                <w:rPr>
                  <w:sz w:val="20"/>
                  <w:lang w:val="en-GB"/>
                </w:rPr>
              </w:pPr>
            </w:p>
          </w:sdtContent>
        </w:sdt>
      </w:sdtContent>
    </w:sdt>
    <w:sectPr>
      <w:headerReference w:type="default" r:id="rId6"/>
      <w:pgSz w:w="11906" w:h="16838"/>
      <w:pgMar w:top="993" w:right="567" w:bottom="709"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6EBE7F" w14:textId="77777777">
      <w:pPr>
        <w:rPr>
          <w:sz w:val="20"/>
          <w:lang w:val="en-GB"/>
        </w:rPr>
      </w:pPr>
      <w:r>
        <w:rPr>
          <w:sz w:val="20"/>
          <w:lang w:val="en-GB"/>
        </w:rPr>
        <w:separator/>
      </w:r>
    </w:p>
  </w:endnote>
  <w:endnote w:type="continuationSeparator" w:id="0">
    <w:p w14:paraId="186F55A3" w14:textId="77777777">
      <w:pPr>
        <w:rPr>
          <w:sz w:val="20"/>
          <w:lang w:val="en-GB"/>
        </w:rPr>
      </w:pPr>
      <w:r>
        <w:rPr>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C65E3D" w14:textId="77777777">
      <w:pPr>
        <w:rPr>
          <w:sz w:val="20"/>
          <w:lang w:val="en-GB"/>
        </w:rPr>
      </w:pPr>
      <w:r>
        <w:rPr>
          <w:sz w:val="20"/>
          <w:lang w:val="en-GB"/>
        </w:rPr>
        <w:separator/>
      </w:r>
    </w:p>
  </w:footnote>
  <w:footnote w:type="continuationSeparator" w:id="0">
    <w:p w14:paraId="379BB1E3" w14:textId="77777777">
      <w:pPr>
        <w:rPr>
          <w:sz w:val="20"/>
          <w:lang w:val="en-GB"/>
        </w:rPr>
      </w:pPr>
      <w:r>
        <w:rPr>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86DD7" w14:textId="1B137301">
    <w:pPr>
      <w:tabs>
        <w:tab w:val="center" w:pos="4819"/>
        <w:tab w:val="right" w:pos="9638"/>
      </w:tabs>
      <w:rPr>
        <w:sz w:val="20"/>
        <w:lang w:val="en-GB"/>
      </w:rPr>
    </w:pPr>
    <w:r>
      <w:rPr>
        <w:sz w:val="20"/>
        <w:lang w:val="en-GB"/>
      </w:rPr>
      <w:ptab w:relativeTo="margin" w:alignment="center" w:leader="none"/>
      <w:ptab w:relativeTo="margin" w:alignment="right" w:leader="none"/>
    </w:r>
    <w:r>
      <w:rPr>
        <w:b/>
        <w:bCs/>
        <w:sz w:val="28"/>
        <w:szCs w:val="28"/>
      </w:rPr>
      <w:t xml:space="preserve"> Projektas</w:t>
    </w:r>
    <w:r>
      <w:rPr>
        <w:b/>
        <w:bCs/>
        <w:sz w:val="28"/>
        <w:szCs w:val="28"/>
        <w:lang w:val="en-GB"/>
      </w:rPr>
      <w:t xml:space="preserve"> Nr. 12 TS - 85</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1C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966CD"/>
  <w15:chartTrackingRefBased/>
  <w15:docId w15:val="{254238F1-9F0C-488C-960B-DBFB67B7F73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86d8abf6059498e84c7483652cdfba4" PartId="c00d375ac46d442fb475a42ebbbe497f">
    <Part Type="punktas" Nr="1" Abbr="1 p." DocPartId="880dbbb831284d8e916728a6cf4d9dc0" PartId="97e9057df2544f2599d7837d44a37fe8"/>
    <Part Type="punktas" Nr="2" Abbr="2 p." DocPartId="91a3e68e63634e7c8fd5554092084810" PartId="7330bea907c143b0aed778a1cd62593a"/>
    <Part Type="punktas" Nr="3" Abbr="3 p." DocPartId="f6789e4eca30419fb8828626923456e6" PartId="6880ee51abd7481093d11e995c5194c7"/>
    <Part Type="punktas" Nr="4" Abbr="4 p." DocPartId="2adbbf1441ee4624b77e15dc0d40cdaf" PartId="2839e7a2a714436ca99475f2b6954e67"/>
    <Part Type="punktas" Nr="5" Abbr="5 p." DocPartId="f34498e534dd47fa89e05d19cd992290" PartId="885d3a5f7aa84374af1692d82308a550"/>
    <Part Type="signatura" DocPartId="cbb459a0259842db871bb6ef4ca0620d" PartId="f671f45e77f3409c9326cbde7f2f53c8"/>
  </Part>
</Parts>
</file>

<file path=customXml/itemProps1.xml><?xml version="1.0" encoding="utf-8"?>
<ds:datastoreItem xmlns:ds="http://schemas.openxmlformats.org/officeDocument/2006/customXml" ds:itemID="{19087481-DDE2-4DE2-990B-CC40CFEF7A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509</Words>
  <Characters>3790</Characters>
  <Application>Microsoft Office Word</Application>
  <DocSecurity>4</DocSecurity>
  <Lines>97</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2026-06-12T09:41:00Z</dcterms:created>
  <dc:creator>Rosita Saladinskienė</dc:creator>
  <lastModifiedBy>adlibuser</lastModifiedBy>
  <dcterms:modified xsi:type="dcterms:W3CDTF">2026-06-12T09:41:00Z</dcterms:modified>
  <revision>2</revision>
</coreProperties>
</file>