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6b082b952534882a25414d35cdabedb"/>
        <w:lock w:val="sdtLocked"/>
        <w:richText/>
      </w:sdtPr>
      <w:sdtContent>
        <w:p>
          <w:pPr>
            <w:rPr>
              <w:sz w:val="20"/>
            </w:rPr>
          </w:pPr>
        </w:p>
        <w:p>
          <w:pPr>
            <w:keepNext/>
            <w:suppressAutoHyphens/>
            <w:jc w:val="center"/>
            <w:rPr>
              <w:rFonts w:eastAsia="Tahoma"/>
              <w:b/>
              <w:szCs w:val="24"/>
            </w:rPr>
          </w:pPr>
          <w:r>
            <w:rPr>
              <w:rFonts w:eastAsia="Tahoma"/>
              <w:b/>
              <w:szCs w:val="24"/>
            </w:rPr>
            <w:t>ŠIAULIŲ MIESTO SAVIVALDYBĖS TARYBA</w:t>
          </w:r>
        </w:p>
        <w:p>
          <w:pPr>
            <w:rPr>
              <w:sz w:val="20"/>
            </w:rPr>
          </w:pPr>
        </w:p>
        <w:p>
          <w:pPr>
            <w:keepNext/>
            <w:suppressAutoHyphens/>
            <w:jc w:val="center"/>
            <w:rPr>
              <w:rFonts w:eastAsia="Tahoma"/>
              <w:b/>
              <w:szCs w:val="24"/>
            </w:rPr>
          </w:pPr>
        </w:p>
        <w:p>
          <w:pPr>
            <w:rPr>
              <w:sz w:val="10"/>
              <w:szCs w:val="10"/>
            </w:rPr>
          </w:pPr>
        </w:p>
        <w:p>
          <w:pPr>
            <w:tabs>
              <w:tab w:val="left" w:pos="851"/>
            </w:tabs>
            <w:suppressAutoHyphens/>
            <w:ind w:hanging="180"/>
            <w:jc w:val="center"/>
            <w:rPr>
              <w:b/>
              <w:bCs/>
              <w:szCs w:val="24"/>
            </w:rPr>
          </w:pPr>
          <w:r>
            <w:rPr>
              <w:b/>
              <w:bCs/>
              <w:szCs w:val="24"/>
            </w:rPr>
            <w:t>SPRENDIMO</w:t>
          </w:r>
        </w:p>
        <w:p>
          <w:pPr>
            <w:tabs>
              <w:tab w:val="left" w:pos="851"/>
            </w:tabs>
            <w:suppressAutoHyphens/>
            <w:ind w:hanging="180"/>
            <w:jc w:val="center"/>
            <w:rPr>
              <w:b/>
              <w:bCs/>
              <w:szCs w:val="24"/>
            </w:rPr>
          </w:pPr>
          <w:r>
            <w:rPr>
              <w:b/>
              <w:bCs/>
              <w:szCs w:val="24"/>
            </w:rPr>
            <w:t>„DĖL ŠIAULIŲ MIESTO SAVIVALDYBĖS TARYBOS 2023 M. BIRŽELIO 8 D. SPRENDIMO NR. T-291 „DĖL ŠIAULIŲ MIESTO SAVIVALDYBEI PRIKLAUSANČIŲ AKCIJŲ PRIVATIZAVIMO KOMISIJOS SUDARYMO IR JOS NUOSTATŲ PATVIRTINIMO“ PAKEITIMO“</w:t>
          </w:r>
        </w:p>
        <w:p>
          <w:pPr>
            <w:tabs>
              <w:tab w:val="left" w:pos="851"/>
            </w:tabs>
            <w:suppressAutoHyphens/>
            <w:ind w:hanging="118"/>
            <w:jc w:val="center"/>
            <w:rPr>
              <w:b/>
              <w:szCs w:val="24"/>
              <w:lang w:eastAsia="lt-LT"/>
            </w:rPr>
          </w:pPr>
          <w:r>
            <w:rPr>
              <w:b/>
              <w:bCs/>
              <w:szCs w:val="24"/>
            </w:rPr>
            <w:t xml:space="preserve">PROJEKTO </w:t>
          </w:r>
          <w:r>
            <w:rPr>
              <w:b/>
              <w:szCs w:val="24"/>
              <w:lang w:eastAsia="lt-LT"/>
            </w:rPr>
            <w:t>AIŠKINAMASIS RAŠTAS</w:t>
          </w:r>
        </w:p>
        <w:p>
          <w:pPr>
            <w:tabs>
              <w:tab w:val="left" w:pos="851"/>
            </w:tabs>
            <w:suppressAutoHyphens/>
            <w:ind w:hanging="180"/>
            <w:jc w:val="center"/>
            <w:rPr>
              <w:b/>
              <w:bCs/>
              <w:szCs w:val="24"/>
            </w:rPr>
          </w:pPr>
        </w:p>
        <w:p>
          <w:pPr>
            <w:tabs>
              <w:tab w:val="left" w:pos="851"/>
            </w:tabs>
            <w:suppressAutoHyphens/>
            <w:jc w:val="center"/>
          </w:pPr>
          <w:r>
            <w:rPr>
              <w:szCs w:val="24"/>
              <w:lang w:eastAsia="lt-LT"/>
            </w:rPr>
            <w:t xml:space="preserve">2025 m. balandžio    d.</w:t>
          </w:r>
        </w:p>
        <w:p>
          <w:pPr>
            <w:tabs>
              <w:tab w:val="left" w:pos="851"/>
            </w:tabs>
            <w:suppressAutoHyphens/>
            <w:ind w:left="4820" w:hanging="4820"/>
            <w:jc w:val="center"/>
            <w:rPr>
              <w:bCs/>
              <w:szCs w:val="24"/>
              <w:lang w:eastAsia="lt-LT"/>
            </w:rPr>
          </w:pPr>
          <w:r>
            <w:rPr>
              <w:bCs/>
              <w:szCs w:val="24"/>
              <w:lang w:eastAsia="lt-LT"/>
            </w:rPr>
            <w:t>Šiauliai</w:t>
          </w:r>
        </w:p>
        <w:p>
          <w:pPr>
            <w:tabs>
              <w:tab w:val="left" w:pos="851"/>
            </w:tabs>
            <w:suppressAutoHyphens/>
            <w:ind w:firstLine="851"/>
            <w:jc w:val="both"/>
            <w:rPr>
              <w:b/>
              <w:bCs/>
              <w:lang w:eastAsia="lt-LT"/>
            </w:rPr>
          </w:pPr>
        </w:p>
        <w:p>
          <w:pPr>
            <w:tabs>
              <w:tab w:val="left" w:pos="851"/>
            </w:tabs>
            <w:suppressAutoHyphens/>
            <w:ind w:firstLine="851"/>
            <w:jc w:val="both"/>
            <w:rPr>
              <w:b/>
              <w:bCs/>
              <w:szCs w:val="24"/>
              <w:lang w:eastAsia="lt-LT"/>
            </w:rPr>
          </w:pPr>
          <w:r>
            <w:rPr>
              <w:b/>
              <w:bCs/>
              <w:szCs w:val="24"/>
              <w:lang w:eastAsia="lt-LT"/>
            </w:rPr>
            <w:t>Parengto sprendimo projekto tikslai ir uždaviniai:</w:t>
          </w:r>
        </w:p>
        <w:sdt>
          <w:sdtPr>
            <w:alias w:val="preambule"/>
            <w:tag w:val="part_575f735616284d239df8445bc5b73ac0"/>
            <w:lock w:val="sdtLocked"/>
            <w:richText/>
          </w:sdtPr>
          <w:sdtContent>
            <w:p>
              <w:pPr>
                <w:suppressAutoHyphens/>
                <w:ind w:firstLine="851"/>
                <w:jc w:val="both"/>
                <w:rPr>
                  <w:color w:val="000000"/>
                  <w:szCs w:val="24"/>
                  <w:lang w:eastAsia="lt-LT"/>
                </w:rPr>
              </w:pPr>
              <w:r>
                <w:rPr>
                  <w:color w:val="000000"/>
                  <w:szCs w:val="24"/>
                  <w:lang w:eastAsia="lt-LT"/>
                </w:rPr>
                <w:t>Sprendimo projektu siekiama:</w:t>
              </w:r>
            </w:p>
          </w:sdtContent>
        </w:sdt>
        <w:sdt>
          <w:sdtPr>
            <w:alias w:val="pastraipa"/>
            <w:tag w:val="part_53579508e26c4dcbb84bb1e15d07e645"/>
            <w:lock w:val="sdtLocked"/>
            <w:richText/>
          </w:sdtPr>
          <w:sdtContent>
            <w:p>
              <w:pPr>
                <w:suppressAutoHyphens/>
                <w:ind w:firstLine="851"/>
                <w:jc w:val="both"/>
                <w:rPr>
                  <w:color w:val="000000"/>
                  <w:szCs w:val="24"/>
                  <w:lang w:eastAsia="lt-LT"/>
                </w:rPr>
              </w:pPr>
              <w:r>
                <w:rPr>
                  <w:color w:val="000000"/>
                  <w:szCs w:val="24"/>
                  <w:lang w:eastAsia="lt-LT"/>
                </w:rPr>
                <w:t xml:space="preserve">Šiaulių miesto savivaldybei priklausančių akcijų privatizavimo komisijos nuostatų 14  punktas turi atitikti Lietuvos Respublikos vietos savivaldos įstatymo nuostatoms.</w:t>
              </w:r>
            </w:p>
          </w:sdtContent>
        </w:sdt>
        <w:sdt>
          <w:sdtPr>
            <w:alias w:val="skirsnis"/>
            <w:tag w:val="part_4ef838171b78489c8991ca4bbc61908e"/>
            <w:lock w:val="sdtLocked"/>
            <w:richText/>
          </w:sdtPr>
          <w:sdtContent>
            <w:p>
              <w:pPr>
                <w:tabs>
                  <w:tab w:val="left" w:pos="851"/>
                </w:tabs>
                <w:suppressAutoHyphens/>
                <w:ind w:firstLine="851"/>
                <w:jc w:val="both"/>
                <w:rPr>
                  <w:b/>
                  <w:szCs w:val="24"/>
                  <w:lang w:eastAsia="lt-LT"/>
                </w:rPr>
              </w:pPr>
              <w:sdt>
                <w:sdtPr>
                  <w:alias w:val="Pavadinimas"/>
                  <w:tag w:val="title_4ef838171b78489c8991ca4bbc61908e"/>
                  <w:lock w:val="sdtLocked"/>
                  <w:richText/>
                </w:sdtPr>
                <w:sdtContent>
                  <w:r>
                    <w:rPr>
                      <w:b/>
                      <w:szCs w:val="24"/>
                      <w:lang w:eastAsia="lt-LT"/>
                    </w:rPr>
                    <w:t>Dabartinis sprendimo projekte aptariamų klausimų reguliavimas:</w:t>
                  </w:r>
                </w:sdtContent>
              </w:sdt>
            </w:p>
            <w:p>
              <w:pPr>
                <w:tabs>
                  <w:tab w:val="left" w:pos="851"/>
                </w:tabs>
                <w:suppressAutoHyphens/>
                <w:ind w:firstLine="851"/>
                <w:jc w:val="both"/>
                <w:rPr>
                  <w:szCs w:val="24"/>
                  <w:lang w:eastAsia="lt-LT"/>
                </w:rPr>
              </w:pPr>
              <w:r>
                <w:rPr>
                  <w:szCs w:val="24"/>
                  <w:lang w:eastAsia="lt-LT"/>
                </w:rPr>
                <w:t>Šiuo metu galioja Šiaulių miesto savivaldybei priklausančių akcijų privatizavimo komisijos nuostatai (toliau – Nuostatai), patvirtinti Šiaulių miesto savivaldybės tarybos 2023 m. birželio 8 d. sprendimo Nr. T-291 „Dėl Šiaulių miesto savivaldybei priklausančių akcijų privatizavimo komisijos sudarymo ir jos nuostatų patvirtinimo“ 2.3 punktu.</w:t>
              </w:r>
            </w:p>
          </w:sdtContent>
        </w:sdt>
        <w:sdt>
          <w:sdtPr>
            <w:alias w:val="skirsnis"/>
            <w:tag w:val="part_419aab82acb34d09a3898b1e0b89551b"/>
            <w:lock w:val="sdtLocked"/>
            <w:richText/>
          </w:sdtPr>
          <w:sdtContent>
            <w:p>
              <w:pPr>
                <w:tabs>
                  <w:tab w:val="left" w:pos="697"/>
                </w:tabs>
                <w:suppressAutoHyphens/>
                <w:ind w:firstLine="851"/>
                <w:jc w:val="both"/>
                <w:rPr>
                  <w:b/>
                  <w:szCs w:val="24"/>
                  <w:lang w:eastAsia="lt-LT"/>
                </w:rPr>
              </w:pPr>
              <w:sdt>
                <w:sdtPr>
                  <w:alias w:val="Pavadinimas"/>
                  <w:tag w:val="title_419aab82acb34d09a3898b1e0b89551b"/>
                  <w:lock w:val="sdtLocked"/>
                  <w:richText/>
                </w:sdtPr>
                <w:sdtContent>
                  <w:r>
                    <w:rPr>
                      <w:b/>
                      <w:szCs w:val="24"/>
                      <w:lang w:eastAsia="lt-LT"/>
                    </w:rPr>
                    <w:t>Sprendimo projekte numatytos naujos teisinio reglamentavimo nuostatos:</w:t>
                  </w:r>
                </w:sdtContent>
              </w:sdt>
            </w:p>
            <w:p>
              <w:pPr>
                <w:tabs>
                  <w:tab w:val="left" w:pos="697"/>
                </w:tabs>
                <w:suppressAutoHyphens/>
                <w:ind w:firstLine="851"/>
                <w:jc w:val="both"/>
                <w:rPr>
                  <w:szCs w:val="24"/>
                  <w:lang w:eastAsia="lt-LT"/>
                </w:rPr>
              </w:pPr>
              <w:r>
                <w:rPr>
                  <w:szCs w:val="24"/>
                  <w:lang w:eastAsia="lt-LT"/>
                </w:rPr>
                <w:t xml:space="preserve">Lietuvos Respublikos Seimas 2024-06-06 priėmė (įsigaliojo 2024-06-20) </w:t>
              </w:r>
              <w:r>
                <w:rPr>
                  <w:color w:val="000000"/>
                  <w:szCs w:val="24"/>
                  <w:lang w:eastAsia="lt-LT"/>
                </w:rPr>
                <w:t xml:space="preserve">Lietuvos Respublikos vietos savivaldos įstatymo Nr. I-533 pakeitimo įstatymą (toliau - Įstatymas). Vadovaujantis Įstatymo 22 straipsnio 10 dalies pakeitimu, atitinkamai keičiamas Nuostatų </w:t>
              </w:r>
              <w:r>
                <w:rPr>
                  <w:szCs w:val="24"/>
                  <w:lang w:eastAsia="lt-LT"/>
                </w:rPr>
                <w:t>14 punktas, jį išdėstant taip:</w:t>
              </w:r>
            </w:p>
            <w:p>
              <w:pPr>
                <w:tabs>
                  <w:tab w:val="left" w:pos="697"/>
                </w:tabs>
                <w:suppressAutoHyphens/>
                <w:ind w:firstLine="913"/>
                <w:jc w:val="both"/>
                <w:rPr>
                  <w:szCs w:val="24"/>
                  <w:lang w:eastAsia="lt-LT"/>
                </w:rPr>
              </w:pPr>
              <w:r>
                <w:rPr>
                  <w:szCs w:val="24"/>
                  <w:lang w:eastAsia="lt-LT"/>
                </w:rPr>
                <w:t>„14. Balsuodami Privatizavimo komisijos nariai turi lygias teises. Privatizavimo komisijos sprendimai priimami posėdyje dalyvaujančių Privatizavimo komisijos narių balsų dauguma. Jeigu balsai pasiskirsto po lygiai (laikoma, kad balsai pasiskirstė po lygiai tada, kai balsų „už“ gauta tiek pat, kiek „prieš“, taip pat kai balsų „už“ gauta tiek pat, kiek „prieš“ ir susilaikiusiųjų balsus kartu sudėjus), balsuojama dar kartą. Jeigu balsavus dar kartą balsai pasiskirsto po lygiai, sprendimą lemia Privatizavimo komisijos posėdžio pirmininko balsas.“</w:t>
              </w:r>
            </w:p>
          </w:sdtContent>
        </w:sdt>
        <w:sdt>
          <w:sdtPr>
            <w:alias w:val="skirsnis"/>
            <w:tag w:val="part_0bdce168c3e848a790153c3d769ec705"/>
            <w:lock w:val="sdtLocked"/>
            <w:richText/>
          </w:sdtPr>
          <w:sdtContent>
            <w:p>
              <w:pPr>
                <w:tabs>
                  <w:tab w:val="left" w:pos="697"/>
                </w:tabs>
                <w:suppressAutoHyphens/>
                <w:ind w:firstLine="851"/>
                <w:jc w:val="both"/>
                <w:rPr>
                  <w:szCs w:val="24"/>
                </w:rPr>
              </w:pPr>
              <w:sdt>
                <w:sdtPr>
                  <w:alias w:val="Pavadinimas"/>
                  <w:tag w:val="title_0bdce168c3e848a790153c3d769ec705"/>
                  <w:lock w:val="sdtLocked"/>
                  <w:richText/>
                </w:sdtPr>
                <w:sdtContent>
                  <w:r>
                    <w:rPr>
                      <w:b/>
                      <w:szCs w:val="24"/>
                      <w:lang w:eastAsia="lt-LT"/>
                    </w:rPr>
                    <w:t>Priėmus sprendimą, galimos pasekmės:</w:t>
                  </w:r>
                </w:sdtContent>
              </w:sdt>
            </w:p>
            <w:p>
              <w:pPr>
                <w:tabs>
                  <w:tab w:val="left" w:pos="-1701"/>
                  <w:tab w:val="left" w:pos="851"/>
                </w:tabs>
                <w:suppressAutoHyphens/>
                <w:ind w:firstLine="851"/>
                <w:jc w:val="both"/>
                <w:rPr>
                  <w:szCs w:val="24"/>
                </w:rPr>
              </w:pPr>
              <w:r>
                <w:rPr>
                  <w:szCs w:val="24"/>
                  <w:lang w:eastAsia="lt-LT"/>
                </w:rPr>
                <w:t>Neigiamų padarinių dėl priimto sprendimo nenumatoma</w:t>
              </w:r>
              <w:r>
                <w:rPr>
                  <w:spacing w:val="-6"/>
                  <w:szCs w:val="24"/>
                  <w:lang w:eastAsia="lt-LT"/>
                </w:rPr>
                <w:t xml:space="preserve">. </w:t>
              </w:r>
            </w:p>
          </w:sdtContent>
        </w:sdt>
        <w:sdt>
          <w:sdtPr>
            <w:alias w:val="skirsnis"/>
            <w:tag w:val="part_c6df0d0d342249faa1fc07e6c3cc1e0f"/>
            <w:lock w:val="sdtLocked"/>
            <w:richText/>
          </w:sdtPr>
          <w:sdtContent>
            <w:p>
              <w:pPr>
                <w:tabs>
                  <w:tab w:val="left" w:pos="-1701"/>
                  <w:tab w:val="left" w:pos="851"/>
                </w:tabs>
                <w:suppressAutoHyphens/>
                <w:ind w:firstLine="851"/>
                <w:jc w:val="both"/>
                <w:rPr>
                  <w:szCs w:val="24"/>
                </w:rPr>
              </w:pPr>
              <w:sdt>
                <w:sdtPr>
                  <w:alias w:val="Pavadinimas"/>
                  <w:tag w:val="title_c6df0d0d342249faa1fc07e6c3cc1e0f"/>
                  <w:lock w:val="sdtLocked"/>
                  <w:richText/>
                </w:sdtPr>
                <w:sdtContent>
                  <w:r>
                    <w:rPr>
                      <w:b/>
                      <w:bCs/>
                      <w:spacing w:val="-6"/>
                      <w:szCs w:val="24"/>
                      <w:lang w:eastAsia="lt-LT"/>
                    </w:rPr>
                    <w:t>Priėmus sprendimą, keičiami ar panaikinami galiojantys teisės aktai:</w:t>
                  </w:r>
                </w:sdtContent>
              </w:sdt>
            </w:p>
            <w:p>
              <w:pPr>
                <w:tabs>
                  <w:tab w:val="left" w:pos="-1701"/>
                  <w:tab w:val="left" w:pos="851"/>
                </w:tabs>
                <w:suppressAutoHyphens/>
                <w:ind w:firstLine="851"/>
                <w:jc w:val="both"/>
                <w:rPr>
                  <w:szCs w:val="24"/>
                </w:rPr>
              </w:pPr>
              <w:r>
                <w:rPr>
                  <w:szCs w:val="24"/>
                </w:rPr>
                <w:t>Nekeičiami.</w:t>
              </w:r>
            </w:p>
          </w:sdtContent>
        </w:sdt>
        <w:sdt>
          <w:sdtPr>
            <w:alias w:val="skirsnis"/>
            <w:tag w:val="part_fb62b551d47d436c874fd40682eb5213"/>
            <w:lock w:val="sdtLocked"/>
            <w:richText/>
          </w:sdtPr>
          <w:sdtContent>
            <w:p>
              <w:pPr>
                <w:tabs>
                  <w:tab w:val="left" w:pos="570"/>
                </w:tabs>
                <w:suppressAutoHyphens/>
                <w:ind w:firstLine="851"/>
                <w:jc w:val="both"/>
                <w:rPr>
                  <w:rFonts w:eastAsia="Tahoma"/>
                  <w:szCs w:val="24"/>
                </w:rPr>
              </w:pPr>
              <w:sdt>
                <w:sdtPr>
                  <w:alias w:val="Pavadinimas"/>
                  <w:tag w:val="title_fb62b551d47d436c874fd40682eb5213"/>
                  <w:lock w:val="sdtLocked"/>
                  <w:richText/>
                </w:sdtPr>
                <w:sdtContent>
                  <w:r>
                    <w:rPr>
                      <w:b/>
                      <w:szCs w:val="24"/>
                    </w:rPr>
                    <w:t>Sprendimui įgyvendinti reikalingi priimti papildomi teisės aktai:</w:t>
                  </w:r>
                  <w:r>
                    <w:rPr>
                      <w:rFonts w:eastAsia="Tahoma"/>
                      <w:szCs w:val="24"/>
                    </w:rPr>
                    <w:t xml:space="preserve"> </w:t>
                  </w:r>
                </w:sdtContent>
              </w:sdt>
            </w:p>
            <w:p>
              <w:pPr>
                <w:tabs>
                  <w:tab w:val="left" w:pos="851"/>
                </w:tabs>
                <w:suppressAutoHyphens/>
                <w:ind w:firstLine="851"/>
                <w:jc w:val="both"/>
                <w:rPr>
                  <w:szCs w:val="24"/>
                </w:rPr>
              </w:pPr>
              <w:r>
                <w:rPr>
                  <w:szCs w:val="24"/>
                </w:rPr>
                <w:t>Papildomų teisės aktų priimti nereikia.</w:t>
              </w:r>
            </w:p>
          </w:sdtContent>
        </w:sdt>
        <w:sdt>
          <w:sdtPr>
            <w:alias w:val="skirsnis"/>
            <w:tag w:val="part_dfda1708405f4ba1905ad80ef99839bd"/>
            <w:lock w:val="sdtLocked"/>
            <w:richText/>
          </w:sdtPr>
          <w:sdtContent>
            <w:p>
              <w:pPr>
                <w:tabs>
                  <w:tab w:val="left" w:pos="570"/>
                </w:tabs>
                <w:suppressAutoHyphens/>
                <w:ind w:firstLine="851"/>
                <w:jc w:val="both"/>
                <w:rPr>
                  <w:rFonts w:eastAsia="Tahoma"/>
                  <w:szCs w:val="24"/>
                </w:rPr>
              </w:pPr>
              <w:sdt>
                <w:sdtPr>
                  <w:alias w:val="Pavadinimas"/>
                  <w:tag w:val="title_dfda1708405f4ba1905ad80ef99839bd"/>
                  <w:lock w:val="sdtLocked"/>
                  <w:richText/>
                </w:sdtPr>
                <w:sdtContent>
                  <w:r>
                    <w:rPr>
                      <w:b/>
                      <w:szCs w:val="24"/>
                    </w:rPr>
                    <w:t>Sprendimui įgyvendinti reikalingos lėšos:</w:t>
                  </w:r>
                  <w:r>
                    <w:rPr>
                      <w:rFonts w:eastAsia="Tahoma"/>
                      <w:szCs w:val="24"/>
                    </w:rPr>
                    <w:t xml:space="preserve"> </w:t>
                  </w:r>
                </w:sdtContent>
              </w:sdt>
            </w:p>
            <w:p>
              <w:pPr>
                <w:tabs>
                  <w:tab w:val="left" w:pos="570"/>
                </w:tabs>
                <w:suppressAutoHyphens/>
                <w:ind w:firstLine="851"/>
                <w:jc w:val="both"/>
                <w:rPr>
                  <w:rFonts w:eastAsia="Tahoma"/>
                  <w:szCs w:val="24"/>
                </w:rPr>
              </w:pPr>
              <w:r>
                <w:rPr>
                  <w:rFonts w:eastAsia="Tahoma"/>
                  <w:szCs w:val="24"/>
                </w:rPr>
                <w:t>Nereikalingos.</w:t>
              </w:r>
            </w:p>
          </w:sdtContent>
        </w:sdt>
        <w:sdt>
          <w:sdtPr>
            <w:alias w:val="skirsnis"/>
            <w:tag w:val="part_f468fa6c72a5475a9219cff9a2c2b375"/>
            <w:lock w:val="sdtLocked"/>
            <w:richText/>
          </w:sdtPr>
          <w:sdtContent>
            <w:p>
              <w:pPr>
                <w:suppressAutoHyphens/>
                <w:ind w:firstLine="851"/>
                <w:jc w:val="both"/>
              </w:pPr>
              <w:sdt>
                <w:sdtPr>
                  <w:alias w:val="Pavadinimas"/>
                  <w:tag w:val="title_f468fa6c72a5475a9219cff9a2c2b375"/>
                  <w:lock w:val="sdtLocked"/>
                  <w:richText/>
                </w:sdtPr>
                <w:sdtContent>
                  <w:r>
                    <w:rPr>
                      <w:b/>
                    </w:rPr>
                    <w:t>Sprendimo projekto antikorupcinis vertinimas.</w:t>
                  </w:r>
                  <w:r>
                    <w:t xml:space="preserve"> </w:t>
                  </w:r>
                </w:sdtContent>
              </w:sdt>
            </w:p>
            <w:p>
              <w:pPr>
                <w:suppressAutoHyphens/>
                <w:ind w:firstLine="851"/>
                <w:jc w:val="both"/>
              </w:pPr>
              <w:r>
                <w:t>Lietuvos Respublikos korupcijos prevencijos įstatymo 8 straipsnio 1 dalyje yra numatyti atvejai kada viešojo administravimo subjektas, rengiantis norminio teisės akto projektą, Vyriausybės nustatyta tvarka atlieka šio teisės akto projekto antikorupcinį vertinimą. Dėl teisės akto projekto antikorupcinio vertinimo spręs Šiaulių miesto savivaldybės administracijos už korupcijai atsparios aplinkos kūrimą atsakingas asmuo.</w:t>
              </w:r>
            </w:p>
          </w:sdtContent>
        </w:sdt>
        <w:sdt>
          <w:sdtPr>
            <w:alias w:val="skirsnis"/>
            <w:tag w:val="part_da88b4a099c54fd4868128b96dead2b5"/>
            <w:lock w:val="sdtLocked"/>
            <w:richText/>
          </w:sdtPr>
          <w:sdtContent>
            <w:p>
              <w:pPr>
                <w:tabs>
                  <w:tab w:val="left" w:pos="570"/>
                </w:tabs>
                <w:suppressAutoHyphens/>
                <w:ind w:firstLine="851"/>
                <w:jc w:val="both"/>
                <w:rPr>
                  <w:b/>
                  <w:bCs/>
                  <w:color w:val="000000"/>
                  <w:szCs w:val="24"/>
                </w:rPr>
              </w:pPr>
              <w:sdt>
                <w:sdtPr>
                  <w:alias w:val="Pavadinimas"/>
                  <w:tag w:val="title_da88b4a099c54fd4868128b96dead2b5"/>
                  <w:lock w:val="sdtLocked"/>
                  <w:richText/>
                </w:sdtPr>
                <w:sdtContent>
                  <w:r>
                    <w:rPr>
                      <w:b/>
                      <w:bCs/>
                      <w:color w:val="000000"/>
                      <w:szCs w:val="24"/>
                    </w:rPr>
                    <w:t>Sprendimo projekto rengėjas.</w:t>
                  </w:r>
                </w:sdtContent>
              </w:sdt>
            </w:p>
            <w:p>
              <w:pPr>
                <w:tabs>
                  <w:tab w:val="left" w:pos="570"/>
                </w:tabs>
                <w:suppressAutoHyphens/>
                <w:ind w:firstLine="851"/>
                <w:jc w:val="both"/>
                <w:rPr>
                  <w:color w:val="000000"/>
                  <w:szCs w:val="24"/>
                </w:rPr>
              </w:pPr>
              <w:r>
                <w:rPr>
                  <w:color w:val="000000"/>
                  <w:szCs w:val="24"/>
                </w:rPr>
                <w:t>Savivaldybės administracijos Turto valdymo skyrius. Rengėjas − skyriaus patarėja Ernesta Baltutienė, tel. +370 41 509 594.</w:t>
              </w:r>
            </w:p>
          </w:sdtContent>
        </w:sdt>
        <w:sdt>
          <w:sdtPr>
            <w:alias w:val="skirsnis"/>
            <w:tag w:val="part_fad15b601849429cb787ef92ad1631cf"/>
            <w:lock w:val="sdtLocked"/>
            <w:richText/>
          </w:sdtPr>
          <w:sdtContent>
            <w:p>
              <w:pPr>
                <w:tabs>
                  <w:tab w:val="left" w:pos="570"/>
                </w:tabs>
                <w:suppressAutoHyphens/>
                <w:ind w:firstLine="851"/>
                <w:jc w:val="both"/>
                <w:rPr>
                  <w:b/>
                  <w:bCs/>
                  <w:color w:val="000000"/>
                  <w:szCs w:val="24"/>
                </w:rPr>
              </w:pPr>
              <w:sdt>
                <w:sdtPr>
                  <w:alias w:val="Pavadinimas"/>
                  <w:tag w:val="title_fad15b601849429cb787ef92ad1631cf"/>
                  <w:lock w:val="sdtLocked"/>
                  <w:richText/>
                </w:sdtPr>
                <w:sdtContent>
                  <w:r>
                    <w:rPr>
                      <w:b/>
                      <w:bCs/>
                      <w:color w:val="000000"/>
                      <w:szCs w:val="24"/>
                    </w:rPr>
                    <w:t>Numatomo teisinio reguliavimo poveikio vertinimo rezultatai.</w:t>
                  </w:r>
                </w:sdtContent>
              </w:sdt>
            </w:p>
            <w:p>
              <w:pPr>
                <w:tabs>
                  <w:tab w:val="left" w:pos="570"/>
                </w:tabs>
                <w:suppressAutoHyphens/>
                <w:ind w:firstLine="851"/>
                <w:jc w:val="both"/>
                <w:rPr>
                  <w:color w:val="000000"/>
                  <w:szCs w:val="24"/>
                </w:rPr>
              </w:pPr>
              <w:r>
                <w:rPr>
                  <w:color w:val="000000"/>
                  <w:szCs w:val="24"/>
                </w:rPr>
                <w:t>Numatomo teisinio reguliavimo poveikio vertinimas neatliekamas, nes sprendimo projektu nėra numatoma reglamentuoti iki tol nereglamentuotus santykius ar iš esmės keisti teisinį reguliavimą.</w:t>
              </w:r>
            </w:p>
            <w:p>
              <w:pPr>
                <w:tabs>
                  <w:tab w:val="left" w:pos="570"/>
                </w:tabs>
                <w:suppressAutoHyphens/>
                <w:ind w:firstLine="851"/>
                <w:jc w:val="both"/>
                <w:rPr>
                  <w:color w:val="000000"/>
                  <w:szCs w:val="24"/>
                </w:rPr>
              </w:pPr>
            </w:p>
            <w:p>
              <w:pPr>
                <w:tabs>
                  <w:tab w:val="left" w:pos="570"/>
                </w:tabs>
                <w:suppressAutoHyphens/>
                <w:ind w:firstLine="851"/>
                <w:jc w:val="both"/>
                <w:rPr>
                  <w:color w:val="000000"/>
                  <w:szCs w:val="24"/>
                </w:rPr>
              </w:pPr>
              <w:r>
                <w:rPr>
                  <w:color w:val="000000"/>
                  <w:szCs w:val="24"/>
                </w:rPr>
                <w:t>Turto valdymo skyriaus patarėja,</w:t>
              </w:r>
            </w:p>
          </w:sdtContent>
        </w:sdt>
        <w:sdt>
          <w:sdtPr>
            <w:alias w:val="signatura"/>
            <w:tag w:val="part_cb217c4d3e0541f1b7660d24a5cfe7b6"/>
            <w:lock w:val="sdtLocked"/>
            <w:richText/>
          </w:sdtPr>
          <w:sdtContent>
            <w:p>
              <w:pPr>
                <w:tabs>
                  <w:tab w:val="left" w:pos="570"/>
                </w:tabs>
                <w:suppressAutoHyphens/>
                <w:ind w:firstLine="851"/>
                <w:jc w:val="both"/>
                <w:rPr>
                  <w:color w:val="000000"/>
                  <w:szCs w:val="24"/>
                </w:rPr>
              </w:pPr>
              <w:r>
                <w:rPr>
                  <w:color w:val="000000"/>
                  <w:szCs w:val="24"/>
                </w:rPr>
                <w:t xml:space="preserve">pavaduojanti skyriaus vedėją                                                                    Ernesta Baltutienė</w:t>
              </w:r>
            </w:p>
          </w:sdtContent>
        </w:sdt>
      </w:sdtContent>
    </w:sdt>
    <w:sectPr>
      <w:headerReference w:type="default" r:id="rId6"/>
      <w:footerReference w:type="default" r:id="rId7"/>
      <w:pgSz w:w="11906" w:h="16838"/>
      <w:pgMar w:top="1134" w:right="566" w:bottom="1134" w:left="1701" w:header="567" w:footer="0" w:gutter="0"/>
      <w:cols w:space="1296"/>
      <w:formProt w:val="0"/>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pPr>
      <w:r>
        <w:separator/>
      </w:r>
    </w:p>
  </w:endnote>
  <w:endnote w:type="continuationSeparator" w:id="0">
    <w:p>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uppressAutoHyphens/>
      <w:rPr>
        <w:rFonts w:ascii="TimesLT" w:hAnsi="TimesLT"/>
        <w:sz w:val="26"/>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pPr>
      <w:r>
        <w:separator/>
      </w:r>
    </w:p>
  </w:footnote>
  <w:footnote w:type="continuationSeparator" w:id="0">
    <w:p>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uppressAutoHyphens/>
      <w:jc w:val="center"/>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492838290">
      <w:bodyDiv w:val="1"/>
      <w:marLeft w:val="0"/>
      <w:marRight w:val="0"/>
      <w:marTop w:val="0"/>
      <w:marBottom w:val="0"/>
      <w:divBdr>
        <w:top w:val="none" w:sz="0" w:space="0" w:color="auto"/>
        <w:left w:val="none" w:sz="0" w:space="0" w:color="auto"/>
        <w:bottom w:val="none" w:sz="0" w:space="0" w:color="auto"/>
        <w:right w:val="none" w:sz="0" w:space="0" w:color="auto"/>
      </w:divBdr>
    </w:div>
    <w:div w:id="818113582">
      <w:bodyDiv w:val="1"/>
      <w:marLeft w:val="0"/>
      <w:marRight w:val="0"/>
      <w:marTop w:val="0"/>
      <w:marBottom w:val="0"/>
      <w:divBdr>
        <w:top w:val="none" w:sz="0" w:space="0" w:color="auto"/>
        <w:left w:val="none" w:sz="0" w:space="0" w:color="auto"/>
        <w:bottom w:val="none" w:sz="0" w:space="0" w:color="auto"/>
        <w:right w:val="none" w:sz="0" w:space="0" w:color="auto"/>
      </w:divBdr>
    </w:div>
    <w:div w:id="146291701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footer" Target="footer1.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5ddc3bf152048ad85a9a4d700b2547d" PartId="f6b082b952534882a25414d35cdabedb">
    <Part Type="preambule" DocPartId="1aaa9cee0b7f47108064e5d8d8cc7b3a" PartId="575f735616284d239df8445bc5b73ac0"/>
    <Part Type="pastraipa" DocPartId="114f9a03242744c49383142e2135efb5" PartId="53579508e26c4dcbb84bb1e15d07e645"/>
    <Part Type="skirsnis" Title="Dabartinis sprendimo projekte aptariamų klausimų reguliavimas:" DocPartId="fb619db5f1b24e9f80bbc0749368708c" PartId="4ef838171b78489c8991ca4bbc61908e"/>
    <Part Type="skirsnis" Title="Sprendimo projekte numatytos naujos teisinio reglamentavimo nuostatos:" DocPartId="d909d3b3baa44e65820ac4939fda855e" PartId="419aab82acb34d09a3898b1e0b89551b"/>
    <Part Type="skirsnis" Title="Priėmus sprendimą, galimos pasekmės:" DocPartId="9ad2bcbf2c0748779da50b1989fe93a1" PartId="0bdce168c3e848a790153c3d769ec705"/>
    <Part Type="skirsnis" Title="Priėmus sprendimą, keičiami ar panaikinami galiojantys teisės aktai:" DocPartId="67879cc62731448a8d38b8c78cd532da" PartId="c6df0d0d342249faa1fc07e6c3cc1e0f"/>
    <Part Type="skirsnis" Title="Sprendimui įgyvendinti reikalingi priimti papildomi teisės aktai:" DocPartId="22cd60589688417b884234c0a170700b" PartId="fb62b551d47d436c874fd40682eb5213"/>
    <Part Type="skirsnis" Title="Sprendimui įgyvendinti reikalingos lėšos:" DocPartId="69062627cc514625b47ce1071313e757" PartId="dfda1708405f4ba1905ad80ef99839bd"/>
    <Part Type="skirsnis" Title="Sprendimo projekto antikorupcinis vertinimas." DocPartId="c273cb3f130542c7af30aabd25cfd91c" PartId="f468fa6c72a5475a9219cff9a2c2b375"/>
    <Part Type="skirsnis" Title="Sprendimo projekto rengėjas." DocPartId="7514e0b2fc024121a3871c4d90065772" PartId="da88b4a099c54fd4868128b96dead2b5"/>
    <Part Type="skirsnis" Title="Numatomo teisinio reguliavimo poveikio vertinimo rezultatai." DocPartId="fddeb7e40cfb4ee69026e8961d2931b8" PartId="fad15b601849429cb787ef92ad1631cf"/>
    <Part Type="signatura" DocPartId="d7070f12f18743e391d4a0a46f569c61" PartId="cb217c4d3e0541f1b7660d24a5cfe7b6"/>
  </Part>
</Parts>
</file>

<file path=customXml/itemProps1.xml><?xml version="1.0" encoding="utf-8"?>
<ds:datastoreItem xmlns:ds="http://schemas.openxmlformats.org/officeDocument/2006/customXml" ds:itemID="{CF6681DC-03B3-4193-9D97-04FF4143476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382</Words>
  <Characters>2862</Characters>
  <Application>Microsoft Office Word</Application>
  <DocSecurity>4</DocSecurity>
  <Lines>58</Lines>
  <Paragraphs>34</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3210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2025-05-06T13:48:00Z</dcterms:created>
  <dc:creator>Žyvilė Rimšienė</dc:creator>
  <dc:language>en-GB</dc:language>
  <lastModifiedBy>adlibuser</lastModifiedBy>
  <lastPrinted>2024-01-03T12:38:00Z</lastPrinted>
  <dcterms:modified xsi:type="dcterms:W3CDTF">2025-05-06T13:48:00Z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