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12e4623f9e42e1af32031d32b06185"/>
        <w:lock w:val="sdtLocked"/>
        <w:richText/>
      </w:sdtPr>
      <w:sdtContent>
        <w:p>
          <w:pPr>
            <w:tabs>
              <w:tab w:val="center" w:pos="4513"/>
              <w:tab w:val="right" w:pos="9026"/>
            </w:tabs>
            <w:suppressAutoHyphens/>
            <w:rPr>
              <w:rFonts w:ascii="Liberation Serif" w:eastAsia="NSimSun" w:hAnsi="Liberation Serif" w:cs="Mangal"/>
              <w:kern w:val="2"/>
              <w:szCs w:val="21"/>
              <w:lang w:eastAsia="zh-CN" w:bidi="hi-IN"/>
            </w:rPr>
          </w:pPr>
        </w:p>
        <w:p>
          <w:pPr>
            <w:suppressAutoHyphens/>
            <w:ind w:firstLine="6804"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Projekto </w:t>
          </w:r>
        </w:p>
        <w:p>
          <w:pPr>
            <w:suppressAutoHyphens/>
            <w:ind w:firstLine="6804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lyginamasis variantas </w:t>
          </w:r>
        </w:p>
        <w:p>
          <w:pPr>
            <w:suppressAutoHyphens/>
            <w:ind w:firstLine="6804"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LIETUVOS RESPUBLIKOS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ADMINISTRACINIŲ NUSIŽENGIMŲ KODEKSO 486 STRAIPSNIO PAKEITIMO 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ĮSTATYMAS</w:t>
          </w:r>
        </w:p>
        <w:p>
          <w:pPr>
            <w:suppressAutoHyphens/>
            <w:jc w:val="center"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 xml:space="preserve">2024 m                           d. Nr.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>Vilnius</w:t>
          </w:r>
        </w:p>
        <w:p>
          <w:pPr>
            <w:suppressAutoHyphens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both"/>
            <w:rPr>
              <w:rFonts w:eastAsia="NSimSun"/>
              <w:kern w:val="2"/>
              <w:szCs w:val="24"/>
              <w:lang w:eastAsia="zh-CN" w:bidi="hi-IN"/>
            </w:rPr>
          </w:pPr>
        </w:p>
        <w:sdt>
          <w:sdtPr>
            <w:alias w:val="1 str."/>
            <w:tag w:val="part_a5c0447fbb8c4e7aa32a81dd77f9e1c1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a5c0447fbb8c4e7aa32a81dd77f9e1c1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a5c0447fbb8c4e7aa32a81dd77f9e1c1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486 straipsnio pakeitima</w:t>
                  </w: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s</w:t>
                  </w:r>
                </w:sdtContent>
              </w:sdt>
            </w:p>
            <w:sdt>
              <w:sdtPr>
                <w:alias w:val="1 str. 1 d."/>
                <w:tag w:val="part_17998e6466254360897b2d30c571d244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Pakeisti 486 straipsnį ir jį išdėstyti taip:</w:t>
                  </w:r>
                </w:p>
                <w:sdt>
                  <w:sdtPr>
                    <w:alias w:val="citata"/>
                    <w:tag w:val="part_f1feb50da0b24542845bf992aaf75de6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c5f558ab7b6545589cce0764c3b3c61d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5f558ab7b6545589cce0764c3b3c6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. Azartinių lošimų, ištvirkavimo</w:t>
                          </w:r>
                          <w:r>
                            <w:rPr>
                              <w:rFonts w:eastAsia="NSimSun"/>
                              <w:b/>
                              <w:kern w:val="2"/>
                              <w:szCs w:val="24"/>
                              <w:lang w:eastAsia="zh-CN" w:bidi="hi-IN"/>
                            </w:rPr>
                            <w:t xml:space="preserve">, narkotinių, psichotropinių ar kitų psichiką veikiančių  medžiagų 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arba alkoholinių gėrimų vartojimo lindynių laikymas,</w:t>
                          </w: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užtraukia baudą nuo </w:t>
                          </w:r>
                          <w:r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  <w:t>vieno šimto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r>
                            <w:rPr>
                              <w:rFonts w:eastAsia="NSimSun"/>
                              <w:strike/>
                              <w:kern w:val="2"/>
                              <w:szCs w:val="24"/>
                              <w:lang w:eastAsia="zh-CN" w:bidi="hi-IN"/>
                            </w:rPr>
                            <w:t>trisdešimt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iki </w:t>
                          </w:r>
                          <w:r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  <w:t>trijų šimtų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r>
                            <w:rPr>
                              <w:rFonts w:eastAsia="NSimSun"/>
                              <w:strike/>
                              <w:kern w:val="2"/>
                              <w:szCs w:val="24"/>
                              <w:lang w:eastAsia="zh-CN" w:bidi="hi-IN"/>
                            </w:rPr>
                            <w:t>šešiasdešimt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eurų.</w:t>
                          </w:r>
                        </w:p>
                      </w:sdtContent>
                    </w:sdt>
                    <w:sdt>
                      <w:sdtPr>
                        <w:alias w:val="2 d."/>
                        <w:tag w:val="part_a6f22c01e181433f9b4b01485b299f53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a6f22c01e181433f9b4b01485b299f5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. Šio straipsnio 1 dalyje numatytas administracinis nusižengimas, padarytas pakartotinai,</w:t>
                          </w: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užtraukia baudą nuo </w:t>
                          </w:r>
                          <w:r>
                            <w:rPr>
                              <w:rFonts w:eastAsia="NSimSun"/>
                              <w:strike/>
                              <w:kern w:val="2"/>
                              <w:szCs w:val="24"/>
                              <w:lang w:eastAsia="zh-CN" w:bidi="hi-IN"/>
                            </w:rPr>
                            <w:t>šešiasdešimt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r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  <w:t>trijų šimtų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iki </w:t>
                          </w:r>
                          <w:r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  <w:t xml:space="preserve">septynių šimtų </w:t>
                          </w:r>
                          <w:r>
                            <w:rPr>
                              <w:rFonts w:eastAsia="NSimSun"/>
                              <w:strike/>
                              <w:kern w:val="2"/>
                              <w:szCs w:val="24"/>
                              <w:lang w:eastAsia="zh-CN" w:bidi="hi-IN"/>
                            </w:rPr>
                            <w:t>vieno šimto keturiasdešimt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eurų.“</w:t>
                          </w:r>
                        </w:p>
                        <w:p>
                          <w:pPr>
                            <w:suppressAutoHyphens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bfb7d68d8c248058ab740ba7bdb1518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cbfb7d68d8c248058ab740ba7bdb151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cbfb7d68d8c248058ab740ba7bdb151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1106a52c66874022983fbdc20a2484f8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Šis įstatymas įsigalioja 2025 m. sausio 1 d.</w:t>
                  </w: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a88fdbd997c42e097854481ec4e66c8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Calibri"/>
                  <w:i/>
                  <w:color w:val="000000"/>
                  <w:kern w:val="2"/>
                  <w:szCs w:val="24"/>
                  <w:lang w:eastAsia="zh-CN" w:bidi="hi-IN"/>
                </w:rPr>
                <w:t>Skelbiu šį Lietuvos Respublikos Seimo priimtą įstatymą.</w:t>
              </w: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zh-CN" w:bidi="hi-IN"/>
                </w:rPr>
              </w:pPr>
            </w:p>
            <w:p>
              <w:pPr>
                <w:suppressAutoHyphens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Calibri"/>
                  <w:color w:val="000000"/>
                  <w:kern w:val="2"/>
                  <w:szCs w:val="24"/>
                  <w:highlight w:val="white"/>
                  <w:lang w:eastAsia="lt-LT" w:bidi="hi-IN"/>
                </w:rPr>
                <w:t>Respublikos Prezidentas</w:t>
              </w:r>
            </w:p>
            <w:p/>
            <w:p/>
            <w:p/>
            <w:p/>
            <w:p/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rPr>
                  <w:rFonts w:eastAsia="NSimSun"/>
                  <w:kern w:val="2"/>
                  <w:szCs w:val="24"/>
                  <w:lang w:eastAsia="lt-LT" w:bidi="hi-IN"/>
                </w:rPr>
              </w:pPr>
              <w:r>
                <w:rPr>
                  <w:rFonts w:eastAsia="NSimSun"/>
                  <w:kern w:val="2"/>
                  <w:szCs w:val="24"/>
                  <w:lang w:eastAsia="lt-LT" w:bidi="hi-IN"/>
                </w:rPr>
                <w:t>Teikia Seimo nariai: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rPr>
                  <w:rFonts w:eastAsia="NSimSun"/>
                  <w:kern w:val="2"/>
                  <w:szCs w:val="24"/>
                  <w:lang w:eastAsia="lt-LT" w:bidi="hi-IN"/>
                </w:rPr>
              </w:pPr>
            </w:p>
            <w:p/>
          </w:sdtContent>
        </w:sdt>
      </w:sdtContent>
    </w:sdt>
    <w:sect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CC3328-FE2F-44FD-A807-FA4E166B320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e69185440094e93ae14627d54eb803f" PartId="fc12e4623f9e42e1af32031d32b06185">
    <Part Type="straipsnis" Nr="1" Abbr="1 str." Title="486 straipsnio pakeitimas" DocPartId="760861720ff94e46b273f318111af340" PartId="a5c0447fbb8c4e7aa32a81dd77f9e1c1">
      <Part Type="strDalis" Nr="1" Abbr="1 str. 1 d." DocPartId="49d6aaed431f4ab7be9a27b952f98c92" PartId="17998e6466254360897b2d30c571d244">
        <Part Type="citata" DocPartId="dea9ba314c0245c48417a3199a1febfe" PartId="f1feb50da0b24542845bf992aaf75de6">
          <Part Type="strDalis" Nr="1" Abbr="1 d." DocPartId="8bb756fcd487425986398e3b76151b0d" PartId="c5f558ab7b6545589cce0764c3b3c61d"/>
          <Part Type="strDalis" Nr="2" Abbr="2 d." DocPartId="e406d3eec32b408f84ceeb8adafbdfb6" PartId="a6f22c01e181433f9b4b01485b299f53"/>
        </Part>
      </Part>
    </Part>
    <Part Type="straipsnis" Nr="2" Abbr="2 str." Title="Įstatymo įsigaliojimas" DocPartId="58fc3766db1c4ee8b36cdd393c3a7544" PartId="cbfb7d68d8c248058ab740ba7bdb1518">
      <Part Type="strDalis" Nr="1" Abbr="2 str. 1 d." DocPartId="de304960fe7e4eab82e26dd9f5bb9fa1" PartId="1106a52c66874022983fbdc20a2484f8"/>
    </Part>
    <Part Type="signatura" DocPartId="b6ca4f942573406e869bce1cc4c6ef20" PartId="6a88fdbd997c42e097854481ec4e66c8"/>
  </Part>
</Parts>
</file>

<file path=customXml/itemProps1.xml><?xml version="1.0" encoding="utf-8"?>
<ds:datastoreItem xmlns:ds="http://schemas.openxmlformats.org/officeDocument/2006/customXml" ds:itemID="{EBB172EC-E60B-48EF-99A3-4F162F2B81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774</Characters>
  <Application>Microsoft Office Word</Application>
  <DocSecurity>4</DocSecurity>
  <Lines>43</Lines>
  <Paragraphs>21</Paragraphs>
  <ScaleCrop>false</ScaleCrop>
  <Company/>
  <LinksUpToDate>false</LinksUpToDate>
  <CharactersWithSpaces>863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2024-11-20T08:13:00Z</dcterms:created>
  <lastModifiedBy>adlibuser</lastModifiedBy>
  <dcterms:modified xsi:type="dcterms:W3CDTF">2024-11-20T08:13:00Z</dcterms:modified>
  <revision>2</revision>
</coreProperties>
</file>