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a987d66ea6647ceabccaab8aff485e0"/>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2"/>
              <w:szCs w:val="24"/>
              <w:lang w:eastAsia="zh-CN"/>
            </w:rPr>
          </w:pPr>
          <w:r>
            <w:rPr>
              <w:b/>
              <w:bCs/>
              <w:color w:val="000000"/>
              <w:kern w:val="2"/>
              <w:szCs w:val="24"/>
              <w:lang w:eastAsia="zh-CN"/>
            </w:rPr>
            <w:t>ŠIAULIŲ MIESTO SAVIVALDYBĖS ADMINISTRACIJOS</w:t>
          </w:r>
        </w:p>
        <w:sdt>
          <w:sdtPr>
            <w:alias w:val="skyrius"/>
            <w:tag w:val="part_1731fb17cad040408b7a6e5c5fe191cb"/>
            <w:lock w:val="sdtLocked"/>
            <w:richText/>
          </w:sdtPr>
          <w:sdtContent>
            <w:p>
              <w:pPr>
                <w:suppressAutoHyphens/>
                <w:jc w:val="center"/>
                <w:rPr>
                  <w:b/>
                  <w:bCs/>
                  <w:kern w:val="2"/>
                  <w:szCs w:val="24"/>
                  <w:lang w:eastAsia="zh-CN"/>
                </w:rPr>
              </w:pPr>
              <w:r>
                <w:rPr>
                  <w:b/>
                  <w:bCs/>
                  <w:kern w:val="2"/>
                  <w:szCs w:val="24"/>
                  <w:lang w:eastAsia="zh-CN"/>
                </w:rPr>
                <w:t>KULTŪROS SKYRIUS</w:t>
              </w:r>
            </w:p>
            <w:p>
              <w:pPr>
                <w:suppressAutoHyphens/>
                <w:jc w:val="center"/>
                <w:rPr>
                  <w:kern w:val="2"/>
                  <w:szCs w:val="24"/>
                  <w:lang w:eastAsia="zh-CN"/>
                </w:rPr>
              </w:pPr>
            </w:p>
            <w:sdt>
              <w:sdtPr>
                <w:alias w:val="Pavadinimas"/>
                <w:tag w:val="title_1731fb17cad040408b7a6e5c5fe191cb"/>
                <w:lock w:val="sdtLocked"/>
                <w:richText/>
              </w:sdtPr>
              <w:sdtContent>
                <w:p>
                  <w:pPr>
                    <w:jc w:val="center"/>
                    <w:rPr>
                      <w:rFonts w:eastAsia="Lucida Sans Unicode"/>
                      <w:b/>
                      <w:bCs/>
                      <w:caps/>
                      <w:color w:val="000000"/>
                      <w:szCs w:val="24"/>
                      <w:shd w:val="clear" w:color="auto" w:fill="FFFFFF"/>
                    </w:rPr>
                  </w:pPr>
                  <w:r>
                    <w:rPr>
                      <w:rFonts w:eastAsia="Lucida Sans Unicode"/>
                      <w:b/>
                      <w:bCs/>
                      <w:caps/>
                      <w:color w:val="000000"/>
                      <w:szCs w:val="24"/>
                      <w:shd w:val="clear" w:color="auto" w:fill="FFFFFF"/>
                    </w:rPr>
                    <w:t>SPRENDIMO „DĖL ŠIAULIŲ KULTŪROS CENTRO TEIKIAMŲ ATLYGINTINŲ PASLAUGŲ SĄRAŠO PATVIRTINIMO“ PROJEKTO</w:t>
                  </w:r>
                </w:p>
                <w:p>
                  <w:pPr>
                    <w:jc w:val="center"/>
                    <w:rPr>
                      <w:rFonts w:eastAsia="Lucida Sans Unicode"/>
                      <w:b/>
                      <w:bCs/>
                      <w:caps/>
                      <w:color w:val="000000"/>
                      <w:szCs w:val="24"/>
                      <w:highlight w:val="white"/>
                    </w:rPr>
                  </w:pPr>
                  <w:r>
                    <w:rPr>
                      <w:rFonts w:eastAsia="Calibri"/>
                      <w:b/>
                      <w:bCs/>
                      <w:color w:val="000000"/>
                      <w:szCs w:val="24"/>
                    </w:rPr>
                    <w:t>AIŠKINAMASIS RAŠTAS</w:t>
                  </w:r>
                </w:p>
              </w:sdtContent>
            </w:sdt>
            <w:p>
              <w:pPr>
                <w:jc w:val="center"/>
                <w:rPr>
                  <w:szCs w:val="24"/>
                </w:rPr>
              </w:pPr>
            </w:p>
            <w:p>
              <w:pPr>
                <w:jc w:val="center"/>
                <w:rPr>
                  <w:szCs w:val="24"/>
                </w:rPr>
              </w:pPr>
              <w:r>
                <w:rPr>
                  <w:szCs w:val="24"/>
                </w:rPr>
                <w:t>2025-10-01</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 w:val="22"/>
                  <w:szCs w:val="22"/>
                  <w:lang w:eastAsia="lt-LT"/>
                </w:rPr>
              </w:pPr>
            </w:p>
            <w:sdt>
              <w:sdtPr>
                <w:alias w:val="poskyris"/>
                <w:tag w:val="part_fa93b35d9dc546ca87791cb9967c90db"/>
                <w:lock w:val="sdtLocked"/>
                <w:richText/>
              </w:sdtPr>
              <w:sdtContent>
                <w:p>
                  <w:pPr>
                    <w:widowControl w:val="0"/>
                    <w:ind w:firstLine="720"/>
                    <w:jc w:val="both"/>
                    <w:rPr>
                      <w:b/>
                      <w:szCs w:val="24"/>
                      <w:lang w:eastAsia="lt-LT"/>
                    </w:rPr>
                  </w:pPr>
                  <w:sdt>
                    <w:sdtPr>
                      <w:alias w:val="Pavadinimas"/>
                      <w:tag w:val="title_fa93b35d9dc546ca87791cb9967c90db"/>
                      <w:lock w:val="sdtLocked"/>
                      <w:richText/>
                    </w:sdtPr>
                    <w:sdtContent>
                      <w:r>
                        <w:rPr>
                          <w:b/>
                          <w:szCs w:val="24"/>
                          <w:lang w:eastAsia="lt-LT"/>
                        </w:rPr>
                        <w:t xml:space="preserve">Parengto sprendimo projekto tikslai ir uždaviniai. </w:t>
                      </w:r>
                    </w:sdtContent>
                  </w:sdt>
                </w:p>
                <w:p>
                  <w:pPr>
                    <w:widowControl w:val="0"/>
                    <w:ind w:firstLine="720"/>
                    <w:jc w:val="both"/>
                    <w:rPr>
                      <w:b/>
                      <w:szCs w:val="24"/>
                      <w:lang w:eastAsia="lt-LT"/>
                    </w:rPr>
                  </w:pPr>
                  <w:r>
                    <w:rPr>
                      <w:szCs w:val="24"/>
                      <w:lang w:eastAsia="lt-LT"/>
                    </w:rPr>
                    <w:t xml:space="preserve">Sprendimo projekto tikslas yra patvirtinti </w:t>
                  </w:r>
                  <w:r>
                    <w:rPr>
                      <w:szCs w:val="24"/>
                      <w:lang w:eastAsia="ar-SA"/>
                    </w:rPr>
                    <w:t xml:space="preserve">Šiaulių kultūros centro </w:t>
                  </w:r>
                  <w:r>
                    <w:rPr>
                      <w:szCs w:val="24"/>
                      <w:lang w:eastAsia="lt-LT"/>
                    </w:rPr>
                    <w:t xml:space="preserve">teikiamų atlygintinų paslaugų sąrašą. </w:t>
                  </w:r>
                </w:p>
              </w:sdtContent>
            </w:sdt>
            <w:sdt>
              <w:sdtPr>
                <w:alias w:val="poskyris"/>
                <w:tag w:val="part_27d4011db3be41f8a8bbb3b1a26e3489"/>
                <w:lock w:val="sdtLocked"/>
                <w:richText/>
              </w:sdtPr>
              <w:sdtContent>
                <w:p>
                  <w:pPr>
                    <w:ind w:firstLine="720"/>
                    <w:jc w:val="both"/>
                    <w:rPr>
                      <w:szCs w:val="24"/>
                    </w:rPr>
                  </w:pPr>
                  <w:sdt>
                    <w:sdtPr>
                      <w:alias w:val="Pavadinimas"/>
                      <w:tag w:val="title_27d4011db3be41f8a8bbb3b1a26e3489"/>
                      <w:lock w:val="sdtLocked"/>
                      <w:richText/>
                    </w:sdtPr>
                    <w:sdtContent>
                      <w:r>
                        <w:rPr>
                          <w:b/>
                          <w:szCs w:val="24"/>
                        </w:rPr>
                        <w:t xml:space="preserve">Dabartinis sprendimo projekte aptariamų klausimų teisinis reguliavimas. </w:t>
                      </w:r>
                    </w:sdtContent>
                  </w:sdt>
                </w:p>
                <w:p>
                  <w:pPr>
                    <w:ind w:firstLine="720"/>
                    <w:jc w:val="both"/>
                    <w:rPr>
                      <w:szCs w:val="24"/>
                    </w:rPr>
                  </w:pPr>
                  <w:r>
                    <w:rPr>
                      <w:szCs w:val="24"/>
                    </w:rPr>
                    <w:t xml:space="preserve">Dabar galiojantis Šiaulių kultūros centro teikiamų atlygintinų paslaugų sąrašas (toliau – paslaugų sąrašas) yra patvirtintas Šiaulių miesto savivaldybės tarybos 2024 m. birželio 6 d. sprendimu Nr. T-214 „Dėl Šiaulių kultūros centro teikiamų atlygintinų paslaugų sąrašo patvirtinimo“.  </w:t>
                  </w:r>
                </w:p>
              </w:sdtContent>
            </w:sdt>
            <w:sdt>
              <w:sdtPr>
                <w:alias w:val="poskyris"/>
                <w:tag w:val="part_9fa406c9106c47ea8229fab28d7e6dd8"/>
                <w:lock w:val="sdtLocked"/>
                <w:richText/>
              </w:sdtPr>
              <w:sdtContent>
                <w:p>
                  <w:pPr>
                    <w:ind w:firstLine="709"/>
                    <w:jc w:val="both"/>
                    <w:rPr>
                      <w:rFonts w:eastAsia="Calibri"/>
                      <w:b/>
                      <w:color w:val="000000"/>
                      <w:szCs w:val="24"/>
                    </w:rPr>
                  </w:pPr>
                  <w:sdt>
                    <w:sdtPr>
                      <w:alias w:val="Pavadinimas"/>
                      <w:tag w:val="title_9fa406c9106c47ea8229fab28d7e6dd8"/>
                      <w:lock w:val="sdtLocked"/>
                      <w:richText/>
                    </w:sdtPr>
                    <w:sdtContent>
                      <w:r>
                        <w:rPr>
                          <w:rFonts w:eastAsia="Calibri"/>
                          <w:b/>
                          <w:color w:val="000000"/>
                          <w:szCs w:val="24"/>
                        </w:rPr>
                        <w:t xml:space="preserve">Sprendimo projekte numatytos naujos teisinio reglamentavimo nuostatos. </w:t>
                      </w:r>
                    </w:sdtContent>
                  </w:sdt>
                </w:p>
                <w:p>
                  <w:pPr>
                    <w:ind w:firstLine="709"/>
                    <w:jc w:val="both"/>
                    <w:rPr>
                      <w:rFonts w:eastAsia="Calibri"/>
                      <w:szCs w:val="24"/>
                    </w:rPr>
                  </w:pPr>
                  <w:r>
                    <w:rPr>
                      <w:rFonts w:eastAsia="Calibri"/>
                      <w:szCs w:val="24"/>
                    </w:rPr>
                    <w:t xml:space="preserve">Atsižvelgiant į 2025 m. birželio 5 d. sprendimą Nr. T-275 „Dėl Šiaulių miesto kultūros centro „Laiptų galerija“ reorganizavimo, prijungiant jį prie Šiaulių kultūros centro“, koreguojamas Šiaulių kultūros centro (toliau – Kultūros centras), perėmusio visas reorganizuotos biudžetinės įstaigos teises ir pareigas, teikiamų atlygintinų paslaugų sąrašas. </w:t>
                  </w:r>
                </w:p>
                <w:p>
                  <w:pPr>
                    <w:ind w:firstLine="709"/>
                    <w:jc w:val="both"/>
                    <w:rPr>
                      <w:rFonts w:eastAsia="Calibri"/>
                      <w:szCs w:val="24"/>
                    </w:rPr>
                  </w:pPr>
                  <w:r>
                    <w:rPr>
                      <w:rFonts w:eastAsia="Calibri"/>
                      <w:szCs w:val="24"/>
                    </w:rPr>
                    <w:t xml:space="preserve">Tęsiant Šiaulių kultūros centro padaliniu tapusios galerijos „Laiptai“ (toliau – galerija „Laiptai“) veiklą po reorganizacijos, perkeliami aktualūs galerijos „Laiptai“ įkainiai į Kultūros centro teikiamų atlygintinų paslaugų sąrašą (paslaugų sąrašo 3, 3.1, 3.2 ir 15.11 punktai), taip pat perkeliama aktuali nemokamo galerijos „Laiptai“ lankymo formuluotė (10 išnaša). </w:t>
                  </w:r>
                </w:p>
                <w:p>
                  <w:pPr>
                    <w:ind w:firstLine="709"/>
                    <w:jc w:val="both"/>
                    <w:rPr>
                      <w:rFonts w:eastAsia="Calibri"/>
                      <w:szCs w:val="24"/>
                    </w:rPr>
                  </w:pPr>
                  <w:r>
                    <w:rPr>
                      <w:rFonts w:eastAsia="Calibri"/>
                      <w:szCs w:val="24"/>
                    </w:rPr>
                    <w:t xml:space="preserve">Paslaugų sąraše siūloma patikslinti 12 punktą, keičiant pavadinimą į „Šiaulių kultūros centro bilieto kainos“ ir įvedant bilietų skirstymą į: „koncertams, spektakliams, mėgėjų meno kolektyvų renginiams, edukacinėms programoms, kūrybinėms dirbtuvėms, kino filmams, diskotekoms, šokių vakarams, seminarams ir kt. (12.1 punktas) ir „parodoms“ (12.2 punktas). Parodų lankymo bilieto kaina apskaičiuojama pagal patvirtintą bilieto kainos apskaičiavimo formulę (12.2.1 punktas). </w:t>
                  </w:r>
                </w:p>
                <w:p>
                  <w:pPr>
                    <w:ind w:firstLine="709"/>
                    <w:jc w:val="both"/>
                    <w:rPr>
                      <w:rFonts w:eastAsia="Calibri"/>
                      <w:szCs w:val="24"/>
                    </w:rPr>
                  </w:pPr>
                  <w:r>
                    <w:rPr>
                      <w:rFonts w:eastAsia="Calibri"/>
                      <w:szCs w:val="24"/>
                    </w:rPr>
                    <w:t xml:space="preserve">Paslaugų sąrašo 12 punkto 12.2.3 ir 12.2.4 papunkčiuose įvedamos naujos parodų lankytojams taikomų nuolaidų formuluotės. Taip pat siūloma patikslinti 15.6 punkto pavadinimą, išplečiant dalyvio mokesčio taikymo imtį ir papildant pavadinimą žodžių junginiu „jungtinės parodos“, ir </w:t>
                  </w:r>
                  <w:r>
                    <w:rPr>
                      <w:rFonts w:eastAsia="Calibri"/>
                      <w:szCs w:val="24"/>
                      <w:shd w:val="clear" w:color="auto" w:fill="FFFFFF"/>
                      <w:lang w:eastAsia="lt-LT"/>
                    </w:rPr>
                    <w:t xml:space="preserve">papildyti </w:t>
                  </w:r>
                  <w:r>
                    <w:rPr>
                      <w:rFonts w:eastAsia="Calibri"/>
                      <w:szCs w:val="24"/>
                    </w:rPr>
                    <w:t xml:space="preserve">15.6 punktą </w:t>
                  </w:r>
                  <w:r>
                    <w:rPr>
                      <w:rFonts w:eastAsia="Calibri"/>
                      <w:szCs w:val="24"/>
                      <w:shd w:val="clear" w:color="auto" w:fill="FFFFFF"/>
                      <w:lang w:eastAsia="lt-LT"/>
                    </w:rPr>
                    <w:t xml:space="preserve">nauju papunkčiu 15.6.6 „jungtinė paroda“. Mokestis bus taikomas asmenims (menininkams, kūrėjams ir pan.), pageidaujantiems dalyvauti Kultūros centro organizuojamose jungtinėse meno kūrinių parodose, surinktos lėšos bus nukreipiamos parodų organizavimo išlaidoms padengti. </w:t>
                  </w:r>
                </w:p>
                <w:p>
                  <w:pPr>
                    <w:ind w:firstLine="709"/>
                    <w:jc w:val="both"/>
                    <w:rPr>
                      <w:rFonts w:eastAsia="Calibri"/>
                      <w:szCs w:val="24"/>
                    </w:rPr>
                  </w:pPr>
                  <w:r>
                    <w:rPr>
                      <w:rFonts w:eastAsia="Calibri"/>
                      <w:szCs w:val="24"/>
                    </w:rPr>
                    <w:t xml:space="preserve">2025 m. pavasarį po renovacijos duris atvėrė Kultūros centro padalinys Rėkyvos kultūros namai, kurių atnaujintos erdvės su pilnaverte infrastruktūra sukuria kitas galimybes kultūrinės veiklos vystymui. Atsižvelgus į objekto vertės padidėjimą, buvo perskaičiuoti patalpų Rėkyvos kultūros namuose (Energetikų g. 7) nuomos įkainiai (2.1, 2.2, 2.3 ir 2.4 punktai). Šie įkainiai buvo apskaičiuoti vadovaujantis Šiaulių miesto savivaldybės tarybos 2018 m. liepos 5 d. sprendimu Nr. T-248 </w:t>
                  </w:r>
                  <w:r>
                    <w:rPr>
                      <w:bCs/>
                      <w:szCs w:val="24"/>
                      <w:lang w:eastAsia="lt-LT"/>
                    </w:rPr>
                    <w:t>(Šiaulių miesto savivaldybės tarybos 2020 m. gegužės 7 d. Nr. T-148 redakcija)</w:t>
                  </w:r>
                  <w:r>
                    <w:rPr>
                      <w:rFonts w:eastAsia="Calibri"/>
                      <w:szCs w:val="24"/>
                    </w:rPr>
                    <w:t xml:space="preserve"> patvirtinta „Šiaulių miesto savivaldybės švietimo, kultūros ir sporto biudžetinių ir viešųjų įstaigų, kurių savininkė yra Šiaulių miesto savivaldybė, teikiamų atlygintinų paslaugų kainos dydžio nustatymo metodika“. </w:t>
                  </w:r>
                </w:p>
                <w:p>
                  <w:pPr>
                    <w:ind w:firstLine="709"/>
                    <w:jc w:val="both"/>
                    <w:rPr>
                      <w:rFonts w:eastAsia="Calibri"/>
                      <w:bCs/>
                      <w:szCs w:val="24"/>
                    </w:rPr>
                  </w:pPr>
                  <w:r>
                    <w:rPr>
                      <w:rFonts w:eastAsia="Calibri"/>
                      <w:szCs w:val="24"/>
                    </w:rPr>
                    <w:t xml:space="preserve">Į Kultūros centro paslaugų sąrašą siūloma įtraukti naują 5 Eur įkainį „Solidarumo mokestis“ (18 punktas), kai renginys vyksta įstaigos vidaus patalpose ir renginio organizavimo sąnaudos pakankamai didelės, tačiau didžiajai daliai išlaidų (honorarai atlikėjams, koncertinės programos, techninis scenos išpildymas ir pan.) padengti lėšos skiriamos iš </w:t>
                  </w:r>
                  <w:r>
                    <w:rPr>
                      <w:rFonts w:eastAsia="Calibri"/>
                      <w:bCs/>
                      <w:szCs w:val="24"/>
                    </w:rPr>
                    <w:t xml:space="preserve">Šiaulių miesto savivaldybės biudžeto 02 Kultūros programos lėšų, skirtų valstybinėms šventėms (išskyrus Vasario 16-ąją – Lietuvos valstybės atkūrimo dieną, Kovo 11-ąją – Lietuvos nepriklausomybės atkūrimo dieną, Liepos 6-ąją – Valstybės (Lietuvos karaliaus Mindaugo karūnavimo) ir Tautiškos giesmės dieną), atmintinoms dienoms (išskyrus spalio 1-ąją – Tarptautinę pagyvenusių žmonių ir Tarptautinę muzikos dieną), Šiaulių miesto šventėms (renginiams) organizuoti ir įgyvendinti kultūros priemonėms miesto įvaizdžiui gerinti. </w:t>
                  </w:r>
                </w:p>
                <w:p>
                  <w:pPr>
                    <w:ind w:firstLine="709"/>
                    <w:jc w:val="both"/>
                    <w:rPr>
                      <w:rFonts w:eastAsia="Calibri"/>
                      <w:szCs w:val="24"/>
                    </w:rPr>
                  </w:pPr>
                  <w:r>
                    <w:rPr>
                      <w:rFonts w:eastAsia="Calibri"/>
                      <w:szCs w:val="24"/>
                    </w:rPr>
                    <w:t>Šis mokestis užtikrins didesnį renginių prieinamumą bendruomenei, lyginant su formulės pagrindu apskaičiuojamomis bilietų kainomis, padės suderinti bendruomenės lūkesčius su realiomis renginių organizavimo galimybėmis, nes padengs kai kurias įstaigos patiriamas išlaidas (ūkinės ir higienos prekės, renginio apsauga, papildomo techninio personalo samdymas, reklamos išlaidos ir pan.). Mokesčio taikymą konkrečiai priemonei įsakymu tvirtins Kultūros centro direktorius.</w:t>
                  </w:r>
                </w:p>
                <w:p>
                  <w:pPr>
                    <w:widowControl w:val="0"/>
                    <w:spacing w:line="100" w:lineRule="atLeast"/>
                    <w:ind w:firstLine="720"/>
                    <w:jc w:val="both"/>
                    <w:rPr>
                      <w:b/>
                      <w:szCs w:val="24"/>
                      <w:lang w:eastAsia="lt-LT"/>
                    </w:rPr>
                  </w:pPr>
                  <w:r>
                    <w:rPr>
                      <w:b/>
                      <w:szCs w:val="24"/>
                      <w:lang w:eastAsia="lt-LT"/>
                    </w:rPr>
                    <w:t xml:space="preserve">Priėmus sprendimą, galimos pasekmės. </w:t>
                  </w:r>
                  <w:r>
                    <w:rPr>
                      <w:szCs w:val="24"/>
                      <w:lang w:eastAsia="lt-LT"/>
                    </w:rPr>
                    <w:t xml:space="preserve">Priėmus sprendimą, neigiamų pasekmių nenumatoma. Teigiamos pasekmės – </w:t>
                  </w:r>
                  <w:r>
                    <w:rPr>
                      <w:lang w:eastAsia="lt-LT"/>
                    </w:rPr>
                    <w:t xml:space="preserve">Šiaulių kultūros centro </w:t>
                  </w:r>
                  <w:r>
                    <w:rPr>
                      <w:lang w:eastAsia="ar-SA"/>
                    </w:rPr>
                    <w:t xml:space="preserve">teikiamų atlygintinų paslaugų sąrašas atspindės Šiaulių kultūros centro padalinių </w:t>
                  </w:r>
                  <w:r>
                    <w:rPr>
                      <w:szCs w:val="24"/>
                      <w:lang w:eastAsia="lt-LT"/>
                    </w:rPr>
                    <w:t>– galerijos „Laiptai“ ir Rėkyvos kultūros namų – teikiamas atlygintinas paslaugas.</w:t>
                  </w:r>
                  <w:r>
                    <w:rPr>
                      <w:lang w:eastAsia="ar-SA"/>
                    </w:rPr>
                    <w:t xml:space="preserve"> </w:t>
                  </w:r>
                </w:p>
                <w:p>
                  <w:pPr>
                    <w:ind w:firstLine="720"/>
                    <w:jc w:val="both"/>
                    <w:rPr>
                      <w:b/>
                      <w:szCs w:val="24"/>
                    </w:rPr>
                  </w:pPr>
                  <w:r>
                    <w:rPr>
                      <w:b/>
                      <w:szCs w:val="24"/>
                    </w:rPr>
                    <w:t xml:space="preserve">Priėmus sprendimą, keičiami ar pripažįstami negaliojančiais teisės aktai. </w:t>
                  </w:r>
                  <w:r>
                    <w:rPr>
                      <w:szCs w:val="24"/>
                    </w:rPr>
                    <w:t>Priėmus sprendimą, bus pripažintas netekusiu galios Šiaulių miesto savivaldybės tarybos 2024 m. birželio 6 d. sprendimas Nr. T-214 „Dėl Šiaulių kultūros centro teikiamų atlygintinų paslaugų sąrašo patvirtinimo“.</w:t>
                  </w:r>
                </w:p>
                <w:p>
                  <w:pPr>
                    <w:ind w:firstLine="720"/>
                    <w:jc w:val="both"/>
                    <w:rPr>
                      <w:b/>
                      <w:bCs/>
                      <w:color w:val="000000"/>
                      <w:szCs w:val="24"/>
                    </w:rPr>
                  </w:pPr>
                  <w:r>
                    <w:rPr>
                      <w:b/>
                      <w:bCs/>
                      <w:color w:val="000000"/>
                      <w:szCs w:val="24"/>
                    </w:rPr>
                    <w:t xml:space="preserve">Sprendimui įgyvendinti reikalingi priimti papildomi teisės aktai. </w:t>
                  </w:r>
                  <w:r>
                    <w:rPr>
                      <w:color w:val="000000"/>
                      <w:szCs w:val="24"/>
                    </w:rPr>
                    <w:t>Priėmus sprendimą, keisti ar priimti papildomų teisės aktų nereikės.</w:t>
                  </w:r>
                </w:p>
                <w:p>
                  <w:pPr>
                    <w:ind w:firstLine="720"/>
                    <w:jc w:val="both"/>
                    <w:rPr>
                      <w:rFonts w:eastAsia="Calibri"/>
                      <w:b/>
                      <w:szCs w:val="24"/>
                    </w:rPr>
                  </w:pPr>
                  <w:r>
                    <w:rPr>
                      <w:rFonts w:eastAsia="Calibri"/>
                      <w:b/>
                      <w:szCs w:val="24"/>
                    </w:rPr>
                    <w:t xml:space="preserve">Sprendimui įgyvendinti reikalingos lėšos. </w:t>
                  </w:r>
                  <w:r>
                    <w:rPr>
                      <w:rFonts w:eastAsia="Calibri"/>
                      <w:szCs w:val="24"/>
                    </w:rPr>
                    <w:t xml:space="preserve">Sprendimui įgyvendinti papildomų lėšų </w:t>
                  </w:r>
                  <w:r>
                    <w:rPr>
                      <w:color w:val="262626"/>
                      <w:szCs w:val="24"/>
                      <w:lang w:val="pt-BR"/>
                    </w:rPr>
                    <w:t>nereikės.</w:t>
                  </w:r>
                </w:p>
                <w:p>
                  <w:pPr>
                    <w:shd w:val="clear" w:color="auto" w:fill="FFFFFF"/>
                    <w:ind w:firstLine="720"/>
                    <w:jc w:val="both"/>
                    <w:rPr>
                      <w:color w:val="262626"/>
                      <w:szCs w:val="24"/>
                      <w:shd w:val="clear" w:color="auto" w:fill="FFFFFF"/>
                    </w:rPr>
                  </w:pPr>
                  <w:r>
                    <w:rPr>
                      <w:rFonts w:eastAsia="Calibri"/>
                      <w:b/>
                      <w:szCs w:val="24"/>
                    </w:rPr>
                    <w:t>Sprendimo projekto antikorupcinis vertinimas.</w:t>
                  </w:r>
                  <w:r>
                    <w:rPr>
                      <w:color w:val="262626"/>
                      <w:szCs w:val="24"/>
                      <w:shd w:val="clear" w:color="auto" w:fill="FFFFFF"/>
                    </w:rPr>
                    <w:t xml:space="preserve"> Pridedama antikorupcinio vertinimo pažyma. </w:t>
                  </w:r>
                </w:p>
                <w:p>
                  <w:pPr>
                    <w:suppressAutoHyphens/>
                    <w:ind w:firstLine="720"/>
                    <w:jc w:val="both"/>
                    <w:rPr>
                      <w:b/>
                      <w:kern w:val="2"/>
                      <w:szCs w:val="24"/>
                      <w:shd w:val="clear" w:color="auto" w:fill="FFFFFF"/>
                      <w:lang w:eastAsia="zh-CN"/>
                    </w:rPr>
                  </w:pPr>
                  <w:r>
                    <w:rPr>
                      <w:b/>
                      <w:kern w:val="2"/>
                      <w:szCs w:val="24"/>
                      <w:shd w:val="clear" w:color="auto" w:fill="FFFFFF"/>
                      <w:lang w:eastAsia="zh-CN"/>
                    </w:rPr>
                    <w:t>N</w:t>
                  </w:r>
                  <w:r>
                    <w:rPr>
                      <w:rFonts w:eastAsia="Calibri"/>
                      <w:b/>
                      <w:kern w:val="2"/>
                      <w:szCs w:val="24"/>
                      <w:lang w:eastAsia="zh-CN"/>
                    </w:rPr>
                    <w:t xml:space="preserve">umatomo teisinio reguliavimo poveikio vertinimas. </w:t>
                  </w:r>
                  <w:r>
                    <w:rPr>
                      <w:rFonts w:eastAsia="Calibri"/>
                      <w:bCs/>
                      <w:kern w:val="2"/>
                      <w:szCs w:val="24"/>
                      <w:lang w:eastAsia="zh-CN"/>
                    </w:rPr>
                    <w:t>Neatliekamas.</w:t>
                  </w:r>
                </w:p>
                <w:p>
                  <w:pPr>
                    <w:suppressAutoHyphens/>
                    <w:ind w:firstLine="720"/>
                    <w:jc w:val="both"/>
                    <w:rPr>
                      <w:color w:val="000000"/>
                      <w:kern w:val="2"/>
                      <w:szCs w:val="24"/>
                      <w:lang w:eastAsia="lt-LT"/>
                    </w:rPr>
                  </w:pPr>
                  <w:r>
                    <w:rPr>
                      <w:b/>
                      <w:bCs/>
                      <w:color w:val="000000"/>
                      <w:kern w:val="2"/>
                      <w:szCs w:val="24"/>
                      <w:lang w:eastAsia="lt-LT"/>
                    </w:rPr>
                    <w:t>Sprendimo projektą parengė</w:t>
                  </w:r>
                  <w:r>
                    <w:rPr>
                      <w:color w:val="000000"/>
                      <w:kern w:val="2"/>
                      <w:szCs w:val="24"/>
                      <w:lang w:eastAsia="lt-LT"/>
                    </w:rPr>
                    <w:t xml:space="preserve"> </w:t>
                  </w:r>
                  <w:r>
                    <w:rPr>
                      <w:kern w:val="2"/>
                      <w:szCs w:val="24"/>
                      <w:shd w:val="clear" w:color="auto" w:fill="FFFFFF"/>
                      <w:lang w:eastAsia="zh-CN"/>
                    </w:rPr>
                    <w:t>Kultūros skyrius. Tiesioginiai rengėjai – Kultūros skyriaus vyriausioji specialistė Edita Ramanauskienė, tel. +370 41 500 532</w:t>
                  </w:r>
                  <w:r>
                    <w:rPr>
                      <w:kern w:val="2"/>
                      <w:szCs w:val="24"/>
                      <w:lang w:eastAsia="lt-LT"/>
                    </w:rPr>
                    <w:t>. Projekto iniciatoriai – Kultūros skyriaus vedėja Daina Kinčinaitienė, tel. +370 41 500 531, Šiaulių kultūros centro direktorė Deimantė Bačiulė, mob. +370 671 42 889.</w:t>
                  </w:r>
                </w:p>
                <w:p>
                  <w:pPr>
                    <w:tabs>
                      <w:tab w:val="left" w:pos="0"/>
                    </w:tabs>
                    <w:rPr>
                      <w:rFonts w:eastAsia="Calibri"/>
                      <w:szCs w:val="24"/>
                    </w:rPr>
                  </w:pPr>
                </w:p>
                <w:p>
                  <w:pPr>
                    <w:tabs>
                      <w:tab w:val="left" w:pos="0"/>
                    </w:tabs>
                    <w:rPr>
                      <w:rFonts w:eastAsia="Calibri"/>
                      <w:szCs w:val="24"/>
                    </w:rPr>
                  </w:pPr>
                </w:p>
                <w:p>
                  <w:pPr>
                    <w:tabs>
                      <w:tab w:val="left" w:pos="0"/>
                    </w:tabs>
                    <w:rPr>
                      <w:rFonts w:eastAsia="Calibri"/>
                      <w:szCs w:val="24"/>
                    </w:rPr>
                  </w:pPr>
                </w:p>
              </w:sdtContent>
            </w:sdt>
          </w:sdtContent>
        </w:sdt>
        <w:sdt>
          <w:sdtPr>
            <w:alias w:val="signatura"/>
            <w:tag w:val="part_aee130095b63421880aa2b4d5d8db68e"/>
            <w:lock w:val="sdtLocked"/>
            <w:richText/>
          </w:sdtPr>
          <w:sdtContent>
            <w:p>
              <w:pPr>
                <w:tabs>
                  <w:tab w:val="left" w:pos="0"/>
                </w:tabs>
                <w:rPr>
                  <w:rFonts w:eastAsia="Calibri"/>
                  <w:szCs w:val="24"/>
                </w:rPr>
              </w:pPr>
              <w:r>
                <w:rPr>
                  <w:rFonts w:eastAsia="Calibri"/>
                  <w:szCs w:val="24"/>
                </w:rPr>
                <w:t xml:space="preserve">Skyriaus vedėja </w:t>
                <w:tab/>
                <w:tab/>
                <w:tab/>
                <w:tab/>
                <w:t xml:space="preserve">                                                        Daina Kinčinaitienė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lang w:val="en-US"/>
      </w:rPr>
      <mc:AlternateContent>
        <mc:Choice Requires="wps">
          <w:drawing>
            <wp:anchor distT="0" distB="0" distL="0" distR="0" simplePos="0" relativeHeight="2" behindDoc="1" locked="0" layoutInCell="1" allowOverlap="1" wp14:anchorId="3A7069D8" wp14:editId="3A7069D9">
              <wp:simplePos x="0" y="0"/>
              <wp:positionH relativeFrom="margin">
                <wp:align>center</wp:align>
              </wp:positionH>
              <wp:positionV relativeFrom="paragraph">
                <wp:posOffset>635</wp:posOffset>
              </wp:positionV>
              <wp:extent cx="76200" cy="170180"/>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75600" cy="169560"/>
                      </a:xfrm>
                      <a:prstGeom prst="rect">
                        <a:avLst/>
                      </a:prstGeom>
                      <a:noFill/>
                      <a:ln>
                        <a:noFill/>
                      </a:ln>
                    </wps:spPr>
                    <wps:style>
                      <a:lnRef idx="0">
                        <a:scrgbClr r="0" g="0" b="0"/>
                      </a:lnRef>
                      <a:fillRef idx="0">
                        <a:scrgbClr r="0" g="0" b="0"/>
                      </a:fillRef>
                      <a:effectRef idx="0">
                        <a:scrgbClr r="0" g="0" b="0"/>
                      </a:effectRef>
                      <a:fontRef idx="minor"/>
                    </wps:style>
                    <wps:txbx>
                      <w:txbxContent>
                        <w:p>
                          <w:pPr>
                            <w:tabs>
                              <w:tab w:val="center" w:pos="4819"/>
                              <w:tab w:val="right" w:pos="9638"/>
                            </w:tabs>
                            <w:spacing w:after="200" w:line="276" w:lineRule="auto"/>
                            <w:rPr>
                              <w:rFonts w:ascii="Calibri" w:eastAsia="Calibri" w:hAnsi="Calibri"/>
                              <w:sz w:val="22"/>
                              <w:szCs w:val="22"/>
                            </w:rPr>
                          </w:pPr>
                          <w:r>
                            <w:rPr>
                              <w:rFonts w:ascii="Calibri" w:eastAsia="Calibri" w:hAnsi="Calibri"/>
                              <w:color w:val="000000"/>
                              <w:sz w:val="22"/>
                              <w:szCs w:val="22"/>
                            </w:rPr>
                            <w:fldChar w:fldCharType="begin"/>
                          </w:r>
                          <w:r>
                            <w:rPr>
                              <w:rFonts w:ascii="Calibri" w:eastAsia="Calibri" w:hAnsi="Calibri"/>
                              <w:sz w:val="22"/>
                              <w:szCs w:val="22"/>
                            </w:rPr>
                            <w:instrText>PAGE</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txbxContent>
                    </wps:txbx>
                    <wps:bodyPr lIns="0" tIns="0" rIns="0" bIns="0">
                      <a:spAutoFit/>
                    </wps:bodyPr>
                  </wps:wsp>
                </a:graphicData>
              </a:graphic>
            </wp:anchor>
          </w:drawing>
        </mc:Choice>
        <mc:Fallback>
          <w:pict>
            <v:rect w14:anchorId="3A7069D8" id="Frame1" o:spid="_x0000_s1026" style="position:absolute;margin-left:0;margin-top:.05pt;width:6pt;height:13.4pt;z-index:-503316478;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BhvTzgEAAAoEAAAOAAAAZHJzL2Uyb0RvYy54bWysU9tu2zAMfR/QfxD03sgpsGwz4hTFihQF hq1Ytw+QZSkWoBsoNXb+fpTsuO321KEvEkXxHJGH1PZ6tIYcJUTtXUPXq4oS6YTvtDs09Pev/eVn SmLiruPGO9nQk4z0enfxYTuEWl753ptOAkESF+shNLRPKdSMRdFLy+PKB+nwUnmwPOERDqwDPiC7 NeyqqjZs8NAF8ELGiN7b6ZLuCr9SUqQfSkWZiGko5pbKCmVt88p2W14fgIdeizkN/h9ZWK4dPrpQ 3fLEyRPof6isFuCjV2klvGVeKS1kqQGrWVd/VfPY8yBLLShODItM8f1oxffjAxDdYe8ocdxii/aA 2zorM4RYY8BjeID5FNHMZY4KbN6xADIWNU+LmnJMRKDz08dNhZILvFlvvuAhU7JnbICY7qS3JBsN BexVkZAfv8U0hZ5D8lPO77Ux6Oe1ca8cyJk9LKc7JVisdDJyiv4pFZZY8syOKODQfjVApjnAQcU0 z9NQyBCQAxU++EbsDMloWcbvjfgFVN73Li14q52HIuGL6rKZxnac29P67oTtNPcORySP+9mAs9HO RtEh3DwlVLWInZkm+KwkDlxp1/w58kS/PJeo5y+8+wMAAP//AwBQSwMEFAAGAAgAAAAhALP3z43Y AAAAAwEAAA8AAABkcnMvZG93bnJldi54bWxMj8FOwzAQRO9I/IO1SFwQdcihakM2FULqDQk1cIDb Nl7iQLyOYrcJfD3OCY6zs5p5U+5m16szj6HzgnC3ykCxNN500iK8vuxvN6BCJDHUe2GEbw6wqy4v SiqMn+TA5zq2KoVIKAjBxjgUWofGsqOw8gNL8j786CgmObbajDSlcNfrPMvW2lEnqcHSwI+Wm6/6 5BD2z28dy48+3Gw3k/9s8vfaPg2I11fzwz2oyHP8e4YFP6FDlZiO/iQmqB4hDYnLVS1entQRIV9v QVel/s9e/QIAAP//AwBQSwECLQAUAAYACAAAACEAtoM4kv4AAADhAQAAEwAAAAAAAAAAAAAAAAAA AAAAW0NvbnRlbnRfVHlwZXNdLnhtbFBLAQItABQABgAIAAAAIQA4/SH/1gAAAJQBAAALAAAAAAAA AAAAAAAAAC8BAABfcmVscy8ucmVsc1BLAQItABQABgAIAAAAIQC4BhvTzgEAAAoEAAAOAAAAAAAA AAAAAAAAAC4CAABkcnMvZTJvRG9jLnhtbFBLAQItABQABgAIAAAAIQCz98+N2AAAAAMBAAAPAAAA AAAAAAAAAAAAACgEAABkcnMvZG93bnJldi54bWxQSwUGAAAAAAQABADzAAAALQUAAAAA " filled="f" stroked="f">
              <v:textbox style="mso-fit-shape-to-text:t" inset="0,0,0,0">
                <w:txbxContent>
                  <w:p w14:paraId="3A7069DA" w14:textId="77777777">
                    <w:pPr>
                      <w:tabs>
                        <w:tab w:val="center" w:leader="none" w:pos="4819"/>
                        <w:tab w:val="right" w:leader="none" w:pos="9638"/>
                      </w:tabs>
                      <w:spacing w:after="200" w:line="276"/>
                      <w:rPr>
                        <w:rFonts w:ascii="Calibri" w:hAnsi="Calibri" w:eastAsia="Calibri" w:cs="Times New Roman"/>
                        <w:sz w:val="22"/>
                        <w:szCs w:val="22"/>
                      </w:rPr>
                    </w:pPr>
                    <w:r>
                      <w:rPr>
                        <w:rFonts w:ascii="Calibri" w:hAnsi="Calibri" w:eastAsia="Calibri" w:cs="Times New Roman"/>
                        <w:color w:val="000000"/>
                        <w:sz w:val="22"/>
                        <w:szCs w:val="22"/>
                      </w:rPr>
                      <w:fldChar w:fldCharType="begin"/>
                    </w:r>
                    <w:r>
                      <w:rPr>
                        <w:rFonts w:ascii="Calibri" w:hAnsi="Calibri" w:eastAsia="Calibri" w:cs="Times New Roman"/>
                        <w:sz w:val="22"/>
                        <w:szCs w:val="22"/>
                      </w:rPr>
                      <w:instrText>PAGE</w:instrText>
                    </w:r>
                    <w:r>
                      <w:rPr>
                        <w:rFonts w:ascii="Calibri" w:hAnsi="Calibri" w:eastAsia="Calibri" w:cs="Times New Roman"/>
                        <w:sz w:val="22"/>
                        <w:szCs w:val="22"/>
                      </w:rPr>
                      <w:fldChar w:fldCharType="separate"/>
                    </w:r>
                    <w:r>
                      <w:rPr>
                        <w:rFonts w:ascii="Calibri" w:hAnsi="Calibri" w:eastAsia="Calibri" w:cs="Times New Roman"/>
                        <w:sz w:val="22"/>
                        <w:szCs w:val="22"/>
                      </w:rPr>
                      <w:t>2</w:t>
                    </w:r>
                    <w:r>
                      <w:rPr>
                        <w:rFonts w:ascii="Calibri" w:hAnsi="Calibri" w:eastAsia="Calibri" w:cs="Times New Roman"/>
                        <w:sz w:val="22"/>
                        <w:szCs w:val="22"/>
                      </w:rPr>
                      <w:fldChar w:fldCharType="end"/>
                    </w:r>
                  </w:p>
                </w:txbxContent>
              </v:textbox>
              <w10:wrap type="square" side="largest" anchorx="margin"/>
            </v:rect>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F8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500DD1-0805-4617-AE53-35DDA3A2F3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456429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4411877a0540319b7add661cc3bbd0" PartId="6a987d66ea6647ceabccaab8aff485e0">
    <Part Type="skyrius" Nr="999" Title="SPRENDIMO „DĖL ŠIAULIŲ KULTŪROS CENTRO TEIKIAMŲ ATLYGINTINŲ PASLAUGŲ SĄRAŠO PATVIRTINIMO“ PROJEKTO AIŠKINAMASIS RAŠTAS" DocPartId="2ca4e5c9f63f4f4a99e8de4c8132784c" PartId="1731fb17cad040408b7a6e5c5fe191cb">
      <Part Type="poskyris" Title="Parengto sprendimo projekto tikslai ir uždaviniai." DocPartId="e3bf81fa680a483090cf1b8cbe289ac9" PartId="fa93b35d9dc546ca87791cb9967c90db"/>
      <Part Type="poskyris" Title="Dabartinis sprendimo projekte aptariamų klausimų teisinis reguliavimas." DocPartId="143f844531c648a0ae692543713e60cc" PartId="27d4011db3be41f8a8bbb3b1a26e3489"/>
      <Part Type="poskyris" Title="Sprendimo projekte numatytos naujos teisinio reglamentavimo nuostatos." DocPartId="697090e55cc743f48f4853000af94e94" PartId="9fa406c9106c47ea8229fab28d7e6dd8"/>
    </Part>
    <Part Type="signatura" DocPartId="89c7a613defe4db9b2ddbaa5b621549c" PartId="aee130095b63421880aa2b4d5d8db68e"/>
  </Part>
</Parts>
</file>

<file path=customXml/itemProps1.xml><?xml version="1.0" encoding="utf-8"?>
<ds:datastoreItem xmlns:ds="http://schemas.openxmlformats.org/officeDocument/2006/customXml" ds:itemID="{40E1F7AC-A4F6-41AA-BBC1-AE968F5C97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719</Words>
  <Characters>5348</Characters>
  <Application>Microsoft Office Word</Application>
  <DocSecurity>4</DocSecurity>
  <Lines>84</Lines>
  <Paragraphs>29</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6038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2025-10-10T18:06:00Z</dcterms:created>
  <dc:creator>Arunas</dc:creator>
  <dc:language>lt-LT</dc:language>
  <lastModifiedBy>adlibuser</lastModifiedBy>
  <lastPrinted>2025-10-01T11:39:00Z</lastPrinted>
  <dcterms:modified xsi:type="dcterms:W3CDTF">2025-10-10T18:06:00Z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DocumentEncoding">
    <vt:lpwstr>utf-8</vt:lpwstr>
  </property>
  <property fmtid="{D5CDD505-2E9C-101B-9397-08002B2CF9AE}" pid="5" name="HTML">
    <vt:bool>true</vt:bool>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