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3b211715bca04582953260f008bd4832"/>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Cs w:val="24"/>
                    <w:lang w:bidi="en-US"/>
                  </w:rPr>
                </w:pPr>
                <w:r>
                  <w:rPr>
                    <w:rFonts w:eastAsia="Andale Sans UI" w:cs="Tahoma"/>
                    <w:b/>
                    <w:spacing w:val="20"/>
                    <w:sz w:val="26"/>
                    <w:szCs w:val="26"/>
                    <w:lang w:val="en-US"/>
                  </w:rPr>
                  <w:drawing>
                    <wp:inline distT="0" distB="0" distL="0" distR="0" wp14:anchorId="47B4FF70" wp14:editId="05B85950">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Cs w:val="24"/>
                    <w:lang w:bidi="en-US"/>
                  </w:rPr>
                </w:pPr>
                <w:r>
                  <w:rPr>
                    <w:rFonts w:eastAsia="Andale Sans UI" w:cs="Tahoma"/>
                    <w:b/>
                    <w:bCs/>
                    <w:spacing w:val="20"/>
                    <w:szCs w:val="24"/>
                    <w:lang w:bidi="en-US"/>
                  </w:rPr>
                  <w:t>LIETUVOS RESPUBLIKOS APLINKOS MINISTERIJA</w:t>
                </w:r>
              </w:p>
              <w:p>
                <w:pPr>
                  <w:rPr>
                    <w:sz w:val="10"/>
                    <w:szCs w:val="10"/>
                  </w:rPr>
                </w:pPr>
              </w:p>
              <w:p>
                <w:pPr>
                  <w:suppressLineNumbers/>
                  <w:jc w:val="center"/>
                  <w:rPr>
                    <w:rFonts w:eastAsia="Andale Sans UI"/>
                    <w:spacing w:val="12"/>
                    <w:sz w:val="16"/>
                    <w:szCs w:val="16"/>
                    <w:lang w:bidi="en-US"/>
                  </w:rPr>
                </w:pPr>
                <w:r>
                  <w:rPr>
                    <w:rFonts w:eastAsia="Andale Sans UI"/>
                    <w:spacing w:val="12"/>
                    <w:sz w:val="16"/>
                    <w:szCs w:val="16"/>
                    <w:lang w:bidi="en-US"/>
                  </w:rPr>
                  <w:t>Biudžetinė įstaiga, A. Jakšto g. 4, LT-01105 Vilnius,</w:t>
                </w:r>
              </w:p>
              <w:p>
                <w:pPr>
                  <w:suppressLineNumbers/>
                  <w:jc w:val="center"/>
                  <w:rPr>
                    <w:rFonts w:eastAsia="Andale Sans UI"/>
                    <w:spacing w:val="12"/>
                    <w:sz w:val="16"/>
                    <w:szCs w:val="16"/>
                    <w:lang w:bidi="en-US"/>
                  </w:rPr>
                </w:pPr>
                <w:r>
                  <w:rPr>
                    <w:rFonts w:eastAsia="Andale Sans UI"/>
                    <w:spacing w:val="12"/>
                    <w:sz w:val="16"/>
                    <w:szCs w:val="16"/>
                    <w:lang w:bidi="en-US"/>
                  </w:rPr>
                  <w:t>tel. +370 626 22 252, el. p. info@am.lt, https://am.lrv.lt.</w:t>
                </w:r>
              </w:p>
              <w:p>
                <w:pPr>
                  <w:suppressLineNumbers/>
                  <w:jc w:val="center"/>
                  <w:rPr>
                    <w:rFonts w:ascii="Arial" w:eastAsia="Andale Sans UI" w:hAnsi="Arial" w:cs="Tahoma"/>
                    <w:b/>
                    <w:bCs/>
                    <w:spacing w:val="12"/>
                    <w:sz w:val="14"/>
                    <w:szCs w:val="14"/>
                    <w:lang w:bidi="en-US"/>
                  </w:rPr>
                </w:pPr>
                <w:r>
                  <w:rPr>
                    <w:rFonts w:eastAsia="Andale Sans UI"/>
                    <w:spacing w:val="12"/>
                    <w:sz w:val="16"/>
                    <w:szCs w:val="16"/>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cs="Tahoma"/>
                    <w:szCs w:val="24"/>
                    <w:lang w:bidi="en-US"/>
                  </w:rPr>
                </w:pPr>
                <w:r>
                  <w:rPr>
                    <w:rFonts w:eastAsia="Andale Sans UI" w:cs="Tahoma"/>
                    <w:szCs w:val="24"/>
                    <w:lang w:bidi="en-US"/>
                  </w:rPr>
                  <w:t>Pagal adresatų sąrašą</w:t>
                </w:r>
              </w:p>
              <w:p>
                <w:pPr>
                  <w:suppressLineNumbers/>
                  <w:jc w:val="both"/>
                  <w:rPr>
                    <w:rFonts w:eastAsia="Andale Sans UI" w:cs="Tahoma"/>
                    <w:szCs w:val="24"/>
                    <w:lang w:bidi="en-US"/>
                  </w:rPr>
                </w:pPr>
              </w:p>
              <w:p>
                <w:pPr>
                  <w:suppressLineNumbers/>
                  <w:jc w:val="both"/>
                  <w:rPr>
                    <w:rFonts w:eastAsia="Andale Sans UI" w:cs="Tahoma"/>
                    <w:spacing w:val="10"/>
                    <w:szCs w:val="24"/>
                    <w:lang w:bidi="en-US"/>
                  </w:rPr>
                </w:pP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suppressLineNumbers/>
                  <w:spacing w:line="276" w:lineRule="auto"/>
                  <w:jc w:val="both"/>
                  <w:rPr>
                    <w:rFonts w:eastAsia="Andale Sans UI" w:cs="Tahoma"/>
                    <w:b/>
                    <w:szCs w:val="24"/>
                    <w:lang w:eastAsia="lt-LT" w:bidi="en-US"/>
                  </w:rPr>
                </w:pPr>
                <w:r>
                  <w:rPr>
                    <w:rFonts w:eastAsia="Andale Sans UI" w:cs="Tahoma"/>
                    <w:b/>
                    <w:caps/>
                    <w:szCs w:val="24"/>
                    <w:lang w:bidi="en-US"/>
                  </w:rPr>
                  <w:t xml:space="preserve">DĖL </w:t>
                </w:r>
                <w:r>
                  <w:rPr>
                    <w:rFonts w:eastAsia="Andale Sans UI" w:cs="Tahoma"/>
                    <w:b/>
                    <w:szCs w:val="24"/>
                    <w:lang w:eastAsia="lt-LT" w:bidi="en-US"/>
                  </w:rPr>
                  <w:t>APLINKOS MINISTRO ĮSAKYMO PROJEKTO</w:t>
                </w:r>
              </w:p>
              <w:p>
                <w:pPr>
                  <w:suppressLineNumbers/>
                  <w:spacing w:line="276" w:lineRule="auto"/>
                  <w:jc w:val="both"/>
                  <w:rPr>
                    <w:rFonts w:eastAsia="Andale Sans UI" w:cs="Tahoma"/>
                    <w:b/>
                    <w:bCs/>
                    <w:szCs w:val="24"/>
                    <w:lang w:bidi="en-US"/>
                  </w:rPr>
                </w:pPr>
              </w:p>
            </w:tc>
          </w:tr>
        </w:tbl>
        <w:p/>
      </w:sdtContent>
    </w:sdt>
    <w:sdt>
      <w:sdtPr>
        <w:alias w:val="pastraipa"/>
        <w:tag w:val="part_2472d141cc4b47dab3c6fb61cf579875"/>
        <w:lock w:val="sdtLocked"/>
        <w:richText/>
      </w:sdtPr>
      <w:sdtContent>
        <w:p>
          <w:pPr>
            <w:ind w:firstLine="567"/>
            <w:jc w:val="both"/>
            <w:rPr>
              <w:rFonts w:eastAsia="Andale Sans UI"/>
              <w:szCs w:val="24"/>
              <w:lang w:bidi="en-US"/>
            </w:rPr>
          </w:pPr>
          <w:r>
            <w:rPr>
              <w:rFonts w:eastAsia="Andale Sans UI"/>
              <w:szCs w:val="24"/>
              <w:lang w:bidi="en-US"/>
            </w:rPr>
            <w:t xml:space="preserve">Aplinkos ministerija teikia derinti </w:t>
          </w:r>
          <w:r>
            <w:rPr>
              <w:rFonts w:eastAsia="Calibri" w:cs="Tahoma"/>
              <w:szCs w:val="24"/>
              <w:lang w:eastAsia="zh-CN" w:bidi="en-US"/>
            </w:rPr>
            <w:t>Lietuvos Respublikos aplinkos ministro įsakymo „</w:t>
          </w:r>
          <w:r>
            <w:rPr>
              <w:rFonts w:eastAsia="Andale Sans UI"/>
              <w:color w:val="000000"/>
              <w:szCs w:val="24"/>
              <w:shd w:val="clear" w:color="auto" w:fill="FFFFFF"/>
              <w:lang w:bidi="en-US"/>
            </w:rPr>
            <w:t xml:space="preserve">Dėl Pastatų duomenų banko </w:t>
          </w:r>
          <w:r>
            <w:rPr>
              <w:rFonts w:eastAsia="Andale Sans UI"/>
              <w:color w:val="000000"/>
              <w:szCs w:val="24"/>
              <w:lang w:bidi="en-US"/>
            </w:rPr>
            <w:t xml:space="preserve">informacinės sistemos steigimo ir </w:t>
          </w:r>
          <w:r>
            <w:rPr>
              <w:rFonts w:eastAsia="Andale Sans UI"/>
              <w:color w:val="000000"/>
              <w:szCs w:val="24"/>
              <w:shd w:val="clear" w:color="auto" w:fill="FFFFFF"/>
              <w:lang w:bidi="en-US"/>
            </w:rPr>
            <w:t>jos</w:t>
          </w:r>
          <w:r>
            <w:rPr>
              <w:rFonts w:eastAsia="Andale Sans UI"/>
              <w:color w:val="000000"/>
              <w:szCs w:val="24"/>
              <w:lang w:bidi="en-US"/>
            </w:rPr>
            <w:t xml:space="preserve"> nuostatų patvirtinimo</w:t>
          </w:r>
          <w:r>
            <w:rPr>
              <w:rFonts w:eastAsia="Calibri" w:cs="Tahoma"/>
              <w:color w:val="000000"/>
              <w:szCs w:val="24"/>
              <w:lang w:eastAsia="zh-CN" w:bidi="en-US"/>
            </w:rPr>
            <w:t>“</w:t>
          </w:r>
          <w:r>
            <w:rPr>
              <w:rFonts w:eastAsia="Andale Sans UI"/>
              <w:szCs w:val="24"/>
              <w:lang w:bidi="en-US"/>
            </w:rPr>
            <w:t xml:space="preserve"> projektą                               (toliau – Projektas)</w:t>
          </w:r>
        </w:p>
        <w:sdt>
          <w:sdtPr>
            <w:alias w:val="1 p."/>
            <w:tag w:val="part_909d11c646654bd98f4a5384d2d0a02d"/>
            <w:lock w:val="sdtLocked"/>
            <w:richText/>
          </w:sdtPr>
          <w:sdtContent>
            <w:p>
              <w:pPr>
                <w:ind w:firstLine="567"/>
                <w:jc w:val="both"/>
                <w:rPr>
                  <w:rFonts w:eastAsia="Andale Sans UI"/>
                  <w:szCs w:val="24"/>
                  <w:lang w:bidi="en-US"/>
                </w:rPr>
              </w:pPr>
              <w:sdt>
                <w:sdtPr>
                  <w:alias w:val="Numeris"/>
                  <w:tag w:val="nr_909d11c646654bd98f4a5384d2d0a02d"/>
                  <w:lock w:val="sdtLocked"/>
                  <w:richText/>
                </w:sdtPr>
                <w:sdtContent>
                  <w:r>
                    <w:rPr>
                      <w:rFonts w:eastAsia="Andale Sans UI"/>
                      <w:b/>
                      <w:bCs/>
                      <w:szCs w:val="24"/>
                      <w:lang w:bidi="en-US"/>
                    </w:rPr>
                    <w:t>1</w:t>
                  </w:r>
                </w:sdtContent>
              </w:sdt>
              <w:r>
                <w:rPr>
                  <w:rFonts w:eastAsia="Andale Sans UI"/>
                  <w:b/>
                  <w:bCs/>
                  <w:szCs w:val="24"/>
                  <w:lang w:bidi="en-US"/>
                </w:rPr>
                <w:t>. Projektu sprendžiama problema ir Projektą rengti paskatinusios priežastys</w:t>
              </w:r>
            </w:p>
            <w:p>
              <w:pPr>
                <w:suppressLineNumbers/>
                <w:spacing w:line="276" w:lineRule="auto"/>
                <w:ind w:firstLine="567"/>
                <w:jc w:val="both"/>
                <w:rPr>
                  <w:rFonts w:eastAsia="Andale Sans UI"/>
                  <w:szCs w:val="24"/>
                  <w:lang w:bidi="en-US"/>
                </w:rPr>
              </w:pPr>
              <w:r>
                <w:rPr>
                  <w:rFonts w:eastAsia="Andale Sans UI"/>
                  <w:szCs w:val="24"/>
                  <w:lang w:bidi="en-US"/>
                </w:rPr>
                <w:t xml:space="preserve">Lietuvoje nėra bendros sistemos, kurioje būtų centralizuotai tvarkomi pastatų priežiūrai ir renovacijai skatinti reikalingi aktualūs duomenys. Sukurtas pastatų priežiūros, energinio efektyvumo didinimo, renovacijos skatinimo, planavimo ir įgyvendinimo procesas išspręstų esminę problemą, susijusią su tinkamų sprendimų skatinant renovaciją priėmimu, – duomenų apie pastatų priežiūrą (kurią apima statinio techninės ir eksploatacinės būklės įvertinimas) trūkumą. </w:t>
              </w:r>
            </w:p>
            <w:p>
              <w:pPr>
                <w:spacing w:line="276" w:lineRule="auto"/>
                <w:ind w:firstLine="567"/>
                <w:jc w:val="both"/>
                <w:rPr>
                  <w:rFonts w:eastAsia="Andale Sans UI"/>
                  <w:szCs w:val="24"/>
                  <w:lang w:bidi="en-US"/>
                </w:rPr>
              </w:pPr>
              <w:r>
                <w:rPr>
                  <w:rFonts w:eastAsia="Andale Sans UI"/>
                  <w:szCs w:val="24"/>
                  <w:lang w:bidi="en-US"/>
                </w:rPr>
                <w:t>V</w:t>
              </w:r>
              <w:r>
                <w:rPr>
                  <w:rFonts w:eastAsia="Andale Sans UI"/>
                  <w:color w:val="000000"/>
                  <w:spacing w:val="-4"/>
                  <w:szCs w:val="24"/>
                  <w:shd w:val="clear" w:color="auto" w:fill="FFFFFF"/>
                  <w:lang w:bidi="en-US"/>
                </w:rPr>
                <w:t>iešoji įstaiga Statybos sektoriaus vystymo agentūra kartu su Aplinkos ministerija (projekto partnere) įgyvendina projektą „Pastatų duomenų bankas“ Nr. 01-002-P-0001 (toliau – PDB projektas), finansuojamą iš ES Ekonomikos gaivinimo ir atsparumo didinimo plano „Naujos kartos Lietuva“ lėšų. Įgyvendinant šį projektą (</w:t>
              </w:r>
              <w:r>
                <w:rPr>
                  <w:rFonts w:eastAsia="Andale Sans UI"/>
                  <w:iCs/>
                  <w:color w:val="000000"/>
                  <w:spacing w:val="-4"/>
                  <w:szCs w:val="24"/>
                  <w:shd w:val="clear" w:color="auto" w:fill="FFFFFF"/>
                  <w:lang w:bidi="en-US"/>
                </w:rPr>
                <w:t>nuo 2023-02-22 iki 2025-07-01</w:t>
              </w:r>
              <w:r>
                <w:rPr>
                  <w:rFonts w:eastAsia="Andale Sans UI"/>
                  <w:color w:val="000000"/>
                  <w:spacing w:val="-4"/>
                  <w:szCs w:val="24"/>
                  <w:shd w:val="clear" w:color="auto" w:fill="FFFFFF"/>
                  <w:lang w:bidi="en-US"/>
                </w:rPr>
                <w:t xml:space="preserve">) kuriama pastatų duomenų banko informacinė sistema (toliau – PDBIS), kurios tikslas – </w:t>
              </w:r>
              <w:r>
                <w:rPr>
                  <w:rFonts w:eastAsia="Andale Sans UI"/>
                  <w:szCs w:val="24"/>
                  <w:lang w:bidi="en-US"/>
                </w:rPr>
                <w:t>informacinių technologijų priemonėmis centralizuotai tvarkyti duomenis apie daugiabučių namų ir savivaldybėms nuosavybės teise priklausančius viešuosius pastatus (toliau – pastatai), jų naudojimą nuo pastato statybos užbaigimo akto (kai jis privalomas) surašymo, deklaracijos apie statybos užbaigimą iki pastato nugriovimo, techninę priežiūrą, naudojimo priežiūrą, pastatų bendrojo naudojimo objektus, šių objektų valdymo būdą ir daugiabučių namų bendrojo naudojimo objektų valdytojų valdymo organų veiklos pagal teisės aktus priežiūrą.</w:t>
              </w:r>
            </w:p>
          </w:sdtContent>
        </w:sdt>
        <w:sdt>
          <w:sdtPr>
            <w:alias w:val="2 p."/>
            <w:tag w:val="part_72cbe8b454ed4887b6fd1dd99113cf7d"/>
            <w:lock w:val="sdtLocked"/>
            <w:richText/>
          </w:sdtPr>
          <w:sdtContent>
            <w:p>
              <w:pPr>
                <w:spacing w:line="276" w:lineRule="auto"/>
                <w:ind w:firstLine="567"/>
                <w:jc w:val="both"/>
                <w:rPr>
                  <w:rFonts w:eastAsia="Andale Sans UI"/>
                  <w:szCs w:val="24"/>
                  <w:lang w:bidi="en-US"/>
                </w:rPr>
              </w:pPr>
              <w:sdt>
                <w:sdtPr>
                  <w:alias w:val="Numeris"/>
                  <w:tag w:val="nr_72cbe8b454ed4887b6fd1dd99113cf7d"/>
                  <w:lock w:val="sdtLocked"/>
                  <w:richText/>
                </w:sdtPr>
                <w:sdtContent>
                  <w:r>
                    <w:rPr>
                      <w:rFonts w:eastAsia="Andale Sans UI"/>
                      <w:b/>
                      <w:bCs/>
                      <w:szCs w:val="24"/>
                      <w:lang w:bidi="en-US"/>
                    </w:rPr>
                    <w:t>2</w:t>
                  </w:r>
                </w:sdtContent>
              </w:sdt>
              <w:r>
                <w:rPr>
                  <w:rFonts w:eastAsia="Andale Sans UI"/>
                  <w:b/>
                  <w:bCs/>
                  <w:szCs w:val="24"/>
                  <w:lang w:bidi="en-US"/>
                </w:rPr>
                <w:t>. Projektu siūlomo teisinio reguliavimo esmė – problemos sprendimas</w:t>
              </w:r>
            </w:p>
            <w:p>
              <w:pPr>
                <w:widowControl w:val="0"/>
                <w:tabs>
                  <w:tab w:val="left" w:pos="900"/>
                  <w:tab w:val="left" w:pos="1134"/>
                  <w:tab w:val="left" w:pos="1276"/>
                </w:tabs>
                <w:suppressAutoHyphens/>
                <w:spacing w:line="276" w:lineRule="auto"/>
                <w:ind w:firstLine="567"/>
                <w:jc w:val="both"/>
                <w:rPr>
                  <w:rFonts w:eastAsia="Andale Sans UI"/>
                  <w:szCs w:val="24"/>
                </w:rPr>
              </w:pPr>
              <w:r>
                <w:rPr>
                  <w:rFonts w:eastAsia="Andale Sans UI"/>
                  <w:color w:val="000000"/>
                  <w:szCs w:val="24"/>
                </w:rPr>
                <w:t xml:space="preserve">Projekte, vadovaujantis </w:t>
              </w:r>
              <w:r>
                <w:rPr>
                  <w:rFonts w:eastAsia="Andale Sans UI"/>
                  <w:szCs w:val="24"/>
                </w:rPr>
                <w:t>Lietuvos Respublikos statybos įstatymu ir</w:t>
              </w:r>
              <w:r>
                <w:rPr>
                  <w:rFonts w:eastAsia="Andale Sans UI"/>
                  <w:color w:val="000000"/>
                  <w:szCs w:val="24"/>
                </w:rPr>
                <w:t xml:space="preserve"> Lietuvos Respublikos valstybės informacinių išteklių valdymo įstatymo 23 straipsniu, siekiant tinkamai ir laiku įgyvendinti PDB projektą, siūloma įsteigti PDBIS, paskirti </w:t>
              </w:r>
              <w:r>
                <w:rPr>
                  <w:rFonts w:eastAsia="Andale Sans UI"/>
                  <w:szCs w:val="24"/>
                </w:rPr>
                <w:t xml:space="preserve">Lietuvos Respublikos aplinkos ministeriją </w:t>
              </w:r>
              <w:r>
                <w:rPr>
                  <w:rFonts w:eastAsia="Andale Sans UI"/>
                  <w:color w:val="000000"/>
                  <w:szCs w:val="24"/>
                </w:rPr>
                <w:t xml:space="preserve">PDBIS </w:t>
              </w:r>
              <w:r>
                <w:rPr>
                  <w:rFonts w:eastAsia="Andale Sans UI"/>
                  <w:szCs w:val="24"/>
                </w:rPr>
                <w:t>duomenų valdytoja ir šios informacinės sistemos valdytoja,</w:t>
              </w:r>
              <w:r>
                <w:rPr>
                  <w:rFonts w:eastAsia="Andale Sans UI"/>
                  <w:color w:val="000000"/>
                  <w:szCs w:val="24"/>
                </w:rPr>
                <w:t xml:space="preserve"> patvirtinti PDBIS nuostatus.</w:t>
              </w:r>
            </w:p>
          </w:sdtContent>
        </w:sdt>
        <w:sdt>
          <w:sdtPr>
            <w:alias w:val="3 p."/>
            <w:tag w:val="part_6b8884a14e6a4cb5b341040d3a0c57af"/>
            <w:lock w:val="sdtLocked"/>
            <w:richText/>
          </w:sdtPr>
          <w:sdtContent>
            <w:p>
              <w:pPr>
                <w:spacing w:line="276" w:lineRule="auto"/>
                <w:ind w:firstLine="567"/>
                <w:jc w:val="both"/>
                <w:rPr>
                  <w:rFonts w:eastAsia="Andale Sans UI"/>
                  <w:b/>
                  <w:bCs/>
                  <w:szCs w:val="24"/>
                  <w:lang w:bidi="en-US"/>
                </w:rPr>
              </w:pPr>
              <w:sdt>
                <w:sdtPr>
                  <w:alias w:val="Numeris"/>
                  <w:tag w:val="nr_6b8884a14e6a4cb5b341040d3a0c57af"/>
                  <w:lock w:val="sdtLocked"/>
                  <w:richText/>
                </w:sdtPr>
                <w:sdtContent>
                  <w:r>
                    <w:rPr>
                      <w:rFonts w:eastAsia="Andale Sans UI"/>
                      <w:b/>
                      <w:bCs/>
                      <w:szCs w:val="24"/>
                      <w:lang w:bidi="en-US"/>
                    </w:rPr>
                    <w:t>3</w:t>
                  </w:r>
                </w:sdtContent>
              </w:sdt>
              <w:r>
                <w:rPr>
                  <w:rFonts w:eastAsia="Andale Sans UI"/>
                  <w:b/>
                  <w:bCs/>
                  <w:szCs w:val="24"/>
                  <w:lang w:bidi="en-US"/>
                </w:rPr>
                <w:t>. Pasiūlymų įgyvendinimo mechanizmas, kaštai ir nauda</w:t>
              </w:r>
            </w:p>
            <w:p>
              <w:pPr>
                <w:shd w:val="clear" w:color="auto" w:fill="FFFFFF"/>
                <w:spacing w:line="276" w:lineRule="auto"/>
                <w:ind w:firstLine="567"/>
                <w:jc w:val="both"/>
                <w:textAlignment w:val="center"/>
                <w:rPr>
                  <w:rFonts w:eastAsia="Andale Sans UI"/>
                  <w:iCs/>
                  <w:szCs w:val="24"/>
                  <w:lang w:bidi="en-US"/>
                </w:rPr>
              </w:pPr>
              <w:r>
                <w:rPr>
                  <w:rFonts w:eastAsia="Andale Sans UI"/>
                  <w:iCs/>
                  <w:szCs w:val="24"/>
                  <w:lang w:bidi="en-US"/>
                </w:rPr>
                <w:t xml:space="preserve">Projekte nereikalaujama pildyti naujos informacijos ar pridėti naujų dokumentų, prašymų užpildymo ir jo priedų pateikimo trukmė iš esmės nepasikeis, todėl </w:t>
              </w:r>
              <w:r>
                <w:rPr>
                  <w:rFonts w:eastAsia="Andale Sans UI" w:cs="Tahoma"/>
                  <w:color w:val="000000"/>
                  <w:szCs w:val="24"/>
                  <w:lang w:bidi="en-US"/>
                </w:rPr>
                <w:t xml:space="preserve">neskaičiuota ūkio subjektų administracinė našta ir </w:t>
              </w:r>
              <w:r>
                <w:rPr>
                  <w:rFonts w:eastAsia="Andale Sans UI"/>
                  <w:iCs/>
                  <w:szCs w:val="24"/>
                  <w:lang w:bidi="en-US"/>
                </w:rPr>
                <w:t>nevertintos</w:t>
              </w:r>
              <w:r>
                <w:rPr>
                  <w:rFonts w:eastAsia="Andale Sans UI" w:cs="Tahoma"/>
                  <w:color w:val="000000"/>
                  <w:szCs w:val="24"/>
                  <w:lang w:bidi="en-US"/>
                </w:rPr>
                <w:t xml:space="preserve"> prisitaikymo prie reguliavimo išlaidos </w:t>
              </w:r>
              <w:r>
                <w:rPr>
                  <w:rFonts w:eastAsia="Andale Sans UI" w:cs="Tahoma"/>
                  <w:szCs w:val="24"/>
                  <w:lang w:bidi="en-US"/>
                </w:rPr>
                <w:t>vadovaujantis Administracinės naštos ūkio subjektams nustatymo metodika, patvirtinta Lietuvos Respublikos Vyriausybės 2012 m. sausio 11 d. nutarimu Nr. 4 „Dėl Administracinės naštos ūkio subjektams nustatymo metodikos patvirtinimo“</w:t>
              </w:r>
              <w:r>
                <w:rPr>
                  <w:rFonts w:eastAsia="Andale Sans UI"/>
                  <w:iCs/>
                  <w:szCs w:val="24"/>
                  <w:lang w:bidi="en-US"/>
                </w:rPr>
                <w:t>.</w:t>
              </w:r>
            </w:p>
            <w:p>
              <w:pPr>
                <w:ind w:firstLine="567"/>
                <w:jc w:val="both"/>
                <w:rPr>
                  <w:rFonts w:eastAsia="Andale Sans UI"/>
                  <w:szCs w:val="24"/>
                  <w:lang w:bidi="en-US"/>
                </w:rPr>
              </w:pPr>
            </w:p>
          </w:sdtContent>
        </w:sdt>
        <w:sdt>
          <w:sdtPr>
            <w:alias w:val="4 p."/>
            <w:tag w:val="part_d5d9b9f4a40b49778c20bee454182d1c"/>
            <w:lock w:val="sdtLocked"/>
            <w:richText/>
          </w:sdtPr>
          <w:sdtContent>
            <w:p>
              <w:pPr>
                <w:ind w:firstLine="567"/>
                <w:jc w:val="both"/>
                <w:rPr>
                  <w:b/>
                  <w:bCs/>
                  <w:szCs w:val="24"/>
                  <w:lang w:eastAsia="lt-LT" w:bidi="en-US"/>
                </w:rPr>
              </w:pPr>
              <w:sdt>
                <w:sdtPr>
                  <w:alias w:val="Numeris"/>
                  <w:tag w:val="nr_d5d9b9f4a40b49778c20bee454182d1c"/>
                  <w:lock w:val="sdtLocked"/>
                  <w:richText/>
                </w:sdtPr>
                <w:sdtContent>
                  <w:r>
                    <w:rPr>
                      <w:b/>
                      <w:bCs/>
                      <w:szCs w:val="24"/>
                      <w:lang w:eastAsia="lt-LT" w:bidi="en-US"/>
                    </w:rPr>
                    <w:t>4</w:t>
                  </w:r>
                </w:sdtContent>
              </w:sdt>
              <w:r>
                <w:rPr>
                  <w:b/>
                  <w:bCs/>
                  <w:szCs w:val="24"/>
                  <w:lang w:eastAsia="lt-LT" w:bidi="en-US"/>
                </w:rPr>
                <w:t>. Lietuvos Respublikos Vyriausybės programos</w:t>
              </w:r>
              <w:r>
                <w:rPr>
                  <w:b/>
                  <w:bCs/>
                  <w:szCs w:val="24"/>
                  <w:vertAlign w:val="superscript"/>
                  <w:lang w:eastAsia="lt-LT" w:bidi="en-US"/>
                </w:rPr>
                <w:footnoteReference w:id="2"/>
              </w:r>
              <w:r>
                <w:rPr>
                  <w:b/>
                  <w:bCs/>
                  <w:szCs w:val="24"/>
                  <w:lang w:eastAsia="lt-LT" w:bidi="en-US"/>
                </w:rPr>
                <w:t xml:space="preserve"> nuostatų įgyvendinimas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 įgyvendinamos šios Lietuvos Respublikos Vyriausybės programos nuostatos: (</w:t>
              </w:r>
              <w:r>
                <w:rPr>
                  <w:rFonts w:eastAsia="Andale Sans UI"/>
                  <w:i/>
                  <w:iCs/>
                  <w:szCs w:val="24"/>
                  <w:lang w:bidi="en-US"/>
                </w:rPr>
                <w:t>nurodomos programos nuostatos ir punktas ar papunktis, kuriame jos nurodytos</w:t>
              </w:r>
              <w:r>
                <w:rPr>
                  <w:rFonts w:eastAsia="Andale Sans UI"/>
                  <w:szCs w:val="24"/>
                  <w:lang w:bidi="en-US"/>
                </w:rPr>
                <w:t>).</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neprieštarauja Devynioliktosios Lietuvos Respublikos Vyriausybės programai.</w:t>
              </w:r>
            </w:p>
          </w:sdtContent>
        </w:sdt>
        <w:sdt>
          <w:sdtPr>
            <w:alias w:val="5 p."/>
            <w:tag w:val="part_94b55fd90a4e4f96883fe16b26914352"/>
            <w:lock w:val="sdtLocked"/>
            <w:richText/>
          </w:sdtPr>
          <w:sdtContent>
            <w:p>
              <w:pPr>
                <w:ind w:firstLine="567"/>
                <w:jc w:val="both"/>
                <w:rPr>
                  <w:rFonts w:eastAsia="Andale Sans UI" w:cs="Tahoma"/>
                  <w:szCs w:val="24"/>
                  <w:lang w:bidi="en-US"/>
                </w:rPr>
              </w:pPr>
              <w:sdt>
                <w:sdtPr>
                  <w:alias w:val="Numeris"/>
                  <w:tag w:val="nr_94b55fd90a4e4f96883fe16b26914352"/>
                  <w:lock w:val="sdtLocked"/>
                  <w:richText/>
                </w:sdtPr>
                <w:sdtContent>
                  <w:r>
                    <w:rPr>
                      <w:rFonts w:eastAsia="Andale Sans UI"/>
                      <w:b/>
                      <w:bCs/>
                      <w:szCs w:val="24"/>
                      <w:lang w:bidi="en-US"/>
                    </w:rPr>
                    <w:t>5</w:t>
                  </w:r>
                </w:sdtContent>
              </w:sdt>
              <w:r>
                <w:rPr>
                  <w:rFonts w:eastAsia="Andale Sans UI"/>
                  <w:b/>
                  <w:bCs/>
                  <w:szCs w:val="24"/>
                  <w:lang w:bidi="en-US"/>
                </w:rPr>
                <w:t>.</w:t>
              </w:r>
              <w:r>
                <w:rPr>
                  <w:rFonts w:eastAsia="Andale Sans UI"/>
                  <w:szCs w:val="24"/>
                  <w:lang w:bidi="en-US"/>
                </w:rPr>
                <w:t xml:space="preserve"> </w:t>
              </w:r>
              <w:r>
                <w:rPr>
                  <w:rFonts w:eastAsia="Andale Sans UI"/>
                  <w:b/>
                  <w:bCs/>
                  <w:szCs w:val="24"/>
                  <w:lang w:bidi="en-US"/>
                </w:rPr>
                <w:t>Numatomo teisinio reguliavimo poveikio vertinimas</w:t>
              </w:r>
              <w:r>
                <w:rPr>
                  <w:rFonts w:eastAsia="Andale Sans UI"/>
                  <w:b/>
                  <w:bCs/>
                  <w:szCs w:val="24"/>
                  <w:vertAlign w:val="superscript"/>
                  <w:lang w:bidi="en-US"/>
                </w:rPr>
                <w:footnoteReference w:id="3"/>
              </w:r>
              <w:r>
                <w:rPr>
                  <w:rFonts w:eastAsia="Andale Sans UI"/>
                  <w:b/>
                  <w:bCs/>
                  <w:szCs w:val="24"/>
                  <w:lang w:bidi="en-US"/>
                </w:rPr>
                <w:t xml:space="preserve"> </w:t>
              </w:r>
              <w:r>
                <w:rPr>
                  <w:szCs w:val="24"/>
                  <w:lang w:eastAsia="lt-LT" w:bidi="en-US"/>
                </w:rPr>
                <w:t>(pažymimas tinkamas variantas)</w:t>
              </w:r>
            </w:p>
            <w:p>
              <w:pPr>
                <w:widowControl w:val="0"/>
                <w:ind w:firstLine="567"/>
                <w:jc w:val="both"/>
                <w:rPr>
                  <w:b/>
                  <w:bCs/>
                  <w:i/>
                  <w:iCs/>
                  <w:szCs w:val="24"/>
                  <w:lang w:eastAsia="lt-LT"/>
                </w:rPr>
              </w:pPr>
              <w:r>
                <w:rPr>
                  <w:rFonts w:ascii="Segoe UI Symbol" w:eastAsia="MS Gothic" w:hAnsi="Segoe UI Symbol" w:cs="Segoe UI Symbol"/>
                  <w:szCs w:val="24"/>
                  <w:lang w:bidi="en-US"/>
                </w:rPr>
                <w:t>☐</w:t>
              </w:r>
              <w:r>
                <w:rPr>
                  <w:rFonts w:eastAsia="Andale Sans UI"/>
                  <w:szCs w:val="24"/>
                  <w:lang w:bidi="en-US"/>
                </w:rPr>
                <w:t xml:space="preserve"> Atliktas Projekto numatomo teisinio reguliavimo poveikio vertinimas</w:t>
              </w:r>
              <w:r>
                <w:rPr>
                  <w:rFonts w:eastAsia="Andale Sans UI"/>
                  <w:i/>
                  <w:iCs/>
                  <w:color w:val="000000"/>
                  <w:szCs w:val="24"/>
                  <w:lang w:bidi="en-US"/>
                </w:rPr>
                <w:t xml:space="preserve">. </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Projekto numatomo teisinio reguliavimo poveikio vertinimas neatliekamas.</w:t>
              </w:r>
            </w:p>
          </w:sdtContent>
        </w:sdt>
        <w:sdt>
          <w:sdtPr>
            <w:alias w:val="6 p."/>
            <w:tag w:val="part_ffd501f8cc3a4559986c6166e3de8a63"/>
            <w:lock w:val="sdtLocked"/>
            <w:richText/>
          </w:sdtPr>
          <w:sdtContent>
            <w:p>
              <w:pPr>
                <w:ind w:firstLine="567"/>
                <w:jc w:val="both"/>
                <w:rPr>
                  <w:rFonts w:eastAsia="Andale Sans UI" w:cs="Tahoma"/>
                  <w:szCs w:val="24"/>
                  <w:lang w:bidi="en-US"/>
                </w:rPr>
              </w:pPr>
              <w:sdt>
                <w:sdtPr>
                  <w:alias w:val="Numeris"/>
                  <w:tag w:val="nr_ffd501f8cc3a4559986c6166e3de8a63"/>
                  <w:lock w:val="sdtLocked"/>
                  <w:richText/>
                </w:sdtPr>
                <w:sdtContent>
                  <w:r>
                    <w:rPr>
                      <w:b/>
                      <w:bCs/>
                      <w:szCs w:val="24"/>
                      <w:lang w:eastAsia="lt-LT" w:bidi="en-US"/>
                    </w:rPr>
                    <w:t>6</w:t>
                  </w:r>
                </w:sdtContent>
              </w:sdt>
              <w:r>
                <w:rPr>
                  <w:b/>
                  <w:bCs/>
                  <w:szCs w:val="24"/>
                  <w:lang w:eastAsia="lt-LT" w:bidi="en-US"/>
                </w:rPr>
                <w:t xml:space="preserve">. Europos Sąjungos teisės aktų perkėlimas ir (ar) įgyvendinimas </w:t>
              </w:r>
              <w:r>
                <w:rPr>
                  <w:szCs w:val="24"/>
                  <w:lang w:eastAsia="lt-LT" w:bidi="en-US"/>
                </w:rPr>
                <w:t>(pažymimas tinkamas variantas)</w:t>
              </w:r>
            </w:p>
            <w:p>
              <w:pPr>
                <w:ind w:firstLine="567"/>
                <w:jc w:val="both"/>
                <w:rPr>
                  <w:b/>
                  <w:bCs/>
                  <w:szCs w:val="24"/>
                  <w:lang w:eastAsia="lt-LT" w:bidi="en-US"/>
                </w:rPr>
              </w:pPr>
              <w:r>
                <w:rPr>
                  <w:rFonts w:ascii="MS Gothic" w:eastAsia="MS Gothic" w:hAnsi="MS Gothic"/>
                  <w:szCs w:val="24"/>
                  <w:lang w:bidi="en-US"/>
                </w:rPr>
                <w:t>☒</w:t>
              </w:r>
              <w:r>
                <w:rPr>
                  <w:rFonts w:eastAsia="Andale Sans UI"/>
                  <w:szCs w:val="24"/>
                  <w:lang w:bidi="en-US"/>
                </w:rPr>
                <w:t xml:space="preserve"> Projektu neperkeliamos ir neįgyvendinamos Europos Sąjungos teisės aktų nuostatos.</w:t>
              </w:r>
            </w:p>
            <w:p>
              <w:pPr>
                <w:ind w:firstLine="567"/>
                <w:jc w:val="both"/>
                <w:rPr>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Projektu perkeliamos (</w:t>
              </w:r>
              <w:r>
                <w:rPr>
                  <w:rFonts w:eastAsia="Andale Sans UI"/>
                  <w:i/>
                  <w:iCs/>
                  <w:szCs w:val="24"/>
                  <w:lang w:bidi="en-US"/>
                </w:rPr>
                <w:t>dėl Direktyvų</w:t>
              </w:r>
              <w:r>
                <w:rPr>
                  <w:rFonts w:eastAsia="Andale Sans UI"/>
                  <w:szCs w:val="24"/>
                  <w:lang w:bidi="en-US"/>
                </w:rPr>
                <w:t>) ir (ar) įgyvendinamos (</w:t>
              </w:r>
              <w:r>
                <w:rPr>
                  <w:rFonts w:eastAsia="Andale Sans UI"/>
                  <w:i/>
                  <w:iCs/>
                  <w:szCs w:val="24"/>
                  <w:lang w:bidi="en-US"/>
                </w:rPr>
                <w:t>dėl Reglamentų ir Sprendimų</w:t>
              </w:r>
              <w:r>
                <w:rPr>
                  <w:rFonts w:eastAsia="Andale Sans UI"/>
                  <w:szCs w:val="24"/>
                  <w:lang w:bidi="en-US"/>
                </w:rPr>
                <w:t>) šios Europos Sąjungos teisės aktų nuostatos: (</w:t>
              </w:r>
              <w:r>
                <w:rPr>
                  <w:rFonts w:eastAsia="Andale Sans UI"/>
                  <w:i/>
                  <w:iCs/>
                  <w:szCs w:val="24"/>
                  <w:lang w:bidi="en-US"/>
                </w:rPr>
                <w:t>išvardijama</w:t>
              </w:r>
              <w:r>
                <w:rPr>
                  <w:rFonts w:eastAsia="Andale Sans UI"/>
                  <w:szCs w:val="24"/>
                  <w:lang w:bidi="en-US"/>
                </w:rPr>
                <w:t>).</w:t>
              </w:r>
              <w:r>
                <w:rPr>
                  <w:rFonts w:eastAsia="Andale Sans UI"/>
                  <w:i/>
                  <w:iCs/>
                  <w:szCs w:val="24"/>
                  <w:lang w:bidi="en-US"/>
                </w:rPr>
                <w:t xml:space="preserve"> </w:t>
              </w:r>
              <w:r>
                <w:rPr>
                  <w:rFonts w:eastAsia="Andale Sans UI"/>
                  <w:szCs w:val="24"/>
                  <w:lang w:eastAsia="lt-LT" w:bidi="en-US"/>
                </w:rPr>
                <w:t>(</w:t>
              </w:r>
              <w:r>
                <w:rPr>
                  <w:rFonts w:eastAsia="Andale Sans UI"/>
                  <w:i/>
                  <w:iCs/>
                  <w:szCs w:val="24"/>
                  <w:lang w:eastAsia="lt-LT" w:bidi="en-US"/>
                </w:rPr>
                <w:t>Taip pat nurodomi kiti su Projektu susiję tiesiogiai taikomi Europos Sąjungos teisės aktai, kai jie nėra įgyvendinami.</w:t>
              </w:r>
              <w:r>
                <w:rPr>
                  <w:rFonts w:eastAsia="Andale Sans UI"/>
                  <w:szCs w:val="24"/>
                  <w:lang w:eastAsia="lt-LT" w:bidi="en-US"/>
                </w:rPr>
                <w:t xml:space="preserve">) Projektas yra įtrauktas į perkeliamo ir (ar) įgyvendinamo Europos Sąjungos teisės akto perkėlimo ir įgyvendinimo planą Lietuvos narystės Europos Sąjungoje informacinėje sistemoje (LINESIS), į kurią įkelta  atitikties lentelė</w:t>
              </w:r>
              <w:r>
                <w:rPr>
                  <w:rFonts w:eastAsia="Andale Sans UI"/>
                  <w:szCs w:val="24"/>
                  <w:vertAlign w:val="superscript"/>
                  <w:lang w:eastAsia="lt-LT" w:bidi="en-US"/>
                </w:rPr>
                <w:footnoteReference w:id="4"/>
              </w:r>
              <w:r>
                <w:rPr>
                  <w:rFonts w:eastAsia="Andale Sans UI"/>
                  <w:i/>
                  <w:iCs/>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susijusių Europos Sąjungos teisės aktų perkėlimą ir (ar) įgyvendinimą, reikės priimti </w:t>
              </w:r>
              <w:r>
                <w:rPr>
                  <w:i/>
                  <w:iCs/>
                  <w:color w:val="000000"/>
                  <w:szCs w:val="24"/>
                  <w:lang w:eastAsia="lt-LT" w:bidi="en-US"/>
                </w:rPr>
                <w:t>...</w:t>
              </w:r>
              <w:r>
                <w:rPr>
                  <w:color w:val="000000"/>
                  <w:szCs w:val="24"/>
                  <w:lang w:eastAsia="lt-LT" w:bidi="en-US"/>
                </w:rPr>
                <w:t>(</w:t>
              </w:r>
              <w:r>
                <w:rPr>
                  <w:i/>
                  <w:iCs/>
                  <w:color w:val="000000"/>
                  <w:szCs w:val="24"/>
                  <w:lang w:eastAsia="lt-LT" w:bidi="en-US"/>
                </w:rPr>
                <w:t>išvardijami Lietuvos Respublikos teisės aktai, kuriuos reikės priimti</w:t>
              </w:r>
              <w:r>
                <w:rPr>
                  <w:color w:val="000000"/>
                  <w:szCs w:val="24"/>
                  <w:lang w:eastAsia="lt-LT" w:bidi="en-US"/>
                </w:rPr>
                <w:t>) (</w:t>
              </w:r>
              <w:r>
                <w:rPr>
                  <w:b/>
                  <w:bCs/>
                  <w:color w:val="000000"/>
                  <w:szCs w:val="24"/>
                  <w:lang w:eastAsia="lt-LT" w:bidi="en-US"/>
                </w:rPr>
                <w:t>arba</w:t>
              </w:r>
              <w:r>
                <w:rPr>
                  <w:color w:val="000000"/>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susijusių Europos Sąjungos teisės aktų perkėlimą ir (ar) įgyvendinimą, kitų teisės aktų priimti nereikės).</w:t>
              </w:r>
            </w:p>
          </w:sdtContent>
        </w:sdt>
        <w:sdt>
          <w:sdtPr>
            <w:alias w:val="7 p."/>
            <w:tag w:val="part_95f4813b8e4a47d6bf4a896efb0b22ba"/>
            <w:lock w:val="sdtLocked"/>
            <w:richText/>
          </w:sdtPr>
          <w:sdtContent>
            <w:p>
              <w:pPr>
                <w:ind w:firstLine="567"/>
                <w:jc w:val="both"/>
                <w:rPr>
                  <w:rFonts w:eastAsia="Andale Sans UI" w:cs="Tahoma"/>
                  <w:szCs w:val="24"/>
                  <w:lang w:bidi="en-US"/>
                </w:rPr>
              </w:pPr>
              <w:sdt>
                <w:sdtPr>
                  <w:alias w:val="Numeris"/>
                  <w:tag w:val="nr_95f4813b8e4a47d6bf4a896efb0b22ba"/>
                  <w:lock w:val="sdtLocked"/>
                  <w:richText/>
                </w:sdtPr>
                <w:sdtContent>
                  <w:r>
                    <w:rPr>
                      <w:rFonts w:eastAsia="Andale Sans UI"/>
                      <w:b/>
                      <w:bCs/>
                      <w:szCs w:val="24"/>
                      <w:lang w:bidi="en-US"/>
                    </w:rPr>
                    <w:t>7</w:t>
                  </w:r>
                </w:sdtContent>
              </w:sdt>
              <w:r>
                <w:rPr>
                  <w:rFonts w:eastAsia="Andale Sans UI"/>
                  <w:b/>
                  <w:bCs/>
                  <w:szCs w:val="24"/>
                  <w:lang w:bidi="en-US"/>
                </w:rPr>
                <w:t>. Notifikavimas</w:t>
              </w:r>
              <w:r>
                <w:rPr>
                  <w:rFonts w:eastAsia="Andale Sans UI"/>
                  <w:b/>
                  <w:bCs/>
                  <w:szCs w:val="24"/>
                  <w:vertAlign w:val="superscript"/>
                  <w:lang w:bidi="en-US"/>
                </w:rPr>
                <w:footnoteReference w:id="5"/>
              </w:r>
              <w:r>
                <w:rPr>
                  <w:rFonts w:eastAsia="Andale Sans UI"/>
                  <w:b/>
                  <w:bCs/>
                  <w:szCs w:val="24"/>
                  <w:lang w:bidi="en-US"/>
                </w:rPr>
                <w:t xml:space="preserve"> Europos Komisijai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nenotifikuotinas Europos Komisijai.</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Projektas notifikuotinas Europos Komisijai (</w:t>
              </w:r>
              <w:r>
                <w:rPr>
                  <w:rFonts w:eastAsia="Andale Sans UI"/>
                  <w:i/>
                  <w:iCs/>
                  <w:szCs w:val="24"/>
                  <w:lang w:bidi="en-US"/>
                </w:rPr>
                <w:t>nurodoma data</w:t>
              </w:r>
              <w:r>
                <w:rPr>
                  <w:rFonts w:eastAsia="Andale Sans UI"/>
                  <w:szCs w:val="24"/>
                  <w:lang w:bidi="en-US"/>
                </w:rPr>
                <w:t>).</w:t>
              </w:r>
            </w:p>
          </w:sdtContent>
        </w:sdt>
        <w:sdt>
          <w:sdtPr>
            <w:alias w:val="8 p."/>
            <w:tag w:val="part_f89762d94999402e823b3e9d9af5f672"/>
            <w:lock w:val="sdtLocked"/>
            <w:richText/>
          </w:sdtPr>
          <w:sdtContent>
            <w:p>
              <w:pPr>
                <w:ind w:firstLine="567"/>
                <w:jc w:val="both"/>
                <w:rPr>
                  <w:rFonts w:eastAsia="Andale Sans UI" w:cs="Tahoma"/>
                  <w:color w:val="000000"/>
                  <w:szCs w:val="24"/>
                  <w:lang w:bidi="en-US"/>
                </w:rPr>
              </w:pPr>
              <w:sdt>
                <w:sdtPr>
                  <w:alias w:val="Numeris"/>
                  <w:tag w:val="nr_f89762d94999402e823b3e9d9af5f672"/>
                  <w:lock w:val="sdtLocked"/>
                  <w:richText/>
                </w:sdtPr>
                <w:sdtContent>
                  <w:r>
                    <w:rPr>
                      <w:rFonts w:eastAsia="Andale Sans UI"/>
                      <w:b/>
                      <w:bCs/>
                      <w:szCs w:val="24"/>
                      <w:lang w:bidi="en-US"/>
                    </w:rPr>
                    <w:t>8</w:t>
                  </w:r>
                </w:sdtContent>
              </w:sdt>
              <w:r>
                <w:rPr>
                  <w:rFonts w:eastAsia="Andale Sans UI"/>
                  <w:b/>
                  <w:bCs/>
                  <w:szCs w:val="24"/>
                  <w:lang w:bidi="en-US"/>
                </w:rPr>
                <w:t>.</w:t>
              </w:r>
              <w:r>
                <w:rPr>
                  <w:rFonts w:eastAsia="Andale Sans UI"/>
                  <w:szCs w:val="24"/>
                  <w:lang w:bidi="en-US"/>
                </w:rPr>
                <w:t xml:space="preserve"> </w:t>
              </w:r>
              <w:r>
                <w:rPr>
                  <w:b/>
                  <w:bCs/>
                  <w:color w:val="000000"/>
                  <w:szCs w:val="24"/>
                  <w:lang w:eastAsia="lt-LT" w:bidi="en-US"/>
                </w:rPr>
                <w:t>Pranešimo Europos Komisijai teikimas</w:t>
              </w:r>
              <w:r>
                <w:rPr>
                  <w:b/>
                  <w:bCs/>
                  <w:color w:val="000000"/>
                  <w:szCs w:val="24"/>
                  <w:vertAlign w:val="superscript"/>
                  <w:lang w:eastAsia="lt-LT" w:bidi="en-US"/>
                </w:rPr>
                <w:footnoteReference w:id="6"/>
              </w:r>
              <w:r>
                <w:rPr>
                  <w:color w:val="000000"/>
                  <w:szCs w:val="24"/>
                  <w:lang w:eastAsia="lt-LT" w:bidi="en-US"/>
                </w:rPr>
                <w:t xml:space="preserve"> (</w:t>
              </w:r>
              <w:r>
                <w:rPr>
                  <w:szCs w:val="24"/>
                  <w:lang w:eastAsia="lt-LT" w:bidi="en-US"/>
                </w:rPr>
                <w:t>pažymimas tinkamas variantas)</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teiktinas.</w:t>
              </w:r>
            </w:p>
            <w:p>
              <w:pPr>
                <w:ind w:firstLine="567"/>
                <w:jc w:val="both"/>
                <w:rPr>
                  <w:rFonts w:eastAsia="Andale Sans UI" w:cs="Tahoma"/>
                  <w:szCs w:val="24"/>
                  <w:lang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neteiktinas.</w:t>
              </w:r>
            </w:p>
          </w:sdtContent>
        </w:sdt>
        <w:sdt>
          <w:sdtPr>
            <w:alias w:val="9 p."/>
            <w:tag w:val="part_b579988636c2490b974d588583a11de0"/>
            <w:lock w:val="sdtLocked"/>
            <w:richText/>
          </w:sdtPr>
          <w:sdtContent>
            <w:p>
              <w:pPr>
                <w:ind w:firstLine="567"/>
                <w:jc w:val="both"/>
                <w:rPr>
                  <w:rFonts w:eastAsia="Andale Sans UI"/>
                  <w:b/>
                  <w:bCs/>
                  <w:szCs w:val="24"/>
                  <w:lang w:bidi="en-US"/>
                </w:rPr>
              </w:pPr>
              <w:sdt>
                <w:sdtPr>
                  <w:alias w:val="Numeris"/>
                  <w:tag w:val="nr_b579988636c2490b974d588583a11de0"/>
                  <w:lock w:val="sdtLocked"/>
                  <w:richText/>
                </w:sdtPr>
                <w:sdtContent>
                  <w:r>
                    <w:rPr>
                      <w:rFonts w:eastAsia="Andale Sans UI"/>
                      <w:b/>
                      <w:bCs/>
                      <w:szCs w:val="24"/>
                      <w:lang w:bidi="en-US"/>
                    </w:rPr>
                    <w:t>9</w:t>
                  </w:r>
                </w:sdtContent>
              </w:sdt>
              <w:r>
                <w:rPr>
                  <w:rFonts w:eastAsia="Andale Sans UI"/>
                  <w:b/>
                  <w:bCs/>
                  <w:szCs w:val="24"/>
                  <w:lang w:bidi="en-US"/>
                </w:rPr>
                <w:t xml:space="preserve">. Teisės aktai, kuriuos reikės priimti, pakeisti arba pripažinti netekusiais galios </w:t>
              </w:r>
              <w:r>
                <w:rPr>
                  <w:color w:val="000000"/>
                  <w:szCs w:val="24"/>
                  <w:lang w:eastAsia="lt-LT" w:bidi="en-US"/>
                </w:rPr>
                <w:t>(</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Projektui įtraukti į teisės sistemą kitų teisės aktų priimti nereikės.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Projektui įtraukti į teisės sistemą reikės priimti šiuos teisės aktus: (</w:t>
              </w:r>
              <w:r>
                <w:rPr>
                  <w:rFonts w:eastAsia="Andale Sans UI"/>
                  <w:i/>
                  <w:szCs w:val="24"/>
                  <w:lang w:bidi="en-US"/>
                </w:rPr>
                <w:t>išvardijama</w:t>
              </w:r>
              <w:r>
                <w:rPr>
                  <w:rFonts w:eastAsia="Andale Sans UI"/>
                  <w:szCs w:val="24"/>
                  <w:lang w:bidi="en-US"/>
                </w:rPr>
                <w:t>)</w:t>
              </w:r>
              <w:r>
                <w:rPr>
                  <w:rFonts w:eastAsia="Andale Sans UI"/>
                  <w:i/>
                  <w:szCs w:val="24"/>
                  <w:lang w:bidi="en-US"/>
                </w:rPr>
                <w:t>.</w:t>
              </w:r>
            </w:p>
          </w:sdtContent>
        </w:sdt>
        <w:sdt>
          <w:sdtPr>
            <w:alias w:val="10 p."/>
            <w:tag w:val="part_6a5f049effbe4f4eaf54c9af5c924f09"/>
            <w:lock w:val="sdtLocked"/>
            <w:richText/>
          </w:sdtPr>
          <w:sdtContent>
            <w:p>
              <w:pPr>
                <w:ind w:firstLine="567"/>
                <w:jc w:val="both"/>
                <w:rPr>
                  <w:rFonts w:eastAsia="Andale Sans UI"/>
                  <w:b/>
                  <w:bCs/>
                  <w:szCs w:val="24"/>
                  <w:lang w:bidi="en-US"/>
                </w:rPr>
              </w:pPr>
              <w:sdt>
                <w:sdtPr>
                  <w:alias w:val="Numeris"/>
                  <w:tag w:val="nr_6a5f049effbe4f4eaf54c9af5c924f09"/>
                  <w:lock w:val="sdtLocked"/>
                  <w:richText/>
                </w:sdtPr>
                <w:sdtContent>
                  <w:r>
                    <w:rPr>
                      <w:rFonts w:eastAsia="Andale Sans UI"/>
                      <w:b/>
                      <w:bCs/>
                      <w:szCs w:val="24"/>
                      <w:lang w:bidi="en-US"/>
                    </w:rPr>
                    <w:t>10</w:t>
                  </w:r>
                </w:sdtContent>
              </w:sdt>
              <w:r>
                <w:rPr>
                  <w:rFonts w:eastAsia="Andale Sans UI"/>
                  <w:b/>
                  <w:bCs/>
                  <w:szCs w:val="24"/>
                  <w:lang w:bidi="en-US"/>
                </w:rPr>
                <w:t xml:space="preserve">. Informacija apie sąvokų įvertinimą Lietuvos Respublikos terminų banko įstatymo ir jo įgyvendinamųjų teisės aktų nustatyta tvarka </w:t>
              </w:r>
              <w:r>
                <w:rPr>
                  <w:color w:val="000000"/>
                  <w:szCs w:val="24"/>
                  <w:lang w:eastAsia="lt-LT" w:bidi="en-US"/>
                </w:rPr>
                <w:t>(</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Projekte naujų sąvokų nėra.</w:t>
              </w:r>
            </w:p>
            <w:p>
              <w:pPr>
                <w:ind w:firstLine="567"/>
                <w:jc w:val="both"/>
                <w:rPr>
                  <w:rFonts w:eastAsia="Andale Sans UI"/>
                  <w:color w:val="000000"/>
                  <w:szCs w:val="24"/>
                  <w:lang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rojekte vartojamos sąvokos aprobuotos Lietuvos Respublikos terminų banko įstatymo ir jo įgyvendinamųjų teisės aktų nustatyta tvarka.</w:t>
              </w:r>
            </w:p>
          </w:sdtContent>
        </w:sdt>
        <w:sdt>
          <w:sdtPr>
            <w:alias w:val="11 p."/>
            <w:tag w:val="part_077adcdd6ece4afe9e9585a7b7c3bf5a"/>
            <w:lock w:val="sdtLocked"/>
            <w:richText/>
          </w:sdtPr>
          <w:sdtContent>
            <w:p>
              <w:pPr>
                <w:ind w:firstLine="567"/>
                <w:jc w:val="both"/>
                <w:rPr>
                  <w:rFonts w:eastAsia="Andale Sans UI"/>
                  <w:b/>
                  <w:bCs/>
                  <w:szCs w:val="24"/>
                  <w:lang w:bidi="en-US"/>
                </w:rPr>
              </w:pPr>
              <w:sdt>
                <w:sdtPr>
                  <w:alias w:val="Numeris"/>
                  <w:tag w:val="nr_077adcdd6ece4afe9e9585a7b7c3bf5a"/>
                  <w:lock w:val="sdtLocked"/>
                  <w:richText/>
                </w:sdtPr>
                <w:sdtContent>
                  <w:r>
                    <w:rPr>
                      <w:rFonts w:eastAsia="Andale Sans UI"/>
                      <w:b/>
                      <w:bCs/>
                      <w:szCs w:val="24"/>
                      <w:lang w:bidi="en-US"/>
                    </w:rPr>
                    <w:t>11</w:t>
                  </w:r>
                </w:sdtContent>
              </w:sdt>
              <w:r>
                <w:rPr>
                  <w:rFonts w:eastAsia="Andale Sans UI"/>
                  <w:b/>
                  <w:bCs/>
                  <w:szCs w:val="24"/>
                  <w:lang w:bidi="en-US"/>
                </w:rPr>
                <w:t>. Kita reikalinga informacija</w:t>
              </w:r>
            </w:p>
            <w:p>
              <w:pPr>
                <w:shd w:val="clear" w:color="auto" w:fill="FFFFFF"/>
                <w:ind w:firstLine="567"/>
                <w:jc w:val="both"/>
                <w:textAlignment w:val="center"/>
                <w:rPr>
                  <w:rFonts w:eastAsia="Andale Sans UI"/>
                  <w:szCs w:val="24"/>
                  <w:lang w:eastAsia="lt-LT" w:bidi="en-US"/>
                </w:rPr>
              </w:pPr>
              <w:r>
                <w:rPr>
                  <w:rFonts w:eastAsia="Andale Sans UI"/>
                  <w:szCs w:val="24"/>
                  <w:lang w:bidi="en-US"/>
                </w:rPr>
                <w:t>P</w:t>
              </w:r>
              <w:r>
                <w:rPr>
                  <w:rFonts w:eastAsia="Andale Sans UI"/>
                  <w:szCs w:val="24"/>
                  <w:lang w:eastAsia="lt-LT" w:bidi="en-US"/>
                </w:rPr>
                <w:t>rojektas suderintas su Aplinkos ministerijos duomenų apsaugos pareigūnu.</w:t>
              </w:r>
            </w:p>
          </w:sdtContent>
        </w:sdt>
        <w:sdt>
          <w:sdtPr>
            <w:alias w:val="12 p."/>
            <w:tag w:val="part_6129c61d1bdd4465900fe6cc523fe7e6"/>
            <w:lock w:val="sdtLocked"/>
            <w:richText/>
          </w:sdtPr>
          <w:sdtContent>
            <w:p>
              <w:pPr>
                <w:ind w:firstLine="567"/>
                <w:jc w:val="both"/>
                <w:rPr>
                  <w:rFonts w:eastAsia="Andale Sans UI"/>
                  <w:b/>
                  <w:bCs/>
                  <w:i/>
                  <w:color w:val="000000"/>
                  <w:szCs w:val="24"/>
                  <w:lang w:bidi="en-US"/>
                </w:rPr>
              </w:pPr>
              <w:sdt>
                <w:sdtPr>
                  <w:alias w:val="Numeris"/>
                  <w:tag w:val="nr_6129c61d1bdd4465900fe6cc523fe7e6"/>
                  <w:lock w:val="sdtLocked"/>
                  <w:richText/>
                </w:sdtPr>
                <w:sdtContent>
                  <w:r>
                    <w:rPr>
                      <w:rFonts w:eastAsia="Andale Sans UI"/>
                      <w:b/>
                      <w:bCs/>
                      <w:szCs w:val="24"/>
                      <w:lang w:bidi="en-US"/>
                    </w:rPr>
                    <w:t>12</w:t>
                  </w:r>
                </w:sdtContent>
              </w:sdt>
              <w:r>
                <w:rPr>
                  <w:rFonts w:eastAsia="Andale Sans UI"/>
                  <w:b/>
                  <w:bCs/>
                  <w:szCs w:val="24"/>
                  <w:lang w:bidi="en-US"/>
                </w:rPr>
                <w:t>. Konsultavimasis su visuomene</w:t>
              </w:r>
              <w:r>
                <w:rPr>
                  <w:rFonts w:eastAsia="Andale Sans UI"/>
                  <w:b/>
                  <w:bCs/>
                  <w:szCs w:val="24"/>
                  <w:vertAlign w:val="superscript"/>
                  <w:lang w:bidi="en-US"/>
                </w:rPr>
                <w:footnoteReference w:id="7"/>
              </w:r>
              <w:r>
                <w:rPr>
                  <w:rFonts w:eastAsia="Andale Sans UI"/>
                  <w:b/>
                  <w:bCs/>
                  <w:szCs w:val="24"/>
                  <w:lang w:bidi="en-US"/>
                </w:rPr>
                <w:t xml:space="preserve"> </w:t>
              </w:r>
              <w:r>
                <w:rPr>
                  <w:rFonts w:eastAsia="Andale Sans UI"/>
                  <w:b/>
                  <w:bCs/>
                  <w:color w:val="000000"/>
                  <w:szCs w:val="24"/>
                  <w:lang w:bidi="en-US"/>
                </w:rPr>
                <w:t>interneto svetainėje epilietis.lrv.lt</w:t>
              </w:r>
              <w:r>
                <w:rPr>
                  <w:rFonts w:eastAsia="Andale Sans UI"/>
                  <w:color w:val="000000"/>
                  <w:szCs w:val="24"/>
                  <w:lang w:bidi="en-US"/>
                </w:rPr>
                <w:t xml:space="preserve"> </w:t>
              </w:r>
              <w:r>
                <w:rPr>
                  <w:rFonts w:eastAsia="Andale Sans UI"/>
                  <w:b/>
                  <w:bCs/>
                  <w:i/>
                  <w:color w:val="000000"/>
                  <w:szCs w:val="24"/>
                  <w:lang w:bidi="en-US"/>
                </w:rPr>
                <w:t xml:space="preserve"> </w:t>
              </w:r>
              <w:r>
                <w:rPr>
                  <w:color w:val="000000"/>
                  <w:szCs w:val="24"/>
                  <w:lang w:eastAsia="lt-LT" w:bidi="en-US"/>
                </w:rPr>
                <w:t>(</w:t>
              </w:r>
              <w:r>
                <w:rPr>
                  <w:szCs w:val="24"/>
                  <w:lang w:eastAsia="lt-LT" w:bidi="en-US"/>
                </w:rPr>
                <w:t>pažymimas tinkamas variantas)</w:t>
              </w:r>
            </w:p>
            <w:p>
              <w:pPr>
                <w:ind w:firstLine="567"/>
                <w:jc w:val="both"/>
                <w:rPr>
                  <w:i/>
                  <w:iCs/>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rojektas viešosioms konsultacijoms skelbtas interneto svetainėje epilietis.lrv.lt, kur pastabas ir pasiūlymus nuo 202.. m. ... ... d. iki 202.. m. ... ... d. galėjo teikti visi suinteresuoti asmenys (</w:t>
              </w:r>
              <w:r>
                <w:rPr>
                  <w:rFonts w:eastAsia="Andale Sans UI"/>
                  <w:i/>
                  <w:color w:val="000000"/>
                  <w:szCs w:val="24"/>
                  <w:lang w:bidi="en-US"/>
                </w:rPr>
                <w:t xml:space="preserve">nurodomas </w:t>
              </w:r>
              <w:r>
                <w:rPr>
                  <w:rFonts w:eastAsia="Andale Sans UI"/>
                  <w:i/>
                  <w:szCs w:val="24"/>
                  <w:lang w:bidi="en-US"/>
                </w:rPr>
                <w:t xml:space="preserve">konsultavimosi tikslas (tikslai), būdas (būdai), </w:t>
              </w:r>
              <w:r>
                <w:rPr>
                  <w:i/>
                  <w:iCs/>
                  <w:color w:val="000000"/>
                  <w:szCs w:val="24"/>
                  <w:lang w:eastAsia="lt-LT" w:bidi="en-US"/>
                </w:rPr>
                <w:t>suinteresuoti asmenys, su kuriais konsultuotasi, konsultavimosi trukmė</w:t>
              </w:r>
              <w:r>
                <w:rPr>
                  <w:rFonts w:eastAsia="Andale Sans UI"/>
                  <w:i/>
                  <w:szCs w:val="24"/>
                  <w:lang w:bidi="en-US"/>
                </w:rPr>
                <w:t xml:space="preserve"> ir apibendrinti konsultavimosi rezultatai </w:t>
              </w:r>
              <w:r>
                <w:rPr>
                  <w:rFonts w:eastAsia="Andale Sans UI"/>
                  <w:i/>
                  <w:color w:val="000000"/>
                  <w:szCs w:val="24"/>
                  <w:lang w:bidi="en-US"/>
                </w:rPr>
                <w:t xml:space="preserve">– </w:t>
              </w:r>
              <w:r>
                <w:rPr>
                  <w:rFonts w:eastAsia="Andale Sans UI"/>
                  <w:i/>
                  <w:szCs w:val="24"/>
                  <w:lang w:bidi="en-US"/>
                </w:rPr>
                <w:t>pateikiamos bendros (agreguotos) viešųjų konsultacijų dalyvių nuomonių tendencijos, nurodoma, kaip į konsultavimosi su visuomene rezultatus atsižvelgta Projekte</w:t>
              </w:r>
              <w:r>
                <w:rPr>
                  <w:rFonts w:eastAsia="Andale Sans UI"/>
                  <w:szCs w:val="24"/>
                  <w:lang w:bidi="en-US"/>
                </w:rPr>
                <w:t>)</w:t>
              </w:r>
              <w:r>
                <w:rPr>
                  <w:rFonts w:eastAsia="Andale Sans UI"/>
                  <w:i/>
                  <w:szCs w:val="24"/>
                  <w:lang w:bidi="en-US"/>
                </w:rPr>
                <w:t xml:space="preserve"> </w:t>
              </w:r>
              <w:r>
                <w:rPr>
                  <w:rFonts w:eastAsia="Andale Sans UI"/>
                  <w:szCs w:val="24"/>
                  <w:lang w:bidi="en-US"/>
                </w:rPr>
                <w:t>(</w:t>
              </w:r>
              <w:r>
                <w:rPr>
                  <w:rFonts w:eastAsia="Andale Sans UI"/>
                  <w:b/>
                  <w:bCs/>
                  <w:iCs/>
                  <w:szCs w:val="24"/>
                  <w:lang w:bidi="en-US"/>
                </w:rPr>
                <w:t>arba</w:t>
              </w:r>
              <w:r>
                <w:rPr>
                  <w:rFonts w:eastAsia="Andale Sans UI"/>
                  <w:iCs/>
                  <w:szCs w:val="24"/>
                  <w:lang w:bidi="en-US"/>
                </w:rPr>
                <w:t xml:space="preserve"> </w:t>
              </w:r>
              <w:r>
                <w:rPr>
                  <w:rFonts w:eastAsia="Andale Sans UI"/>
                  <w:szCs w:val="24"/>
                  <w:lang w:bidi="en-US"/>
                </w:rPr>
                <w:t>P</w:t>
              </w:r>
              <w:r>
                <w:rPr>
                  <w:rFonts w:eastAsia="Andale Sans UI"/>
                  <w:color w:val="000000"/>
                  <w:szCs w:val="24"/>
                  <w:lang w:bidi="en-US"/>
                </w:rPr>
                <w:t>rojektas viešosioms konsultacijoms paskelbtas (</w:t>
              </w:r>
              <w:r>
                <w:rPr>
                  <w:rFonts w:eastAsia="Andale Sans UI"/>
                  <w:b/>
                  <w:bCs/>
                  <w:iCs/>
                  <w:color w:val="000000"/>
                  <w:szCs w:val="24"/>
                  <w:lang w:bidi="en-US"/>
                </w:rPr>
                <w:t>arba</w:t>
              </w:r>
              <w:r>
                <w:rPr>
                  <w:rFonts w:eastAsia="Andale Sans UI"/>
                  <w:color w:val="000000"/>
                  <w:szCs w:val="24"/>
                  <w:lang w:bidi="en-US"/>
                </w:rPr>
                <w:t xml:space="preserve"> bus skelbiamas) interneto svetainėje epilietis.lrv.lt, kur pastabas ir pasiūlymus gali teikti (</w:t>
              </w:r>
              <w:r>
                <w:rPr>
                  <w:rFonts w:eastAsia="Andale Sans UI"/>
                  <w:b/>
                  <w:bCs/>
                  <w:iCs/>
                  <w:color w:val="000000"/>
                  <w:szCs w:val="24"/>
                  <w:lang w:bidi="en-US"/>
                </w:rPr>
                <w:t>arba</w:t>
              </w:r>
              <w:r>
                <w:rPr>
                  <w:rFonts w:eastAsia="Andale Sans UI"/>
                  <w:color w:val="000000"/>
                  <w:szCs w:val="24"/>
                  <w:lang w:bidi="en-US"/>
                </w:rPr>
                <w:t xml:space="preserve"> galės teikti) visi suinteresuoti asmenys (</w:t>
              </w:r>
              <w:r>
                <w:rPr>
                  <w:i/>
                  <w:iCs/>
                  <w:color w:val="000000"/>
                  <w:szCs w:val="24"/>
                  <w:lang w:eastAsia="lt-LT" w:bidi="en-US"/>
                </w:rPr>
                <w:t>nurodomas konsultavimosi tikslas (tikslai), būdas (būdai), suinteresuoti asmenys ir konsultavimosi trukmė</w:t>
              </w:r>
              <w:r>
                <w:rPr>
                  <w:iCs/>
                  <w:color w:val="000000"/>
                  <w:szCs w:val="24"/>
                  <w:lang w:eastAsia="lt-LT" w:bidi="en-US"/>
                </w:rPr>
                <w:t>)</w:t>
              </w:r>
              <w:r>
                <w:rPr>
                  <w:i/>
                  <w:iCs/>
                  <w:color w:val="000000"/>
                  <w:szCs w:val="24"/>
                  <w:lang w:eastAsia="lt-LT" w:bidi="en-US"/>
                </w:rPr>
                <w:t xml:space="preserve">. </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rFonts w:eastAsia="Andale Sans UI"/>
                  <w:color w:val="000000"/>
                  <w:szCs w:val="24"/>
                  <w:lang w:bidi="en-US"/>
                </w:rPr>
                <w:t xml:space="preserve">rojekto skelbti viešosioms konsultacijoms interneto svetainėje epilietis.lrv.lt </w:t>
              </w:r>
              <w:r>
                <w:rPr>
                  <w:color w:val="000000"/>
                  <w:szCs w:val="24"/>
                  <w:lang w:eastAsia="lt-LT" w:bidi="en-US"/>
                </w:rPr>
                <w:t>neplanuojama.</w:t>
              </w:r>
            </w:p>
          </w:sdtContent>
        </w:sdt>
        <w:sdt>
          <w:sdtPr>
            <w:alias w:val="13 p."/>
            <w:tag w:val="part_6664953fc39d4327a04e2ca4d467aca1"/>
            <w:lock w:val="sdtLocked"/>
            <w:richText/>
          </w:sdtPr>
          <w:sdtContent>
            <w:p>
              <w:pPr>
                <w:ind w:firstLine="567"/>
                <w:jc w:val="both"/>
                <w:rPr>
                  <w:rFonts w:eastAsia="Andale Sans UI"/>
                  <w:b/>
                  <w:bCs/>
                  <w:szCs w:val="24"/>
                  <w:lang w:bidi="en-US"/>
                </w:rPr>
              </w:pPr>
              <w:sdt>
                <w:sdtPr>
                  <w:alias w:val="Numeris"/>
                  <w:tag w:val="nr_6664953fc39d4327a04e2ca4d467aca1"/>
                  <w:lock w:val="sdtLocked"/>
                  <w:richText/>
                </w:sdtPr>
                <w:sdtContent>
                  <w:r>
                    <w:rPr>
                      <w:rFonts w:eastAsia="Andale Sans UI"/>
                      <w:b/>
                      <w:bCs/>
                      <w:szCs w:val="24"/>
                      <w:lang w:bidi="en-US"/>
                    </w:rPr>
                    <w:t>13</w:t>
                  </w:r>
                </w:sdtContent>
              </w:sdt>
              <w:r>
                <w:rPr>
                  <w:rFonts w:eastAsia="Andale Sans UI"/>
                  <w:b/>
                  <w:bCs/>
                  <w:szCs w:val="24"/>
                  <w:lang w:bidi="en-US"/>
                </w:rPr>
                <w:t>. Derinimas su suinteresuotomis institucijomis ir suinteresuotais asmenimis</w:t>
              </w:r>
            </w:p>
            <w:p>
              <w:pPr>
                <w:ind w:firstLine="567"/>
                <w:jc w:val="both"/>
                <w:rPr>
                  <w:rFonts w:eastAsia="Andale Sans UI"/>
                  <w:szCs w:val="24"/>
                  <w:lang w:bidi="en-US"/>
                </w:rPr>
              </w:pPr>
              <w:r>
                <w:rPr>
                  <w:rFonts w:eastAsia="Andale Sans UI"/>
                  <w:szCs w:val="24"/>
                  <w:lang w:bidi="en-US"/>
                </w:rPr>
                <w:t>Projektas skelbiamas Lietuvos Respublikos Seimo kanceliarijos teisės aktų informacinėje sistemoje (TAIS).</w:t>
              </w:r>
            </w:p>
            <w:p>
              <w:pPr>
                <w:ind w:firstLine="567"/>
                <w:jc w:val="both"/>
                <w:rPr>
                  <w:rFonts w:eastAsia="Andale Sans UI"/>
                  <w:szCs w:val="24"/>
                  <w:lang w:bidi="en-US"/>
                </w:rPr>
              </w:pPr>
              <w:r>
                <w:rPr>
                  <w:rFonts w:eastAsia="Andale Sans UI"/>
                  <w:szCs w:val="24"/>
                  <w:lang w:bidi="en-US"/>
                </w:rPr>
                <w:t xml:space="preserve">Derinimo terminas </w:t>
              </w:r>
              <w:r>
                <w:rPr>
                  <w:color w:val="000000"/>
                  <w:szCs w:val="24"/>
                  <w:lang w:eastAsia="lt-LT" w:bidi="en-US"/>
                </w:rPr>
                <w:t>(</w:t>
              </w:r>
              <w:r>
                <w:rPr>
                  <w:szCs w:val="24"/>
                  <w:lang w:eastAsia="lt-LT" w:bidi="en-US"/>
                </w:rPr>
                <w:t>pažymimas tinkamas variantas)</w:t>
              </w:r>
              <w:r>
                <w:rPr>
                  <w:rFonts w:eastAsia="Andale Sans UI"/>
                  <w:szCs w:val="24"/>
                  <w:lang w:bidi="en-US"/>
                </w:rPr>
                <w:t>:</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12 darbo dienų.</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5 darbo dienos</w:t>
              </w:r>
              <w:r>
                <w:rPr>
                  <w:rFonts w:eastAsia="Andale Sans UI"/>
                  <w:i/>
                  <w:iCs/>
                  <w:szCs w:val="24"/>
                  <w:lang w:bidi="en-US"/>
                </w:rPr>
                <w:t>.</w:t>
              </w:r>
            </w:p>
          </w:sdtContent>
        </w:sdt>
        <w:sdt>
          <w:sdtPr>
            <w:alias w:val="14 p."/>
            <w:tag w:val="part_c572c2c997194eefb8d7255c7ccc4f18"/>
            <w:lock w:val="sdtLocked"/>
            <w:richText/>
          </w:sdtPr>
          <w:sdtContent>
            <w:p>
              <w:pPr>
                <w:ind w:firstLine="567"/>
                <w:jc w:val="both"/>
                <w:rPr>
                  <w:rFonts w:eastAsia="Andale Sans UI"/>
                  <w:b/>
                  <w:bCs/>
                  <w:szCs w:val="24"/>
                  <w:lang w:bidi="en-US"/>
                </w:rPr>
              </w:pPr>
              <w:sdt>
                <w:sdtPr>
                  <w:alias w:val="Numeris"/>
                  <w:tag w:val="nr_c572c2c997194eefb8d7255c7ccc4f18"/>
                  <w:lock w:val="sdtLocked"/>
                  <w:richText/>
                </w:sdtPr>
                <w:sdtContent>
                  <w:r>
                    <w:rPr>
                      <w:rFonts w:eastAsia="Andale Sans UI"/>
                      <w:b/>
                      <w:bCs/>
                      <w:szCs w:val="24"/>
                      <w:lang w:bidi="en-US"/>
                    </w:rPr>
                    <w:t>14</w:t>
                  </w:r>
                </w:sdtContent>
              </w:sdt>
              <w:r>
                <w:rPr>
                  <w:rFonts w:eastAsia="Andale Sans UI"/>
                  <w:b/>
                  <w:bCs/>
                  <w:szCs w:val="24"/>
                  <w:lang w:bidi="en-US"/>
                </w:rPr>
                <w:t>. Projekto rengėjai</w:t>
              </w:r>
            </w:p>
            <w:p>
              <w:pPr>
                <w:spacing w:line="276" w:lineRule="auto"/>
                <w:ind w:firstLine="567"/>
                <w:jc w:val="both"/>
                <w:rPr>
                  <w:rFonts w:eastAsia="Andale Sans UI"/>
                  <w:b/>
                  <w:bCs/>
                  <w:szCs w:val="24"/>
                  <w:lang w:bidi="en-US"/>
                </w:rPr>
              </w:pPr>
              <w:r>
                <w:rPr>
                  <w:rFonts w:eastAsia="Andale Sans UI"/>
                  <w:szCs w:val="24"/>
                  <w:lang w:bidi="en-US"/>
                </w:rPr>
                <w:t xml:space="preserve">Projektą parengė </w:t>
              </w:r>
              <w:r>
                <w:rPr>
                  <w:rFonts w:eastAsia="Andale Sans UI" w:cs="Tahoma"/>
                  <w:szCs w:val="24"/>
                  <w:lang w:bidi="en-US"/>
                </w:rPr>
                <w:t xml:space="preserve">Aplinkos ministerijos Kadastro ir erdvinių duomenų politikos grupės                (vadovė – Aušra Kalantaitė, mob. </w:t>
              </w:r>
              <w:r>
                <w:rPr>
                  <w:rFonts w:eastAsia="Andale Sans UI"/>
                  <w:sz w:val="22"/>
                  <w:szCs w:val="22"/>
                  <w:bdr w:val="none" w:sz="0" w:space="0" w:color="auto" w:frame="1"/>
                  <w:shd w:val="clear" w:color="auto" w:fill="FFFFFF"/>
                  <w:lang w:bidi="en-US"/>
                </w:rPr>
                <w:t>+370 669 52 682</w:t>
              </w:r>
              <w:r>
                <w:rPr>
                  <w:rFonts w:eastAsia="Andale Sans UI" w:cs="Tahoma"/>
                  <w:szCs w:val="24"/>
                  <w:lang w:bidi="en-US"/>
                </w:rPr>
                <w:t xml:space="preserve">, </w:t>
              </w:r>
              <w:r>
                <w:rPr>
                  <w:rFonts w:eastAsia="Andale Sans UI" w:cs="Tahoma"/>
                  <w:color w:val="000000"/>
                  <w:szCs w:val="24"/>
                  <w:bdr w:val="none" w:sz="0" w:space="0" w:color="auto" w:frame="1"/>
                  <w:shd w:val="clear" w:color="auto" w:fill="FFFFFF"/>
                  <w:lang w:bidi="en-US"/>
                </w:rPr>
                <w:t>el. p. </w:t>
              </w:r>
              <w:r>
                <w:rPr>
                  <w:rFonts w:eastAsia="Andale Sans UI" w:cs="Tahoma"/>
                  <w:szCs w:val="24"/>
                  <w:shd w:val="clear" w:color="auto" w:fill="FFFFFF"/>
                  <w:lang w:bidi="en-US"/>
                </w:rPr>
                <w:t>ausra.kalantaite@am.lt</w:t>
              </w:r>
              <w:r>
                <w:rPr>
                  <w:rFonts w:eastAsia="Andale Sans UI" w:cs="Tahoma"/>
                  <w:szCs w:val="24"/>
                  <w:lang w:bidi="en-US"/>
                </w:rPr>
                <w:t xml:space="preserve">) patarėja                        Aušra Balsytė (mob. </w:t>
              </w:r>
              <w:r>
                <w:rPr>
                  <w:rFonts w:eastAsia="Andale Sans UI"/>
                  <w:sz w:val="22"/>
                  <w:szCs w:val="22"/>
                  <w:bdr w:val="none" w:sz="0" w:space="0" w:color="auto" w:frame="1"/>
                  <w:shd w:val="clear" w:color="auto" w:fill="FFFFFF"/>
                  <w:lang w:bidi="en-US"/>
                </w:rPr>
                <w:t>+370 </w:t>
              </w:r>
              <w:r>
                <w:rPr>
                  <w:rFonts w:eastAsia="Andale Sans UI" w:cs="Tahoma"/>
                  <w:szCs w:val="24"/>
                  <w:lang w:bidi="en-US"/>
                </w:rPr>
                <w:t>696</w:t>
              </w:r>
              <w:r>
                <w:rPr>
                  <w:rFonts w:eastAsia="Andale Sans UI"/>
                  <w:sz w:val="22"/>
                  <w:szCs w:val="22"/>
                  <w:bdr w:val="none" w:sz="0" w:space="0" w:color="auto" w:frame="1"/>
                  <w:shd w:val="clear" w:color="auto" w:fill="FFFFFF"/>
                  <w:lang w:bidi="en-US"/>
                </w:rPr>
                <w:t> </w:t>
              </w:r>
              <w:r>
                <w:rPr>
                  <w:rFonts w:eastAsia="Andale Sans UI" w:cs="Tahoma"/>
                  <w:szCs w:val="24"/>
                  <w:lang w:bidi="en-US"/>
                </w:rPr>
                <w:t>86 148, el. p. ausra.balsyte@am.lt)</w:t>
              </w:r>
              <w:r>
                <w:rPr>
                  <w:rFonts w:eastAsia="Andale Sans UI" w:cs="Tahoma"/>
                  <w:szCs w:val="24"/>
                  <w:bdr w:val="none" w:sz="0" w:space="0" w:color="auto" w:frame="1"/>
                  <w:shd w:val="clear" w:color="auto" w:fill="FFFFFF"/>
                  <w:lang w:bidi="en-US"/>
                </w:rPr>
                <w:t>. </w:t>
              </w:r>
            </w:p>
            <w:p>
              <w:pPr>
                <w:ind w:firstLine="567"/>
                <w:jc w:val="both"/>
                <w:rPr>
                  <w:rFonts w:eastAsia="Andale Sans UI"/>
                  <w:szCs w:val="24"/>
                  <w:lang w:bidi="en-US"/>
                </w:rPr>
              </w:pPr>
              <w:r>
                <w:rPr>
                  <w:rFonts w:eastAsia="Andale Sans UI"/>
                  <w:szCs w:val="24"/>
                  <w:lang w:bidi="en-US"/>
                </w:rPr>
                <w:t>PRIDEDAMA:</w:t>
              </w:r>
            </w:p>
          </w:sdtContent>
        </w:sdt>
        <w:sdt>
          <w:sdtPr>
            <w:alias w:val="1 p."/>
            <w:tag w:val="part_654abd192a984db89b90a38dfc099370"/>
            <w:lock w:val="sdtLocked"/>
            <w:richText/>
          </w:sdtPr>
          <w:sdtContent>
            <w:p>
              <w:pPr>
                <w:ind w:firstLine="567"/>
                <w:jc w:val="both"/>
                <w:rPr>
                  <w:color w:val="000000"/>
                  <w:szCs w:val="24"/>
                  <w:lang w:eastAsia="lt-LT" w:bidi="en-US"/>
                </w:rPr>
              </w:pPr>
              <w:sdt>
                <w:sdtPr>
                  <w:alias w:val="Numeris"/>
                  <w:tag w:val="nr_654abd192a984db89b90a38dfc099370"/>
                  <w:lock w:val="sdtLocked"/>
                  <w:richText/>
                </w:sdtPr>
                <w:sdtContent>
                  <w:r>
                    <w:rPr>
                      <w:color w:val="000000"/>
                      <w:szCs w:val="24"/>
                      <w:lang w:eastAsia="lt-LT" w:bidi="en-US"/>
                    </w:rPr>
                    <w:t>1</w:t>
                  </w:r>
                </w:sdtContent>
              </w:sdt>
              <w:r>
                <w:rPr>
                  <w:color w:val="000000"/>
                  <w:szCs w:val="24"/>
                  <w:lang w:eastAsia="lt-LT" w:bidi="en-US"/>
                </w:rPr>
                <w:t xml:space="preserve">. </w:t>
              </w:r>
              <w:r>
                <w:rPr>
                  <w:rFonts w:eastAsia="Andale Sans UI"/>
                  <w:szCs w:val="24"/>
                  <w:lang w:bidi="en-US"/>
                </w:rPr>
                <w:t>P</w:t>
              </w:r>
              <w:r>
                <w:rPr>
                  <w:color w:val="000000"/>
                  <w:szCs w:val="24"/>
                  <w:lang w:eastAsia="lt-LT" w:bidi="en-US"/>
                </w:rPr>
                <w:t>rojektas, 17 lapų.</w:t>
              </w:r>
            </w:p>
          </w:sdtContent>
        </w:sdt>
        <w:sdt>
          <w:sdtPr>
            <w:alias w:val="2 p."/>
            <w:tag w:val="part_91c6397dd5de4ea8b01c992240cd36c6"/>
            <w:lock w:val="sdtLocked"/>
            <w:richText/>
          </w:sdtPr>
          <w:sdtContent>
            <w:p>
              <w:pPr>
                <w:ind w:firstLine="567"/>
                <w:jc w:val="both"/>
                <w:rPr>
                  <w:color w:val="000000"/>
                  <w:szCs w:val="24"/>
                  <w:lang w:eastAsia="lt-LT" w:bidi="en-US"/>
                </w:rPr>
              </w:pPr>
              <w:sdt>
                <w:sdtPr>
                  <w:alias w:val="Numeris"/>
                  <w:tag w:val="nr_91c6397dd5de4ea8b01c992240cd36c6"/>
                  <w:lock w:val="sdtLocked"/>
                  <w:richText/>
                </w:sdtPr>
                <w:sdtContent>
                  <w:r>
                    <w:rPr>
                      <w:color w:val="000000"/>
                      <w:szCs w:val="24"/>
                      <w:lang w:eastAsia="lt-LT" w:bidi="en-US"/>
                    </w:rPr>
                    <w:t>2</w:t>
                  </w:r>
                </w:sdtContent>
              </w:sdt>
              <w:r>
                <w:rPr>
                  <w:color w:val="000000"/>
                  <w:szCs w:val="24"/>
                  <w:lang w:eastAsia="lt-LT" w:bidi="en-US"/>
                </w:rPr>
                <w:t>. Antikorupcinio vertinimo pažyma, 6 lapai.</w:t>
              </w:r>
            </w:p>
            <w:p>
              <w:pPr>
                <w:suppressLineNumbers/>
                <w:spacing w:line="276" w:lineRule="auto"/>
                <w:jc w:val="both"/>
                <w:rPr>
                  <w:rFonts w:eastAsia="Andale Sans UI"/>
                  <w:bCs/>
                  <w:szCs w:val="24"/>
                  <w:lang w:bidi="en-US"/>
                </w:rPr>
              </w:pPr>
            </w:p>
            <w:p>
              <w:pPr>
                <w:suppressLineNumbers/>
                <w:spacing w:line="276" w:lineRule="auto"/>
                <w:jc w:val="both"/>
                <w:rPr>
                  <w:rFonts w:eastAsia="Andale Sans UI"/>
                  <w:bCs/>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spacing w:line="276" w:lineRule="auto"/>
                      <w:jc w:val="both"/>
                      <w:rPr>
                        <w:rFonts w:eastAsia="Andale Sans UI"/>
                        <w:szCs w:val="24"/>
                        <w:lang w:bidi="en-US"/>
                      </w:rPr>
                    </w:pPr>
                    <w:r>
                      <w:rPr>
                        <w:rFonts w:eastAsia="Andale Sans UI"/>
                        <w:szCs w:val="24"/>
                        <w:lang w:bidi="en-US"/>
                      </w:rPr>
                      <w:t>Aplinkos viceministras</w:t>
                    </w:r>
                  </w:p>
                </w:tc>
                <w:tc>
                  <w:tcPr>
                    <w:tcW w:w="4826" w:type="dxa"/>
                    <w:vAlign w:val="bottom"/>
                  </w:tcPr>
                  <w:p>
                    <w:pPr>
                      <w:spacing w:line="276" w:lineRule="auto"/>
                      <w:ind w:right="34"/>
                      <w:jc w:val="right"/>
                      <w:rPr>
                        <w:rFonts w:eastAsia="Andale Sans UI"/>
                        <w:szCs w:val="24"/>
                        <w:lang w:bidi="en-US"/>
                      </w:rPr>
                    </w:pPr>
                    <w:r>
                      <w:rPr>
                        <w:rFonts w:eastAsia="Andale Sans UI" w:cs="Tahoma"/>
                        <w:szCs w:val="24"/>
                        <w:lang w:bidi="en-US"/>
                      </w:rPr>
                      <w:t>Ramūnas Krugelis</w:t>
                    </w:r>
                  </w:p>
                </w:tc>
              </w:tr>
              <w:tr>
                <w:trPr>
                  <w:trHeight w:val="340"/>
                </w:trPr>
                <w:tc>
                  <w:tcPr>
                    <w:tcW w:w="4817" w:type="dxa"/>
                    <w:vAlign w:val="bottom"/>
                  </w:tcPr>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tc>
                <w:tc>
                  <w:tcPr>
                    <w:tcW w:w="4826" w:type="dxa"/>
                    <w:vAlign w:val="bottom"/>
                  </w:tcPr>
                  <w:p>
                    <w:pPr>
                      <w:spacing w:line="276" w:lineRule="auto"/>
                      <w:ind w:right="34"/>
                      <w:jc w:val="right"/>
                      <w:rPr>
                        <w:rFonts w:eastAsia="Andale Sans UI"/>
                        <w:szCs w:val="24"/>
                        <w:lang w:bidi="en-US"/>
                      </w:rPr>
                    </w:pPr>
                  </w:p>
                </w:tc>
              </w:tr>
              <w:tr>
                <w:trPr>
                  <w:cantSplit/>
                  <w:trHeight w:val="340"/>
                </w:trPr>
                <w:tc>
                  <w:tcPr>
                    <w:tcW w:w="9643" w:type="dxa"/>
                    <w:gridSpan w:val="2"/>
                  </w:tcPr>
                  <w:p>
                    <w:pPr>
                      <w:suppressLineNumbers/>
                      <w:ind w:left="720" w:hanging="360"/>
                      <w:jc w:val="both"/>
                      <w:rPr>
                        <w:rFonts w:eastAsia="Andale Sans UI"/>
                        <w:szCs w:val="24"/>
                        <w:lang w:bidi="en-US"/>
                      </w:rPr>
                    </w:pPr>
                    <w:r>
                      <w:rPr>
                        <w:rFonts w:eastAsia="Andale Sans UI"/>
                        <w:szCs w:val="24"/>
                        <w:lang w:bidi="en-US"/>
                      </w:rPr>
                      <w:t>A.</w:t>
                      <w:tab/>
                      <w:t xml:space="preserve">Balsytė, tel. </w:t>
                    </w:r>
                    <w:r>
                      <w:rPr>
                        <w:rFonts w:eastAsia="Andale Sans UI"/>
                        <w:sz w:val="22"/>
                        <w:szCs w:val="22"/>
                        <w:bdr w:val="none" w:sz="0" w:space="0" w:color="auto" w:frame="1"/>
                        <w:shd w:val="clear" w:color="auto" w:fill="FFFFFF"/>
                        <w:lang w:bidi="en-US"/>
                      </w:rPr>
                      <w:t>+370 </w:t>
                    </w:r>
                    <w:r>
                      <w:rPr>
                        <w:rFonts w:eastAsia="Andale Sans UI" w:cs="Tahoma"/>
                        <w:szCs w:val="24"/>
                        <w:lang w:bidi="en-US"/>
                      </w:rPr>
                      <w:t>696</w:t>
                    </w:r>
                    <w:r>
                      <w:rPr>
                        <w:rFonts w:eastAsia="Andale Sans UI"/>
                        <w:sz w:val="22"/>
                        <w:szCs w:val="22"/>
                        <w:bdr w:val="none" w:sz="0" w:space="0" w:color="auto" w:frame="1"/>
                        <w:shd w:val="clear" w:color="auto" w:fill="FFFFFF"/>
                        <w:lang w:bidi="en-US"/>
                      </w:rPr>
                      <w:t> </w:t>
                    </w:r>
                    <w:r>
                      <w:rPr>
                        <w:rFonts w:eastAsia="Andale Sans UI" w:cs="Tahoma"/>
                        <w:szCs w:val="24"/>
                        <w:lang w:bidi="en-US"/>
                      </w:rPr>
                      <w:t>86148, el. p. ausra.balsyte@am.lt</w:t>
                    </w:r>
                  </w:p>
                </w:tc>
              </w:tr>
            </w:tbl>
            <w:p>
              <w:pPr>
                <w:jc w:val="center"/>
                <w:rPr>
                  <w:rFonts w:eastAsia="Andale Sans UI" w:cs="Tahoma"/>
                  <w:szCs w:val="24"/>
                  <w:lang w:bidi="en-US"/>
                </w:rPr>
                <w:sectPr>
                  <w:headerReference w:type="even" r:id="rId11"/>
                  <w:headerReference w:type="default" r:id="rId12"/>
                  <w:footerReference w:type="even" r:id="rId13"/>
                  <w:footerReference w:type="default" r:id="rId14"/>
                  <w:headerReference w:type="first" r:id="rId15"/>
                  <w:footerReference w:type="first" r:id="rId16"/>
                  <w:footnotePr>
                    <w:pos w:val="beneathText"/>
                    <w:numRestart w:val="eachPage"/>
                  </w:footnotePr>
                  <w:endnotePr>
                    <w:numFmt w:val="decimal"/>
                  </w:endnotePr>
                  <w:pgSz w:w="11905" w:h="16837"/>
                  <w:pgMar w:top="1021" w:right="567" w:bottom="1021" w:left="1588" w:header="567" w:footer="232" w:gutter="0"/>
                  <w:cols w:space="1296"/>
                  <w:titlePg/>
                  <w:docGrid w:linePitch="326"/>
                </w:sectPr>
              </w:pPr>
            </w:p>
            <w:p>
              <w:pPr>
                <w:suppressLineNumbers/>
                <w:tabs>
                  <w:tab w:val="center" w:pos="4800"/>
                  <w:tab w:val="right" w:pos="9601"/>
                </w:tabs>
                <w:jc w:val="both"/>
                <w:rPr>
                  <w:rFonts w:eastAsia="Andale Sans UI" w:cs="Tahoma"/>
                  <w:szCs w:val="24"/>
                  <w:lang w:bidi="en-US"/>
                </w:rPr>
              </w:pPr>
            </w:p>
            <w:p>
              <w:pPr>
                <w:jc w:val="center"/>
                <w:rPr>
                  <w:rFonts w:eastAsia="Andale Sans UI" w:cs="Tahoma"/>
                  <w:szCs w:val="24"/>
                  <w:lang w:bidi="en-US"/>
                </w:rPr>
              </w:pPr>
              <w:r>
                <w:rPr>
                  <w:rFonts w:eastAsia="Andale Sans UI" w:cs="Tahoma"/>
                  <w:szCs w:val="24"/>
                  <w:lang w:bidi="en-US"/>
                </w:rPr>
                <w:t>ADRESATŲ SĄRAŠAS</w:t>
              </w:r>
            </w:p>
            <w:p>
              <w:pPr>
                <w:ind w:firstLine="567"/>
                <w:jc w:val="center"/>
                <w:rPr>
                  <w:rFonts w:eastAsia="Andale Sans UI" w:cs="Tahoma"/>
                  <w:szCs w:val="24"/>
                  <w:lang w:bidi="en-US"/>
                </w:rPr>
              </w:pPr>
            </w:p>
          </w:sdtContent>
        </w:sdt>
        <w:sdt>
          <w:sdtPr>
            <w:alias w:val="signatura"/>
            <w:tag w:val="part_840355b968184a1782b3a25a29964869"/>
            <w:lock w:val="sdtLocked"/>
            <w:richText/>
          </w:sdtPr>
          <w:sdtContent>
            <w:p>
              <w:pPr>
                <w:spacing w:line="276" w:lineRule="auto"/>
                <w:textAlignment w:val="baseline"/>
                <w:rPr>
                  <w:color w:val="000000"/>
                  <w:szCs w:val="24"/>
                  <w:shd w:val="clear" w:color="auto" w:fill="FFFFFF"/>
                  <w:lang w:eastAsia="lt-LT"/>
                </w:rPr>
              </w:pPr>
              <w:r>
                <w:rPr>
                  <w:color w:val="000000"/>
                  <w:szCs w:val="24"/>
                  <w:shd w:val="clear" w:color="auto" w:fill="FFFFFF"/>
                  <w:lang w:eastAsia="lt-LT"/>
                </w:rPr>
                <w:t xml:space="preserve">Aplinkos valdymo projektų agentūrai </w:t>
              </w:r>
            </w:p>
            <w:p>
              <w:pPr>
                <w:spacing w:line="276" w:lineRule="auto"/>
                <w:textAlignment w:val="baseline"/>
                <w:rPr>
                  <w:rFonts w:eastAsia="StarSymbol"/>
                  <w:szCs w:val="24"/>
                  <w:lang w:eastAsia="lt-LT"/>
                </w:rPr>
              </w:pPr>
              <w:r>
                <w:rPr>
                  <w:rFonts w:eastAsia="StarSymbol"/>
                  <w:szCs w:val="24"/>
                  <w:lang w:eastAsia="lt-LT"/>
                </w:rPr>
                <w:t>Ekonomikos ir inovacijų ministerijai</w:t>
              </w:r>
            </w:p>
            <w:p>
              <w:pPr>
                <w:spacing w:line="276" w:lineRule="auto"/>
                <w:textAlignment w:val="baseline"/>
                <w:rPr>
                  <w:color w:val="000000"/>
                  <w:szCs w:val="24"/>
                  <w:lang w:eastAsia="lt-LT"/>
                </w:rPr>
              </w:pPr>
              <w:r>
                <w:rPr>
                  <w:color w:val="000000"/>
                  <w:szCs w:val="24"/>
                  <w:lang w:eastAsia="lt-LT"/>
                </w:rPr>
                <w:t xml:space="preserve">Teisingumo ministerijai </w:t>
              </w:r>
            </w:p>
            <w:p>
              <w:pPr>
                <w:spacing w:line="276" w:lineRule="auto"/>
                <w:textAlignment w:val="baseline"/>
                <w:rPr>
                  <w:color w:val="000000"/>
                  <w:szCs w:val="24"/>
                  <w:lang w:eastAsia="lt-LT"/>
                </w:rPr>
              </w:pPr>
              <w:r>
                <w:rPr>
                  <w:color w:val="000000"/>
                  <w:szCs w:val="24"/>
                </w:rPr>
                <w:t>Kultūros paveldo departamentui prie Kultūros ministerijos</w:t>
              </w:r>
            </w:p>
            <w:p>
              <w:pPr>
                <w:spacing w:line="276" w:lineRule="auto"/>
                <w:textAlignment w:val="baseline"/>
                <w:rPr>
                  <w:rFonts w:eastAsia="StarSymbol"/>
                  <w:szCs w:val="24"/>
                  <w:lang w:eastAsia="lt-LT"/>
                </w:rPr>
              </w:pPr>
              <w:r>
                <w:rPr>
                  <w:color w:val="000000"/>
                  <w:szCs w:val="24"/>
                  <w:lang w:eastAsia="lt-LT"/>
                </w:rPr>
                <w:t>Kibernetinio saugumo centrui</w:t>
              </w:r>
            </w:p>
            <w:p>
              <w:pPr>
                <w:spacing w:line="276" w:lineRule="auto"/>
                <w:textAlignment w:val="baseline"/>
                <w:rPr>
                  <w:szCs w:val="24"/>
                  <w:lang w:eastAsia="lt-LT"/>
                </w:rPr>
              </w:pPr>
              <w:r>
                <w:rPr>
                  <w:szCs w:val="24"/>
                  <w:lang w:eastAsia="lt-LT"/>
                </w:rPr>
                <w:t xml:space="preserve">Duomenų apsaugos inspekcijai </w:t>
              </w:r>
            </w:p>
            <w:p>
              <w:pPr>
                <w:spacing w:line="276" w:lineRule="auto"/>
                <w:textAlignment w:val="baseline"/>
                <w:rPr>
                  <w:color w:val="000000"/>
                  <w:spacing w:val="-4"/>
                  <w:szCs w:val="24"/>
                  <w:shd w:val="clear" w:color="auto" w:fill="FFFFFF"/>
                  <w:lang w:eastAsia="lt-LT"/>
                </w:rPr>
              </w:pPr>
              <w:r>
                <w:rPr>
                  <w:color w:val="000000"/>
                  <w:spacing w:val="-4"/>
                  <w:szCs w:val="24"/>
                  <w:shd w:val="clear" w:color="auto" w:fill="FFFFFF"/>
                  <w:lang w:eastAsia="lt-LT"/>
                </w:rPr>
                <w:t>Valstybės skaitmeninių sprendimų agentūrai</w:t>
              </w:r>
            </w:p>
            <w:p>
              <w:pPr>
                <w:spacing w:line="276" w:lineRule="auto"/>
                <w:textAlignment w:val="baseline"/>
                <w:rPr>
                  <w:color w:val="000000"/>
                  <w:spacing w:val="-4"/>
                  <w:szCs w:val="24"/>
                  <w:shd w:val="clear" w:color="auto" w:fill="FFFFFF"/>
                  <w:lang w:eastAsia="lt-LT"/>
                </w:rPr>
              </w:pPr>
              <w:r>
                <w:rPr>
                  <w:color w:val="000000"/>
                  <w:spacing w:val="-4"/>
                  <w:szCs w:val="24"/>
                  <w:shd w:val="clear" w:color="auto" w:fill="FFFFFF"/>
                  <w:lang w:eastAsia="lt-LT"/>
                </w:rPr>
                <w:t>VĮ Registrų centrui</w:t>
              </w:r>
            </w:p>
            <w:p>
              <w:pPr>
                <w:spacing w:line="276" w:lineRule="auto"/>
                <w:textAlignment w:val="baseline"/>
                <w:rPr>
                  <w:rFonts w:eastAsia="Cumberland"/>
                  <w:color w:val="000000"/>
                  <w:szCs w:val="24"/>
                  <w:shd w:val="clear" w:color="auto" w:fill="FFFFFF"/>
                  <w:lang w:eastAsia="lt-LT"/>
                </w:rPr>
              </w:pPr>
              <w:r>
                <w:rPr>
                  <w:color w:val="000000"/>
                  <w:spacing w:val="-4"/>
                  <w:szCs w:val="24"/>
                  <w:shd w:val="clear" w:color="auto" w:fill="FFFFFF"/>
                  <w:lang w:eastAsia="lt-LT"/>
                </w:rPr>
                <w:t xml:space="preserve">Viešajai įstaigai </w:t>
              </w:r>
              <w:r>
                <w:rPr>
                  <w:rFonts w:eastAsia="Cumberland"/>
                  <w:color w:val="000000"/>
                  <w:szCs w:val="24"/>
                  <w:shd w:val="clear" w:color="auto" w:fill="FFFFFF"/>
                  <w:lang w:eastAsia="lt-LT"/>
                </w:rPr>
                <w:t>Lietuvos energetikos agentūrai</w:t>
              </w:r>
            </w:p>
            <w:p>
              <w:pPr>
                <w:spacing w:line="276" w:lineRule="auto"/>
                <w:textAlignment w:val="baseline"/>
                <w:rPr>
                  <w:color w:val="000000"/>
                  <w:spacing w:val="-4"/>
                  <w:szCs w:val="24"/>
                  <w:shd w:val="clear" w:color="auto" w:fill="FFFFFF"/>
                  <w:lang w:eastAsia="lt-LT"/>
                </w:rPr>
              </w:pPr>
              <w:r>
                <w:rPr>
                  <w:color w:val="000000"/>
                  <w:spacing w:val="-4"/>
                  <w:szCs w:val="24"/>
                  <w:shd w:val="clear" w:color="auto" w:fill="FFFFFF"/>
                  <w:lang w:eastAsia="lt-LT"/>
                </w:rPr>
                <w:t>Viešajai įstaigai Statybos sektoriaus vystymo agentūrai</w:t>
              </w:r>
            </w:p>
            <w:p>
              <w:pPr>
                <w:textAlignment w:val="baseline"/>
                <w:rPr>
                  <w:rFonts w:ascii="Segoe UI" w:hAnsi="Segoe UI" w:cs="Segoe UI"/>
                  <w:sz w:val="18"/>
                  <w:szCs w:val="18"/>
                  <w:lang w:eastAsia="lt-LT"/>
                </w:rPr>
              </w:pPr>
            </w:p>
            <w:p>
              <w:pPr>
                <w:textAlignment w:val="baseline"/>
                <w:rPr>
                  <w:rFonts w:ascii="Segoe UI" w:hAnsi="Segoe UI" w:cs="Segoe UI"/>
                  <w:sz w:val="18"/>
                  <w:szCs w:val="18"/>
                  <w:lang w:eastAsia="lt-LT"/>
                </w:rPr>
              </w:pPr>
            </w:p>
            <w:p>
              <w:pPr>
                <w:ind w:firstLine="567"/>
                <w:jc w:val="both"/>
                <w:rPr>
                  <w:rFonts w:eastAsia="Andale Sans UI" w:cs="Tahoma"/>
                  <w:szCs w:val="24"/>
                  <w:lang w:bidi="en-US"/>
                </w:rPr>
              </w:pPr>
            </w:p>
          </w:sdtContent>
        </w:sdt>
      </w:sdtContent>
    </w:sdt>
    <w:sectPr>
      <w:footnotePr>
        <w:pos w:val="beneathText"/>
        <w:numRestart w:val="eachPage"/>
      </w:footnotePr>
      <w:endnotePr>
        <w:numFmt w:val="decimal"/>
      </w:endnotePr>
      <w:pgSz w:w="11905" w:h="16837"/>
      <w:pgMar w:top="1021" w:right="567" w:bottom="1021" w:left="1588" w:header="567" w:footer="232"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StarSymbol">
    <w:altName w:val="Calibri"/>
    <w:charset w:val="00"/>
    <w:family w:val="auto"/>
    <w:pitch w:val="variable"/>
    <w:sig w:usb0="00000003" w:usb1="10008000" w:usb2="00000000" w:usb3="00000000" w:csb0="00000001" w:csb1="00000000"/>
  </w:font>
  <w:font w:name="Cumberland">
    <w:charset w:val="BA"/>
    <w:family w:val="modern"/>
    <w:pitch w:val="fixed"/>
    <w:sig w:usb0="00000287" w:usb1="00000000" w:usb2="00000000" w:usb3="00000000" w:csb0="0000009F" w:csb1="00000000"/>
  </w:font>
  <w:font w:name="Segoe UI">
    <w:panose1 w:val="020B0502040204020203"/>
    <w:charset w:val="BA"/>
    <w:family w:val="swiss"/>
    <w:pitch w:val="variable"/>
    <w:sig w:usb0="E10022FF" w:usb1="C000E47F" w:usb2="00000029" w:usb3="00000000" w:csb0="000001D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type="continuationNotice" w:id="1">
    <w:p/>
  </w:footnote>
  <w:footnote w:id="2">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1" w:history="1">
        <w:r>
          <w:rPr>
            <w:rFonts w:eastAsia="Andale Sans UI"/>
            <w:color w:val="000080"/>
            <w:sz w:val="20"/>
            <w:u w:val="single"/>
          </w:rPr>
          <w:t>Devynioliktosios Lietuvos Respublikos Vyriausybės programa</w:t>
        </w:r>
      </w:hyperlink>
      <w:r>
        <w:rPr>
          <w:rFonts w:eastAsia="Andale Sans UI"/>
          <w:sz w:val="20"/>
        </w:rPr>
        <w:t xml:space="preserve">, kuriai pritarta Lietuvos Respublikos Seimo 2024 m. gruodžio 12 d. nutarimu Nr. XV-54 „Dėl </w:t>
      </w:r>
      <w:r>
        <w:rPr>
          <w:rFonts w:eastAsia="Andale Sans UI"/>
          <w:sz w:val="20"/>
          <w:shd w:val="clear" w:color="auto" w:fill="FFFFFF"/>
        </w:rPr>
        <w:t>Devynioliktosios Lietuvos Respublikos Vyriausybės programos</w:t>
      </w:r>
      <w:r>
        <w:rPr>
          <w:rFonts w:eastAsia="Andale Sans UI"/>
          <w:sz w:val="20"/>
        </w:rPr>
        <w:t>“.</w:t>
      </w:r>
    </w:p>
  </w:footnote>
  <w:footnote w:id="3">
    <w:p>
      <w:pPr>
        <w:jc w:val="both"/>
        <w:rPr>
          <w:rFonts w:eastAsia="Andale Sans UI"/>
          <w:sz w:val="20"/>
        </w:rPr>
      </w:pPr>
      <w:r>
        <w:rPr>
          <w:rFonts w:eastAsia="Andale Sans UI"/>
          <w:sz w:val="20"/>
          <w:vertAlign w:val="superscript"/>
        </w:rPr>
        <w:footnoteRef/>
      </w:r>
      <w:r>
        <w:rPr>
          <w:rFonts w:eastAsia="Andale Sans UI"/>
          <w:sz w:val="20"/>
        </w:rPr>
        <w:t xml:space="preserve"> </w:t>
      </w:r>
      <w:hyperlink r:id="rId2"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4 punktas.</w:t>
      </w:r>
    </w:p>
  </w:footnote>
  <w:footnote w:id="4">
    <w:p>
      <w:pPr>
        <w:tabs>
          <w:tab w:val="left" w:pos="2127"/>
        </w:tabs>
        <w:jc w:val="both"/>
        <w:rPr>
          <w:color w:val="000000"/>
          <w:sz w:val="20"/>
          <w:lang w:eastAsia="lt-LT" w:bidi="en-US"/>
        </w:rPr>
      </w:pPr>
      <w:r>
        <w:rPr>
          <w:rFonts w:eastAsia="Andale Sans UI"/>
          <w:sz w:val="20"/>
          <w:vertAlign w:val="superscript"/>
          <w:lang w:bidi="en-US"/>
        </w:rPr>
        <w:footnoteRef/>
      </w:r>
      <w:r>
        <w:rPr>
          <w:rFonts w:eastAsia="Andale Sans UI"/>
          <w:sz w:val="20"/>
          <w:lang w:bidi="en-US"/>
        </w:rPr>
        <w:t xml:space="preserve"> </w:t>
      </w:r>
      <w:hyperlink r:id="rId3" w:history="1">
        <w:r>
          <w:rPr>
            <w:rFonts w:eastAsia="Andale Sans UI"/>
            <w:color w:val="000080"/>
            <w:sz w:val="20"/>
            <w:u w:val="single"/>
            <w:lang w:bidi="en-US"/>
          </w:rPr>
          <w:t>Europos Sąjungos reikalų koordinavimo taisyklių</w:t>
        </w:r>
      </w:hyperlink>
      <w:r>
        <w:rPr>
          <w:rFonts w:eastAsia="Andale Sans UI"/>
          <w:sz w:val="20"/>
          <w:lang w:bidi="en-US"/>
        </w:rPr>
        <w:t>, patvirtintų Lietuvos Respublikos Vyriausybės 2004 m. sausio 9 d. nutarimu Nr. 21 „Dėl Europos Sąjungos reikalų koordinavimo“, 7 priedas.</w:t>
      </w:r>
    </w:p>
  </w:footnote>
  <w:footnote w:id="5">
    <w:p>
      <w:pPr>
        <w:jc w:val="both"/>
        <w:rPr>
          <w:rFonts w:eastAsia="Andale Sans UI"/>
          <w:sz w:val="20"/>
        </w:rPr>
      </w:pPr>
      <w:r>
        <w:rPr>
          <w:rFonts w:eastAsia="Andale Sans UI"/>
          <w:sz w:val="20"/>
          <w:vertAlign w:val="superscript"/>
        </w:rPr>
        <w:footnoteRef/>
      </w:r>
      <w:r>
        <w:rPr>
          <w:rFonts w:eastAsia="Andale Sans UI"/>
          <w:sz w:val="20"/>
        </w:rPr>
        <w:t xml:space="preserve"> </w:t>
      </w:r>
      <w:hyperlink r:id="rId4" w:history="1">
        <w:r>
          <w:rPr>
            <w:color w:val="000080"/>
            <w:sz w:val="20"/>
            <w:u w:val="single"/>
            <w:lang w:eastAsia="lt-LT"/>
          </w:rPr>
          <w:t>Informacijos apie techninius reglamentus ir atitikties įvertinimo procedūras teikimo taisyklės</w:t>
        </w:r>
      </w:hyperlink>
      <w:r>
        <w:rPr>
          <w:sz w:val="20"/>
          <w:lang w:eastAsia="lt-LT"/>
        </w:rPr>
        <w:t>, patvirtintos Lietuvos Respublikos Vyriausybės 1999 m. gegužės 20 d. nutarimu Nr. 617 „Dėl Informacijos apie techninius reglamentus ir atitikties įvertinimo procedūras teikimo taisyklių patvirtinimo“.</w:t>
      </w:r>
    </w:p>
  </w:footnote>
  <w:footnote w:id="6">
    <w:p>
      <w:pPr>
        <w:jc w:val="both"/>
        <w:rPr>
          <w:szCs w:val="24"/>
          <w:lang w:eastAsia="lt-LT" w:bidi="en-US"/>
        </w:rPr>
      </w:pPr>
      <w:r>
        <w:rPr>
          <w:rFonts w:eastAsia="Andale Sans UI"/>
          <w:szCs w:val="24"/>
          <w:vertAlign w:val="superscript"/>
          <w:lang w:bidi="en-US"/>
        </w:rPr>
        <w:footnoteRef/>
        <w:t xml:space="preserve"> </w:t>
      </w:r>
      <w:hyperlink r:id="rId5">
        <w:r>
          <w:rPr>
            <w:color w:val="000080"/>
            <w:sz w:val="20"/>
            <w:u w:val="single"/>
            <w:lang w:bidi="en-US"/>
          </w:rPr>
          <w:t>Pranešimų ir informacijos apie nustatomus įsisteigimo arba nustatomus ar panaikinamus paslaugų teikimo laisvei taikomus reikalavimus teikimo tvarkos aprašas</w:t>
        </w:r>
      </w:hyperlink>
      <w:r>
        <w:rPr>
          <w:color w:val="000000"/>
          <w:sz w:val="20"/>
          <w:lang w:bidi="en-US"/>
        </w:rPr>
        <w:t>, patvirtintas Lietuvos Respublikos Vyriausybės 2011 m. lapkričio 30 d. nutarimu Nr. 1389 „Dėl pranešimų ir informacijos apie nustatomus įsisteigimo arba nustatomus ar panaikinamus paslaugų teikimo laisvei taikomus reikalavimus teikimo“</w:t>
      </w:r>
      <w:r>
        <w:rPr>
          <w:szCs w:val="24"/>
          <w:lang w:eastAsia="lt-LT" w:bidi="en-US"/>
        </w:rPr>
        <w:t>.</w:t>
      </w:r>
    </w:p>
  </w:footnote>
  <w:footnote w:id="7">
    <w:p>
      <w:pPr>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https://epilietis.lrv.lt/lt/</w:t>
      </w:r>
      <w:r>
        <w:rPr>
          <w:rFonts w:eastAsia="Andale Sans UI"/>
          <w:sz w:val="20"/>
        </w:rPr>
        <w:t>.</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val="en-GB" w:bidi="en-US"/>
      </w:rPr>
      <w:t>4</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 w:id="1"/>
  </w:footnotePr>
  <w:endnotePr>
    <w:numFmt w:val="decimal"/>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D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3DEF4C01-E7C7-4362-98DF-EFC218449E7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0274677">
      <w:bodyDiv w:val="1"/>
      <w:marLeft w:val="0"/>
      <w:marRight w:val="0"/>
      <w:marTop w:val="0"/>
      <w:marBottom w:val="0"/>
      <w:divBdr>
        <w:top w:val="none" w:sz="0" w:space="0" w:color="auto"/>
        <w:left w:val="none" w:sz="0" w:space="0" w:color="auto"/>
        <w:bottom w:val="none" w:sz="0" w:space="0" w:color="auto"/>
        <w:right w:val="none" w:sz="0" w:space="0" w:color="auto"/>
      </w:divBdr>
    </w:div>
    <w:div w:id="481770601">
      <w:bodyDiv w:val="1"/>
      <w:marLeft w:val="0"/>
      <w:marRight w:val="0"/>
      <w:marTop w:val="0"/>
      <w:marBottom w:val="0"/>
      <w:divBdr>
        <w:top w:val="none" w:sz="0" w:space="0" w:color="auto"/>
        <w:left w:val="none" w:sz="0" w:space="0" w:color="auto"/>
        <w:bottom w:val="none" w:sz="0" w:space="0" w:color="auto"/>
        <w:right w:val="none" w:sz="0" w:space="0" w:color="auto"/>
      </w:divBdr>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549878445">
      <w:bodyDiv w:val="1"/>
      <w:marLeft w:val="0"/>
      <w:marRight w:val="0"/>
      <w:marTop w:val="0"/>
      <w:marBottom w:val="0"/>
      <w:divBdr>
        <w:top w:val="none" w:sz="0" w:space="0" w:color="auto"/>
        <w:left w:val="none" w:sz="0" w:space="0" w:color="auto"/>
        <w:bottom w:val="none" w:sz="0" w:space="0" w:color="auto"/>
        <w:right w:val="none" w:sz="0" w:space="0" w:color="auto"/>
      </w:divBdr>
    </w:div>
    <w:div w:id="782111478">
      <w:bodyDiv w:val="1"/>
      <w:marLeft w:val="0"/>
      <w:marRight w:val="0"/>
      <w:marTop w:val="0"/>
      <w:marBottom w:val="0"/>
      <w:divBdr>
        <w:top w:val="none" w:sz="0" w:space="0" w:color="auto"/>
        <w:left w:val="none" w:sz="0" w:space="0" w:color="auto"/>
        <w:bottom w:val="none" w:sz="0" w:space="0" w:color="auto"/>
        <w:right w:val="none" w:sz="0" w:space="0" w:color="auto"/>
      </w:divBdr>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822156668">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1093864504">
          <w:marLeft w:val="0"/>
          <w:marRight w:val="0"/>
          <w:marTop w:val="0"/>
          <w:marBottom w:val="0"/>
          <w:divBdr>
            <w:top w:val="none" w:sz="0" w:space="0" w:color="auto"/>
            <w:left w:val="none" w:sz="0" w:space="0" w:color="auto"/>
            <w:bottom w:val="none" w:sz="0" w:space="0" w:color="auto"/>
            <w:right w:val="none" w:sz="0" w:space="0" w:color="auto"/>
          </w:divBdr>
        </w:div>
      </w:divsChild>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 w:id="13363463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0b418dc0b89811ef88c08519262548c4"/>
  <Relationship Id="rId2" Type="http://schemas.openxmlformats.org/officeDocument/2006/relationships/hyperlink" TargetMode="External" Target="https://www.e-tar.lt/portal/lt/legalAct/TAR.814F485EB18B/asr"/>
  <Relationship Id="rId3" Type="http://schemas.openxmlformats.org/officeDocument/2006/relationships/hyperlink" TargetMode="External" Target="https://www.e-tar.lt/portal/lt/legalAct/TAR.DB68BCA9E3A0/asr"/>
  <Relationship Id="rId4" Type="http://schemas.openxmlformats.org/officeDocument/2006/relationships/hyperlink" TargetMode="External" Target="https://www.e-tar.lt/portal/lt/legalAct/TAR.EDD5FD371B32/asr"/>
  <Relationship Id="rId5" Type="http://schemas.openxmlformats.org/officeDocument/2006/relationships/hyperlink" TargetMode="External" Target="https://www.e-tar.lt/portal/lt/legalAct/TAR.DCD24028BD0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2ad30025-d0d5-4532-b26e-26983efa1e1c">
      <UserInfo>
        <DisplayName>Jurgita Užkurnienė</DisplayName>
        <AccountId>118</AccountId>
        <AccountType/>
      </UserInfo>
    </SharedWithUsers>
    <Numeris xmlns="58c6f6df-7e1f-4a2e-8979-e3f4c92e56f2" xsi:nil="true"/>
    <lcf76f155ced4ddcb4097134ff3c332f xmlns="58c6f6df-7e1f-4a2e-8979-e3f4c92e56f2">
      <Terms xmlns="http://schemas.microsoft.com/office/infopath/2007/PartnerControls"/>
    </lcf76f155ced4ddcb4097134ff3c332f>
    <TaxCatchAll xmlns="2ad30025-d0d5-4532-b26e-26983efa1e1c"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FDA964F1C275C4D86F2E57031B6AE29" ma:contentTypeVersion="19" ma:contentTypeDescription="Create a new document." ma:contentTypeScope="" ma:versionID="5dd2bdf94415ded57e6dc4ac0620da7b">
  <xsd:schema xmlns:xsd="http://www.w3.org/2001/XMLSchema" xmlns:xs="http://www.w3.org/2001/XMLSchema" xmlns:p="http://schemas.microsoft.com/office/2006/metadata/properties" xmlns:ns2="58c6f6df-7e1f-4a2e-8979-e3f4c92e56f2" xmlns:ns3="2ad30025-d0d5-4532-b26e-26983efa1e1c" targetNamespace="http://schemas.microsoft.com/office/2006/metadata/properties" ma:root="true" ma:fieldsID="66123c7f29d3b84fe1ff65dd792a2814"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Numeris" minOccurs="0"/>
                <xsd:element ref="ns2:MediaLengthInSecond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Numeris" ma:index="19" nillable="true" ma:displayName="Numeris" ma:format="Dropdown" ma:internalName="Numeris" ma:percentage="FALSE">
      <xsd:simpleType>
        <xsd:restriction base="dms:Number"/>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eef2003-cea1-49d5-8046-55768a5991a4}" ma:internalName="TaxCatchAll" ma:showField="CatchAllData" ma:web="2ad30025-d0d5-4532-b26e-26983efa1e1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9adb284b52c94b19909995e3bbf867f0" PartId="3b211715bca04582953260f008bd4832"/>
  <Part Type="pastraipa" DocPartId="04220ddd2b504304911850d58f7dea64" PartId="2472d141cc4b47dab3c6fb61cf579875">
    <Part Type="punktas" Nr="1" Abbr="1 p." DocPartId="28dabd52cccc412bbae84858fcda0094" PartId="909d11c646654bd98f4a5384d2d0a02d"/>
    <Part Type="punktas" Nr="2" Abbr="2 p." DocPartId="5ddc51938c4149cfb9701a7f5ca71b85" PartId="72cbe8b454ed4887b6fd1dd99113cf7d"/>
    <Part Type="punktas" Nr="3" Abbr="3 p." DocPartId="5d6964cb6451432aa1bf811ac4acb98b" PartId="6b8884a14e6a4cb5b341040d3a0c57af"/>
    <Part Type="punktas" Nr="4" Abbr="4 p." DocPartId="608fc01775e848398fcf1c41a91354ef" PartId="d5d9b9f4a40b49778c20bee454182d1c"/>
    <Part Type="punktas" Nr="5" Abbr="5 p." DocPartId="aa80a60cde4e4d0d9e033aefbcdcd6c5" PartId="94b55fd90a4e4f96883fe16b26914352"/>
    <Part Type="punktas" Nr="6" Abbr="6 p." DocPartId="bad1ec45ef50449baa491c93326ef7f6" PartId="ffd501f8cc3a4559986c6166e3de8a63"/>
    <Part Type="punktas" Nr="7" Abbr="7 p." DocPartId="30f0c92afcc346a983168ad5c1051e0a" PartId="95f4813b8e4a47d6bf4a896efb0b22ba"/>
    <Part Type="punktas" Nr="8" Abbr="8 p." DocPartId="b94d024e4aca4c059809b6fc8fe22120" PartId="f89762d94999402e823b3e9d9af5f672"/>
    <Part Type="punktas" Nr="9" Abbr="9 p." DocPartId="b922771382834e0eae5c268c29be5423" PartId="b579988636c2490b974d588583a11de0"/>
    <Part Type="punktas" Nr="10" Abbr="10 p." DocPartId="5a3528b6d98c450ba1bfedadfe150220" PartId="6a5f049effbe4f4eaf54c9af5c924f09"/>
    <Part Type="punktas" Nr="11" Abbr="11 p." DocPartId="68e5e180b0084e3198819bd58f07182c" PartId="077adcdd6ece4afe9e9585a7b7c3bf5a"/>
    <Part Type="punktas" Nr="12" Abbr="12 p." DocPartId="85e82330f08b47e3ae34480e9d3f86d1" PartId="6129c61d1bdd4465900fe6cc523fe7e6"/>
    <Part Type="punktas" Nr="13" Abbr="13 p." DocPartId="edee9b1a1fe24f9a9aa81a293ae1ccd2" PartId="6664953fc39d4327a04e2ca4d467aca1"/>
    <Part Type="punktas" Nr="14" Abbr="14 p." DocPartId="1aa851394e864e43bcf27f9912deb170" PartId="c572c2c997194eefb8d7255c7ccc4f18"/>
    <Part Type="punktas" Nr="1" Abbr="1 p." Notes="Numeris ne iš eilės. Trūksta dalių? [DocDalys]" DocPartId="02f55dec3be140bfa84db17bfbccf8bf" PartId="654abd192a984db89b90a38dfc099370"/>
    <Part Type="punktas" Nr="2" Abbr="2 p." DocPartId="b008a692ee2d4cada039d6a24b1b6f48" PartId="91c6397dd5de4ea8b01c992240cd36c6"/>
    <Part Type="signatura" DocPartId="ec9ab653e64140b5adcfbff215058081" PartId="840355b968184a1782b3a25a29964869"/>
  </Part>
</Parts>
</file>

<file path=customXml/itemProps1.xml><?xml version="1.0" encoding="utf-8"?>
<ds:datastoreItem xmlns:ds="http://schemas.openxmlformats.org/officeDocument/2006/customXml" ds:itemID="{2ECC1323-9F72-4681-9895-5BB6B34E3FBB}">
  <ds:schemaRefs>
    <ds:schemaRef ds:uri="http://schemas.microsoft.com/office/infopath/2007/PartnerControls"/>
    <ds:schemaRef ds:uri="58c6f6df-7e1f-4a2e-8979-e3f4c92e56f2"/>
    <ds:schemaRef ds:uri="http://schemas.microsoft.com/office/2006/metadata/properties"/>
    <ds:schemaRef ds:uri="http://www.w3.org/XML/1998/namespace"/>
    <ds:schemaRef ds:uri="http://purl.org/dc/dcmitype/"/>
    <ds:schemaRef ds:uri="http://schemas.microsoft.com/office/2006/documentManagement/types"/>
    <ds:schemaRef ds:uri="http://purl.org/dc/terms/"/>
    <ds:schemaRef ds:uri="http://schemas.openxmlformats.org/package/2006/metadata/core-properties"/>
    <ds:schemaRef ds:uri="2ad30025-d0d5-4532-b26e-26983efa1e1c"/>
    <ds:schemaRef ds:uri="http://purl.org/dc/elements/1.1/"/>
  </ds:schemaRefs>
</ds:datastoreItem>
</file>

<file path=customXml/itemProps2.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3.xml><?xml version="1.0" encoding="utf-8"?>
<ds:datastoreItem xmlns:ds="http://schemas.openxmlformats.org/officeDocument/2006/customXml" ds:itemID="{A32DFCBE-E535-4939-AA9A-79BDF6F87A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1AFB477-7972-4A92-9A52-2967F98C572F}">
  <ds:schemaRefs>
    <ds:schemaRef ds:uri="http://schemas.openxmlformats.org/officeDocument/2006/bibliography"/>
  </ds:schemaRefs>
</ds:datastoreItem>
</file>

<file path=customXml/itemProps5.xml><?xml version="1.0" encoding="utf-8"?>
<ds:datastoreItem xmlns:ds="http://schemas.openxmlformats.org/officeDocument/2006/customXml" ds:itemID="{1E67F14C-18D7-4710-8B18-250FE9CD336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935</Words>
  <Characters>6988</Characters>
  <Application>Microsoft Office Word</Application>
  <DocSecurity>4</DocSecurity>
  <Lines>158</Lines>
  <Paragraphs>76</Paragraphs>
  <ScaleCrop>false</ScaleCrop>
  <Company/>
  <LinksUpToDate>false</LinksUpToDate>
  <CharactersWithSpaces>7847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2025-01-17T06:33:00Z</dcterms:created>
  <dc:creator>Aušra Balsytė</dc:creator>
  <lastModifiedBy>adlibuser</lastModifiedBy>
  <dcterms:modified xsi:type="dcterms:W3CDTF">2025-01-17T06:33:00Z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0x0101003FDA964F1C275C4D86F2E57031B6AE29</vt:lpwstr>
  </property>
  <property fmtid="{D5CDD505-2E9C-101B-9397-08002B2CF9AE}" pid="3" name="MediaServiceImageTags">
    <vt:lpwstr/>
  </property>
</Properties>
</file>