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673a269d404a42b8637ee341b862c7"/>
        <w:lock w:val="sdtLocked"/>
        <w:richText/>
      </w:sdtPr>
      <w:sdtContent>
        <w:p w14:paraId="64F274C0" w14:textId="77777777">
          <w:pPr>
            <w:tabs>
              <w:tab w:val="center" w:pos="4819"/>
              <w:tab w:val="right" w:pos="9638"/>
            </w:tabs>
            <w:suppressAutoHyphens/>
            <w:rPr>
              <w:szCs w:val="24"/>
              <w:lang w:val="en-GB" w:eastAsia="ar-SA"/>
            </w:rPr>
          </w:pPr>
        </w:p>
        <w:p w14:paraId="7E9577E0" w14:textId="731A857D">
          <w:pPr>
            <w:suppressAutoHyphens/>
            <w:jc w:val="center"/>
            <w:rPr>
              <w:b/>
              <w:bCs/>
              <w:kern w:val="3"/>
              <w:szCs w:val="24"/>
              <w:lang w:eastAsia="zh-CN"/>
            </w:rPr>
          </w:pPr>
          <w:r>
            <w:rPr>
              <w:b/>
              <w:bCs/>
              <w:kern w:val="3"/>
              <w:szCs w:val="24"/>
              <w:lang w:eastAsia="zh-CN"/>
            </w:rPr>
            <w:t>ŠIAULIŲ MIESTO SAVIVALDYBĖS ADMINISTRACIJOS</w:t>
          </w:r>
        </w:p>
        <w:sdt>
          <w:sdtPr>
            <w:alias w:val="skyrius"/>
            <w:tag w:val="part_65ec54aea4284cdbbb039293759b41b7"/>
            <w:lock w:val="sdtLocked"/>
            <w:richText/>
          </w:sdtPr>
          <w:sdtContent>
            <w:p w14:paraId="7E9577E2" w14:textId="77777777">
              <w:pPr>
                <w:suppressAutoHyphens/>
                <w:jc w:val="center"/>
                <w:rPr>
                  <w:b/>
                  <w:bCs/>
                  <w:kern w:val="3"/>
                  <w:szCs w:val="24"/>
                  <w:lang w:eastAsia="zh-CN"/>
                </w:rPr>
              </w:pPr>
              <w:r>
                <w:rPr>
                  <w:b/>
                  <w:bCs/>
                  <w:kern w:val="3"/>
                  <w:szCs w:val="24"/>
                  <w:lang w:eastAsia="zh-CN"/>
                </w:rPr>
                <w:t>SOCIALINIŲ PASLAUGŲ SKYRIUS</w:t>
              </w:r>
            </w:p>
            <w:p w14:paraId="7E9577E3" w14:textId="77777777">
              <w:pPr>
                <w:suppressAutoHyphens/>
                <w:jc w:val="center"/>
                <w:rPr>
                  <w:kern w:val="3"/>
                  <w:szCs w:val="24"/>
                  <w:lang w:eastAsia="zh-CN"/>
                </w:rPr>
              </w:pPr>
            </w:p>
            <w:p w14:paraId="2D8BE74F" w14:textId="77777777">
              <w:pPr>
                <w:suppressAutoHyphens/>
                <w:rPr>
                  <w:kern w:val="3"/>
                  <w:szCs w:val="24"/>
                  <w:lang w:eastAsia="zh-CN"/>
                </w:rPr>
              </w:pPr>
              <w:r>
                <w:rPr>
                  <w:kern w:val="3"/>
                  <w:szCs w:val="24"/>
                  <w:lang w:eastAsia="zh-CN"/>
                </w:rPr>
                <w:t>Šiaulių miesto savivaldybės tarybai</w:t>
              </w:r>
            </w:p>
            <w:p w14:paraId="1C70C6EB" w14:textId="77777777">
              <w:pPr>
                <w:suppressAutoHyphens/>
                <w:rPr>
                  <w:kern w:val="3"/>
                  <w:szCs w:val="24"/>
                  <w:lang w:eastAsia="zh-CN"/>
                </w:rPr>
              </w:pPr>
            </w:p>
            <w:sdt>
              <w:sdtPr>
                <w:alias w:val="poskyris"/>
                <w:tag w:val="part_b169b23c5b044ff8a8c0d10a047fabb3"/>
                <w:lock w:val="sdtLocked"/>
                <w:richText/>
              </w:sdtPr>
              <w:sdtContent>
                <w:sdt>
                  <w:sdtPr>
                    <w:alias w:val="Pavadinimas"/>
                    <w:tag w:val="title_b169b23c5b044ff8a8c0d10a047fabb3"/>
                    <w:lock w:val="sdtLocked"/>
                    <w:richText/>
                  </w:sdtPr>
                  <w:sdtContent>
                    <w:p w14:paraId="37E19E8E" w14:textId="7D1A41B4">
                      <w:pPr>
                        <w:jc w:val="center"/>
                        <w:rPr>
                          <w:b/>
                          <w:bCs/>
                          <w:szCs w:val="24"/>
                          <w:lang w:eastAsia="ar-SA"/>
                        </w:rPr>
                      </w:pPr>
                      <w:r>
                        <w:rPr>
                          <w:b/>
                          <w:bCs/>
                          <w:szCs w:val="24"/>
                          <w:lang w:eastAsia="ar-SA"/>
                        </w:rPr>
                        <w:t xml:space="preserve">DĖL MAKSIMALIŲ SOCIALINĖS GLOBOS IŠLAIDŲ FINANSAVIMO ŠIAULIŲ MIESTO GYVENTOJAMS DYDŽIŲ NUSTATYMO </w:t>
                      </w:r>
                    </w:p>
                    <w:p w14:paraId="7E9577E5" w14:textId="7543D205">
                      <w:pPr>
                        <w:jc w:val="center"/>
                        <w:rPr>
                          <w:b/>
                          <w:bCs/>
                          <w:szCs w:val="24"/>
                          <w:lang w:eastAsia="ar-SA"/>
                        </w:rPr>
                      </w:pPr>
                      <w:r>
                        <w:rPr>
                          <w:b/>
                          <w:bCs/>
                          <w:szCs w:val="24"/>
                          <w:lang w:eastAsia="ar-SA"/>
                        </w:rPr>
                        <w:t>AIŠKINAMASIS RAŠTAS</w:t>
                      </w:r>
                    </w:p>
                  </w:sdtContent>
                </w:sdt>
                <w:p w14:paraId="7E9577E6" w14:textId="77777777">
                  <w:pPr>
                    <w:suppressAutoHyphens/>
                    <w:jc w:val="center"/>
                    <w:rPr>
                      <w:b/>
                      <w:bCs/>
                      <w:kern w:val="3"/>
                      <w:szCs w:val="24"/>
                      <w:lang w:eastAsia="zh-CN"/>
                    </w:rPr>
                  </w:pPr>
                </w:p>
                <w:p w14:paraId="02394AC1" w14:textId="1B3935E2">
                  <w:pPr>
                    <w:suppressAutoHyphens/>
                    <w:jc w:val="center"/>
                    <w:rPr>
                      <w:kern w:val="3"/>
                      <w:szCs w:val="24"/>
                      <w:lang w:eastAsia="zh-CN"/>
                    </w:rPr>
                  </w:pPr>
                  <w:r>
                    <w:rPr>
                      <w:kern w:val="3"/>
                      <w:szCs w:val="24"/>
                      <w:lang w:eastAsia="zh-CN"/>
                    </w:rPr>
                    <w:t>2024-01-05</w:t>
                  </w:r>
                </w:p>
                <w:p w14:paraId="7E9577E8" w14:textId="73B1ACA6">
                  <w:pPr>
                    <w:suppressAutoHyphens/>
                    <w:jc w:val="center"/>
                    <w:rPr>
                      <w:kern w:val="3"/>
                      <w:szCs w:val="24"/>
                      <w:lang w:eastAsia="zh-CN"/>
                    </w:rPr>
                  </w:pPr>
                  <w:r>
                    <w:rPr>
                      <w:kern w:val="3"/>
                      <w:szCs w:val="24"/>
                      <w:lang w:eastAsia="zh-CN"/>
                    </w:rPr>
                    <w:t>Šiauliai</w:t>
                  </w:r>
                </w:p>
                <w:p w14:paraId="7E9577E9" w14:textId="77777777">
                  <w:pPr>
                    <w:suppressAutoHyphens/>
                    <w:jc w:val="center"/>
                    <w:rPr>
                      <w:b/>
                      <w:bCs/>
                      <w:kern w:val="3"/>
                      <w:szCs w:val="24"/>
                      <w:lang w:eastAsia="zh-CN"/>
                    </w:rPr>
                  </w:pPr>
                </w:p>
              </w:sdtContent>
            </w:sdt>
            <w:sdt>
              <w:sdtPr>
                <w:alias w:val="poskyris"/>
                <w:tag w:val="part_2a2fd4183a45462d9339a80b576fe9e4"/>
                <w:lock w:val="sdtLocked"/>
                <w:richText/>
              </w:sdtPr>
              <w:sdtContent>
                <w:p w14:paraId="7E9577EA" w14:textId="77777777">
                  <w:pPr>
                    <w:ind w:firstLine="426"/>
                    <w:jc w:val="both"/>
                    <w:rPr>
                      <w:b/>
                      <w:bCs/>
                      <w:szCs w:val="24"/>
                      <w:lang w:eastAsia="lt-LT"/>
                    </w:rPr>
                  </w:pPr>
                  <w:sdt>
                    <w:sdtPr>
                      <w:alias w:val="Pavadinimas"/>
                      <w:tag w:val="title_2a2fd4183a45462d9339a80b576fe9e4"/>
                      <w:lock w:val="sdtLocked"/>
                      <w:richText/>
                    </w:sdtPr>
                    <w:sdtContent>
                      <w:r>
                        <w:rPr>
                          <w:b/>
                          <w:bCs/>
                          <w:szCs w:val="24"/>
                          <w:lang w:eastAsia="lt-LT"/>
                        </w:rPr>
                        <w:t>Parengto sprendimo projekto tikslai ir uždaviniai.</w:t>
                      </w:r>
                    </w:sdtContent>
                  </w:sdt>
                </w:p>
                <w:p w14:paraId="751C1410" w14:textId="77777777">
                  <w:pPr>
                    <w:suppressAutoHyphens/>
                    <w:ind w:firstLine="426"/>
                    <w:jc w:val="both"/>
                    <w:rPr>
                      <w:szCs w:val="24"/>
                      <w:lang w:eastAsia="ar-SA"/>
                    </w:rPr>
                  </w:pPr>
                  <w:r>
                    <w:rPr>
                      <w:bCs/>
                      <w:szCs w:val="24"/>
                      <w:lang w:eastAsia="ar-SA"/>
                    </w:rPr>
                    <w:t xml:space="preserve">Sprendimo projekto tikslas – </w:t>
                  </w:r>
                  <w:r>
                    <w:rPr>
                      <w:szCs w:val="24"/>
                      <w:lang w:eastAsia="ar-SA"/>
                    </w:rPr>
                    <w:t xml:space="preserve">įgyvendinant </w:t>
                  </w:r>
                  <w:r>
                    <w:rPr>
                      <w:bCs/>
                      <w:szCs w:val="24"/>
                      <w:lang w:eastAsia="ar-SA"/>
                    </w:rPr>
                    <w:t xml:space="preserve">LR socialinių paslaugų įstatymo ir poįstatyminių teisės aktų reikalavimus, ir atsižvelgiant į Socialines paslaugas teikiančių įstaigų, gautus pranešimus dėl socialinės globos kainų padidinimo, teikiame tarybos sprendimo projektą, kuriuo didinami nustatyti </w:t>
                  </w:r>
                  <w:r>
                    <w:rPr>
                      <w:szCs w:val="24"/>
                      <w:lang w:eastAsia="ar-SA"/>
                    </w:rPr>
                    <w:t>maksimalūs trumpalaikės ir ilgalaikės socialinės globos senyvo amžiaus asmenims ir suaugusiems asmenims su negalia bei vaikams, likusiems be tėvų globos išlaidų finansavimo dydžiai.</w:t>
                  </w:r>
                </w:p>
                <w:p w14:paraId="6CF9E64B" w14:textId="513AAE49">
                  <w:pPr>
                    <w:suppressAutoHyphens/>
                    <w:ind w:firstLine="426"/>
                    <w:jc w:val="both"/>
                    <w:rPr>
                      <w:szCs w:val="24"/>
                      <w:lang w:eastAsia="ar-SA"/>
                    </w:rPr>
                  </w:pPr>
                  <w:r>
                    <w:rPr>
                      <w:szCs w:val="24"/>
                      <w:lang w:eastAsia="ar-SA"/>
                    </w:rPr>
                    <w:t xml:space="preserve">Dauguma socialinės globos įstaigų, dėl padidėjusios </w:t>
                  </w:r>
                  <w:r>
                    <w:rPr>
                      <w:color w:val="000000"/>
                      <w:szCs w:val="24"/>
                      <w:lang w:eastAsia="ar-SA"/>
                    </w:rPr>
                    <w:t xml:space="preserve">bendrosios socialinės globos lėšų dalies </w:t>
                  </w:r>
                </w:p>
                <w:p w14:paraId="4FC2E09C" w14:textId="4927F355">
                  <w:pPr>
                    <w:suppressAutoHyphens/>
                    <w:jc w:val="both"/>
                    <w:rPr>
                      <w:color w:val="000000"/>
                      <w:szCs w:val="24"/>
                      <w:lang w:eastAsia="ar-SA"/>
                    </w:rPr>
                  </w:pPr>
                  <w:r>
                    <w:rPr>
                      <w:color w:val="000000"/>
                      <w:szCs w:val="24"/>
                      <w:lang w:eastAsia="ar-SA"/>
                    </w:rPr>
                    <w:t>(įstaigos administracinio, ūkinio ir aptarnaujančiojo personalo darbo užmokesčio, išlaidų kitoms prekėms (kanceliarinės prekės, spaudiniai ir kitos prekės, susijusios su įstaigos administravimui) ir kitoms išlaidoms (šildymas, elektra, vandentiekis, kanalizacija, ryšių paslaugos, spaudiniai ir kita) ir kintamosios socialinės globos lėšų dalies (tiesiogiai paslaugas teikiančių darbuotojų darbo užmokestis</w:t>
                  </w:r>
                  <w:r>
                    <w:rPr>
                      <w:szCs w:val="24"/>
                      <w:lang w:eastAsia="ar-SA"/>
                    </w:rPr>
                    <w:t xml:space="preserve">, </w:t>
                  </w:r>
                  <w:r>
                    <w:rPr>
                      <w:color w:val="000000"/>
                      <w:szCs w:val="24"/>
                      <w:lang w:eastAsia="ar-SA"/>
                    </w:rPr>
                    <w:t xml:space="preserve">maitinimo išlaidos, išlaidos medikamentams, patalynei ir aprangai  ir kitoms prekėms ir paslaugoms, kurios susijusioms su paslaugos gavėjo poreikiais (slaugos, ugdymo, techninės pagalbos priemonės ir kt.), </w:t>
                  </w:r>
                  <w:r>
                    <w:rPr>
                      <w:szCs w:val="24"/>
                      <w:lang w:eastAsia="ar-SA"/>
                    </w:rPr>
                    <w:t xml:space="preserve">nuo 2024 m. sausio 1 d. patvirtino didesnes socialinės globos kainas: senyvo amžiaus asmenims ar asmenims su negalia socialinės globos kaina  – nuo 1180 Eur/mėn. – iki 2059 Eur/mėn., asmenims su sunkia negalia – nuo 1445 Eur/mėn. – iki 2263 Eur/mėn..</w:t>
                  </w:r>
                </w:p>
                <w:p w14:paraId="4B42CB5D" w14:textId="38E05391">
                  <w:pPr>
                    <w:suppressAutoHyphens/>
                    <w:ind w:firstLine="426"/>
                    <w:jc w:val="both"/>
                    <w:rPr>
                      <w:szCs w:val="24"/>
                      <w:lang w:eastAsia="ar-SA"/>
                    </w:rPr>
                  </w:pPr>
                  <w:r>
                    <w:rPr>
                      <w:szCs w:val="24"/>
                      <w:lang w:eastAsia="ar-SA"/>
                    </w:rPr>
                    <w:t xml:space="preserve">Šiaulių m. savivaldybės gyventojai turintys negalią ar sunkią negalią, kurie apgyvendinti globos įstaigose (toliau – asmenys), šiuo metu vidutiniškai moka apie 690 Eur/mėn., o Savivaldybės mokama dalis – nuo 250 Eur/mėn. iki 1000 Eur/mėn. Įvertinus tai, kad 1 globos įstaiga padidino globos kainą iki 2059 Eur/mėn./ 2263 Eur/mėn., todėl teisės aktų nustatyta tvarka Savivaldybė dengs skirtumą tarp socialinės globos kainos ir asmens mokėjimo dydžio, tačiau negalės apmokėti daugiau nei patvirtintas maksimalus finansavimo dydis. </w:t>
                  </w:r>
                </w:p>
                <w:p w14:paraId="2F44165E" w14:textId="0E28F1F9">
                  <w:pPr>
                    <w:ind w:firstLine="426"/>
                    <w:jc w:val="both"/>
                    <w:rPr>
                      <w:color w:val="000000"/>
                      <w:szCs w:val="24"/>
                      <w:lang w:eastAsia="ar-SA"/>
                    </w:rPr>
                  </w:pPr>
                  <w:r>
                    <w:rPr>
                      <w:color w:val="000000"/>
                      <w:szCs w:val="24"/>
                      <w:lang w:eastAsia="ar-SA"/>
                    </w:rPr>
                    <w:t>Šiaulių m. dienos socialinės globos paslaugas teikiančios įstaigos, įvertinusios tai, kad nustatyta kaina nebe</w:t>
                  </w:r>
                  <w:r>
                    <w:rPr>
                      <w:szCs w:val="24"/>
                      <w:lang w:eastAsia="ar-SA" w:bidi="he-IL"/>
                    </w:rPr>
                    <w:t>padengs minėtos paslaugos teikimo išlaidų</w:t>
                  </w:r>
                  <w:r>
                    <w:rPr>
                      <w:color w:val="000000"/>
                      <w:szCs w:val="24"/>
                      <w:lang w:eastAsia="ar-SA"/>
                    </w:rPr>
                    <w:t xml:space="preserve">, nes didėja </w:t>
                  </w:r>
                  <w:r>
                    <w:rPr>
                      <w:szCs w:val="24"/>
                      <w:lang w:eastAsia="ar-SA"/>
                    </w:rPr>
                    <w:t xml:space="preserve">socialinės srities darbuotojų darbo užmokestis ir bendrosios išlaidos, </w:t>
                  </w:r>
                  <w:r>
                    <w:rPr>
                      <w:color w:val="000000"/>
                      <w:szCs w:val="24"/>
                      <w:lang w:eastAsia="ar-SA"/>
                    </w:rPr>
                    <w:t xml:space="preserve">vadovaujantis Socialinių paslaugų finansavimo ir lėšų apskaičiavimo metodika, patvirtinta LR Vyriausybės 2006 m. spalio 10 d. nutarimu Nr. 978 „Dėl Socialinių paslaugų finansavimo ir lėšų apskaičiavimo metodikos patvirtinimo“, atliko kainos apskaičiavimą ir prašo nustatyti </w:t>
                  </w:r>
                  <w:r>
                    <w:rPr>
                      <w:szCs w:val="24"/>
                      <w:lang w:eastAsia="ar-SA"/>
                    </w:rPr>
                    <w:t>10,65 Eur už valandą.</w:t>
                  </w:r>
                </w:p>
                <w:p w14:paraId="7ABD32B9" w14:textId="621AEBF6">
                  <w:pPr>
                    <w:ind w:firstLine="426"/>
                    <w:jc w:val="both"/>
                    <w:rPr>
                      <w:color w:val="000000"/>
                      <w:szCs w:val="24"/>
                      <w:lang w:eastAsia="ar-SA"/>
                    </w:rPr>
                  </w:pPr>
                  <w:r>
                    <w:rPr>
                      <w:szCs w:val="24"/>
                      <w:lang w:eastAsia="ar-SA"/>
                    </w:rPr>
                    <w:t>Atsižvelgiant į minėtus argumentus, parengtas sprendimo projektas, kuriuo teikiame tvirtinti maksimalius trumpalaikės ar ilgalaikės socialinės globos ir dienos socialinės globos asmens namuose finansavimo dydžius.</w:t>
                  </w:r>
                </w:p>
              </w:sdtContent>
            </w:sdt>
            <w:sdt>
              <w:sdtPr>
                <w:alias w:val="poskyris"/>
                <w:tag w:val="part_c76b9c90e17747ecadff4ea44ea1629d"/>
                <w:lock w:val="sdtLocked"/>
                <w:richText/>
              </w:sdtPr>
              <w:sdtContent>
                <w:p w14:paraId="7E9577FC" w14:textId="4AE4B96C">
                  <w:pPr>
                    <w:ind w:firstLine="426"/>
                    <w:jc w:val="both"/>
                    <w:rPr>
                      <w:b/>
                      <w:bCs/>
                      <w:szCs w:val="24"/>
                      <w:lang w:eastAsia="lt-LT"/>
                    </w:rPr>
                  </w:pPr>
                  <w:sdt>
                    <w:sdtPr>
                      <w:alias w:val="Pavadinimas"/>
                      <w:tag w:val="title_c76b9c90e17747ecadff4ea44ea1629d"/>
                      <w:lock w:val="sdtLocked"/>
                      <w:richText/>
                    </w:sdtPr>
                    <w:sdtContent>
                      <w:r>
                        <w:rPr>
                          <w:b/>
                          <w:bCs/>
                          <w:szCs w:val="24"/>
                          <w:lang w:eastAsia="lt-LT"/>
                        </w:rPr>
                        <w:t xml:space="preserve">Dabartinis sprendimo projekte aptariamų klausimų reguliavimas. </w:t>
                      </w:r>
                    </w:sdtContent>
                  </w:sdt>
                </w:p>
                <w:p w14:paraId="218161B8" w14:textId="40BF768B">
                  <w:pPr>
                    <w:suppressAutoHyphens/>
                    <w:ind w:firstLine="426"/>
                    <w:jc w:val="both"/>
                    <w:rPr>
                      <w:szCs w:val="24"/>
                      <w:lang w:eastAsia="ar-SA"/>
                    </w:rPr>
                  </w:pPr>
                  <w:r>
                    <w:rPr>
                      <w:szCs w:val="24"/>
                      <w:lang w:eastAsia="ar-SA"/>
                    </w:rPr>
                    <w:t>Socialinių paslaugų finansavimo ir lėšų apskaičiavimo metodikos, patvirtintos Lietuvos Respublikos Vyriausybės 2006 m. spalio 10 d. nutarimu Nr. 978 „ Dėl Socialinių paslaugų finansavimo ir lėšų apskaičiavimo metodikos patvirtinimo”, 32 punkte nustatyta, kad Savivaldybė turi nustatyti maksimalų socialinės globos išlaidų finansavimo savo teritorijos gyventojams dydį.</w:t>
                  </w:r>
                </w:p>
                <w:p w14:paraId="740ADC9F" w14:textId="6FCC37DA">
                  <w:pPr>
                    <w:suppressAutoHyphens/>
                    <w:ind w:firstLine="426"/>
                    <w:jc w:val="both"/>
                    <w:rPr>
                      <w:szCs w:val="24"/>
                      <w:lang w:eastAsia="ar-SA"/>
                    </w:rPr>
                  </w:pPr>
                  <w:r>
                    <w:rPr>
                      <w:szCs w:val="24"/>
                      <w:lang w:eastAsia="ar-SA" w:bidi="he-IL"/>
                    </w:rPr>
                    <w:t xml:space="preserve">Šiaulių m. savivaldybės tarybos 2021 m. spalio 14 d. sprendimu Nr. T-409 „Dėl maksimalių socialinės globos išlaidų finansavimo Šiaulių miesto gyventojams dydžių nustatymo“ 1.1. </w:t>
                  </w:r>
                  <w:r>
                    <w:rPr>
                      <w:szCs w:val="24"/>
                      <w:lang w:eastAsia="lt-LT"/>
                    </w:rPr>
                    <w:t xml:space="preserve">papunkčiu nustatytas </w:t>
                  </w:r>
                  <w:r>
                    <w:rPr>
                      <w:szCs w:val="24"/>
                      <w:lang w:eastAsia="ar-SA"/>
                    </w:rPr>
                    <w:t xml:space="preserve">maksimalus dienos socialinės globos asmens namuose išlaidų finansavimo dydis asmenims su negalia  – 8,50 Eur/val., </w:t>
                  </w:r>
                  <w:r>
                    <w:rPr>
                      <w:szCs w:val="24"/>
                      <w:lang w:eastAsia="ar-SA" w:bidi="he-IL"/>
                    </w:rPr>
                    <w:t xml:space="preserve">1.2.1 papunkčiu nustatytas maksimalus trumpalaikės/ilgalaikės socialinės globos dydis </w:t>
                  </w:r>
                  <w:r>
                    <w:rPr>
                      <w:szCs w:val="24"/>
                      <w:lang w:eastAsia="ar-SA"/>
                    </w:rPr>
                    <w:t xml:space="preserve"> – </w:t>
                  </w:r>
                  <w:r>
                    <w:rPr>
                      <w:szCs w:val="24"/>
                      <w:lang w:eastAsia="ar-SA" w:bidi="he-IL"/>
                    </w:rPr>
                    <w:t xml:space="preserve">1350 Eur per mėnesį senyvo amžiaus asmenims ir suaugusiems asmenims su negalia dydis, o 1.2.2 papunkčiu nustatytas senyvo amžiaus ir suaugusiems asmenims su sunkia negalia – </w:t>
                  </w:r>
                  <w:r>
                    <w:rPr>
                      <w:bCs/>
                      <w:szCs w:val="24"/>
                      <w:lang w:eastAsia="ar-SA" w:bidi="he-IL"/>
                    </w:rPr>
                    <w:t>1400</w:t>
                  </w:r>
                  <w:r>
                    <w:rPr>
                      <w:szCs w:val="24"/>
                      <w:lang w:eastAsia="ar-SA" w:bidi="he-IL"/>
                    </w:rPr>
                    <w:t xml:space="preserve"> Eur per mėnesį.</w:t>
                  </w:r>
                  <w:r>
                    <w:rPr>
                      <w:szCs w:val="24"/>
                      <w:lang w:eastAsia="ar-SA"/>
                    </w:rPr>
                    <w:t xml:space="preserve"> </w:t>
                  </w:r>
                </w:p>
                <w:p w14:paraId="09593F2A" w14:textId="5FBEB313">
                  <w:pPr>
                    <w:suppressAutoHyphens/>
                    <w:ind w:firstLine="426"/>
                    <w:jc w:val="both"/>
                    <w:rPr>
                      <w:szCs w:val="24"/>
                      <w:lang w:eastAsia="ar-SA" w:bidi="he-IL"/>
                    </w:rPr>
                  </w:pPr>
                  <w:r>
                    <w:rPr>
                      <w:szCs w:val="24"/>
                      <w:lang w:eastAsia="ar-SA"/>
                    </w:rPr>
                    <w:t xml:space="preserve">Socialinių paslaugų priežiūros departamento prie LR Socialinės apsaugos ir darbo ministerijos skelbiamoje informacijoje apie savivaldybėse pirktų ar finansuotų socialinių paslaugų vidutines kainas, pateikiamos dienos socialinės globos kainos yra nuo 2 Eur iki 18 Eur/ val. </w:t>
                  </w:r>
                </w:p>
                <w:p w14:paraId="3FAFBCCE" w14:textId="51B41723">
                  <w:pPr>
                    <w:suppressAutoHyphens/>
                    <w:ind w:firstLine="425"/>
                    <w:jc w:val="both"/>
                    <w:rPr>
                      <w:szCs w:val="24"/>
                      <w:lang w:eastAsia="ar-SA"/>
                    </w:rPr>
                  </w:pPr>
                  <w:r>
                    <w:rPr>
                      <w:szCs w:val="24"/>
                      <w:lang w:eastAsia="ar-SA"/>
                    </w:rPr>
                    <w:t xml:space="preserve">Savivaldybės trumpalaikės ar ilgalaikės socialinės globos ir dienos socialinės globos išlaidų apmokama dalis priklauso nuo asmens finansinių galimybių mokėti už socialinės globos paslaugas (vertinamas vadovaujantis Lietuvos Respublikos Vyriausybės 2006 m. birželio 14 d. nutarimu Nr. 583 „Dėl Mokėjimo už socialines paslaugas tvarkos aprašo patvirtinimo“ patvirtinta tvarka) ir patvirtintos paslaugų teikėjų kainos. </w:t>
                  </w:r>
                  <w:r>
                    <w:rPr>
                      <w:i/>
                      <w:iCs/>
                      <w:szCs w:val="24"/>
                      <w:lang w:eastAsia="ar-SA"/>
                    </w:rPr>
                    <w:t>Asmenų su sunkia negalia</w:t>
                  </w:r>
                  <w:r>
                    <w:rPr>
                      <w:szCs w:val="24"/>
                      <w:lang w:eastAsia="ar-SA"/>
                    </w:rPr>
                    <w:t xml:space="preserve"> </w:t>
                  </w:r>
                  <w:r>
                    <w:rPr>
                      <w:szCs w:val="24"/>
                      <w:lang w:eastAsia="ar-SA" w:bidi="he-IL"/>
                    </w:rPr>
                    <w:t>socialinės globos paslaugos</w:t>
                  </w:r>
                  <w:r>
                    <w:rPr>
                      <w:szCs w:val="24"/>
                      <w:lang w:eastAsia="ar-SA"/>
                    </w:rPr>
                    <w:t xml:space="preserve"> finansuojamos asmens lėšomis ir Lietuvos Respublikos valstybės biudžeto specialiųjų tikslinių dotacijų savivaldybės biudžetui lėšomis. </w:t>
                  </w:r>
                  <w:r>
                    <w:rPr>
                      <w:i/>
                      <w:szCs w:val="24"/>
                      <w:lang w:eastAsia="ar-SA"/>
                    </w:rPr>
                    <w:t>Asmenų su negalia</w:t>
                  </w:r>
                  <w:r>
                    <w:rPr>
                      <w:szCs w:val="24"/>
                      <w:lang w:eastAsia="ar-SA"/>
                    </w:rPr>
                    <w:t xml:space="preserve"> </w:t>
                  </w:r>
                  <w:r>
                    <w:rPr>
                      <w:szCs w:val="24"/>
                      <w:lang w:eastAsia="ar-SA" w:bidi="he-IL"/>
                    </w:rPr>
                    <w:t>socialinės globos paslaugos</w:t>
                  </w:r>
                  <w:r>
                    <w:rPr>
                      <w:szCs w:val="24"/>
                      <w:lang w:eastAsia="ar-SA"/>
                    </w:rPr>
                    <w:t xml:space="preserve"> finansuojamos asmens lėšomis ir Savivaldybės biudžeto lėšomis.</w:t>
                  </w:r>
                </w:p>
              </w:sdtContent>
            </w:sdt>
            <w:sdt>
              <w:sdtPr>
                <w:alias w:val="poskyris"/>
                <w:tag w:val="part_c71009b712664c30914c98b5a7429115"/>
                <w:lock w:val="sdtLocked"/>
                <w:richText/>
              </w:sdtPr>
              <w:sdtContent>
                <w:p w14:paraId="715CA779" w14:textId="43A835F4">
                  <w:pPr>
                    <w:ind w:firstLine="426"/>
                    <w:jc w:val="both"/>
                    <w:rPr>
                      <w:b/>
                      <w:bCs/>
                      <w:color w:val="000000"/>
                      <w:szCs w:val="24"/>
                      <w:lang w:eastAsia="lt-LT"/>
                    </w:rPr>
                  </w:pPr>
                  <w:sdt>
                    <w:sdtPr>
                      <w:alias w:val="Pavadinimas"/>
                      <w:tag w:val="title_c71009b712664c30914c98b5a7429115"/>
                      <w:lock w:val="sdtLocked"/>
                      <w:richText/>
                    </w:sdtPr>
                    <w:sdtContent>
                      <w:r>
                        <w:rPr>
                          <w:b/>
                          <w:bCs/>
                          <w:color w:val="000000"/>
                          <w:szCs w:val="24"/>
                          <w:lang w:eastAsia="lt-LT"/>
                        </w:rPr>
                        <w:t xml:space="preserve">Naujos teisinio reglamentavimo nuostatos. </w:t>
                      </w:r>
                    </w:sdtContent>
                  </w:sdt>
                </w:p>
                <w:p w14:paraId="4F5B6DE8" w14:textId="18B4AD78">
                  <w:pPr>
                    <w:ind w:firstLine="426"/>
                    <w:jc w:val="both"/>
                    <w:rPr>
                      <w:szCs w:val="24"/>
                      <w:lang w:eastAsia="ar-SA"/>
                    </w:rPr>
                  </w:pPr>
                  <w:r>
                    <w:rPr>
                      <w:szCs w:val="24"/>
                      <w:lang w:eastAsia="ar-SA"/>
                    </w:rPr>
                    <w:t>Teikiame tvirtinti maksimalų finansuotiną dydį:</w:t>
                  </w:r>
                </w:p>
                <w:sdt>
                  <w:sdtPr>
                    <w:alias w:val="1 p."/>
                    <w:tag w:val="part_970f53691efc4ece95d15973a3957cca"/>
                    <w:lock w:val="sdtLocked"/>
                    <w:richText/>
                  </w:sdtPr>
                  <w:sdtContent>
                    <w:p w14:paraId="5C50B20D" w14:textId="07456BEB">
                      <w:pPr>
                        <w:tabs>
                          <w:tab w:val="left" w:pos="709"/>
                        </w:tabs>
                        <w:suppressAutoHyphens/>
                        <w:ind w:firstLine="426"/>
                        <w:jc w:val="both"/>
                        <w:rPr>
                          <w:color w:val="000000"/>
                          <w:szCs w:val="24"/>
                          <w:lang w:val="en-GB" w:eastAsia="lt-LT"/>
                        </w:rPr>
                      </w:pPr>
                      <w:sdt>
                        <w:sdtPr>
                          <w:alias w:val="Numeris"/>
                          <w:tag w:val="nr_970f53691efc4ece95d15973a3957cca"/>
                          <w:lock w:val="sdtLocked"/>
                          <w:richText/>
                        </w:sdtPr>
                        <w:sdtContent>
                          <w:r>
                            <w:rPr>
                              <w:rFonts w:eastAsia="Calibri"/>
                              <w:color w:val="000000"/>
                              <w:szCs w:val="24"/>
                              <w:lang w:eastAsia="lt-LT"/>
                            </w:rPr>
                            <w:t>1</w:t>
                          </w:r>
                        </w:sdtContent>
                      </w:sdt>
                      <w:r>
                        <w:rPr>
                          <w:rFonts w:eastAsia="Calibri"/>
                          <w:color w:val="000000"/>
                          <w:szCs w:val="24"/>
                          <w:lang w:eastAsia="lt-LT"/>
                        </w:rPr>
                        <w:t>.</w:t>
                        <w:tab/>
                      </w:r>
                      <w:r>
                        <w:rPr>
                          <w:szCs w:val="24"/>
                          <w:lang w:val="en-GB" w:eastAsia="ar-SA" w:bidi="he-IL"/>
                        </w:rPr>
                        <w:t>maksimalų dienos socialinės globos asmens namuose išlaidų finansavimo Šiaulių miesto gyventojams dydį – 10,65 Eur už valandą</w:t>
                      </w:r>
                      <w:r>
                        <w:rPr>
                          <w:color w:val="000000"/>
                          <w:szCs w:val="24"/>
                          <w:lang w:val="en-GB" w:eastAsia="lt-LT"/>
                        </w:rPr>
                        <w:t>;</w:t>
                      </w:r>
                    </w:p>
                  </w:sdtContent>
                </w:sdt>
                <w:sdt>
                  <w:sdtPr>
                    <w:alias w:val="2 p."/>
                    <w:tag w:val="part_83bda96afde540f98f80f41a00a85cdf"/>
                    <w:lock w:val="sdtLocked"/>
                    <w:richText/>
                  </w:sdtPr>
                  <w:sdtContent>
                    <w:p w14:paraId="520272FF" w14:textId="3AAE0D3F">
                      <w:pPr>
                        <w:tabs>
                          <w:tab w:val="left" w:pos="709"/>
                        </w:tabs>
                        <w:suppressAutoHyphens/>
                        <w:ind w:firstLine="426"/>
                        <w:jc w:val="both"/>
                        <w:rPr>
                          <w:color w:val="000000"/>
                          <w:szCs w:val="24"/>
                          <w:lang w:val="en-GB" w:eastAsia="lt-LT"/>
                        </w:rPr>
                      </w:pPr>
                      <w:sdt>
                        <w:sdtPr>
                          <w:alias w:val="Numeris"/>
                          <w:tag w:val="nr_83bda96afde540f98f80f41a00a85cdf"/>
                          <w:lock w:val="sdtLocked"/>
                          <w:richText/>
                        </w:sdtPr>
                        <w:sdtContent>
                          <w:r>
                            <w:rPr>
                              <w:rFonts w:eastAsia="Calibri"/>
                              <w:color w:val="000000"/>
                              <w:szCs w:val="24"/>
                              <w:lang w:eastAsia="lt-LT"/>
                            </w:rPr>
                            <w:t>2</w:t>
                          </w:r>
                        </w:sdtContent>
                      </w:sdt>
                      <w:r>
                        <w:rPr>
                          <w:rFonts w:eastAsia="Calibri"/>
                          <w:color w:val="000000"/>
                          <w:szCs w:val="24"/>
                          <w:lang w:eastAsia="lt-LT"/>
                        </w:rPr>
                        <w:t>.</w:t>
                        <w:tab/>
                      </w:r>
                      <w:r>
                        <w:rPr>
                          <w:szCs w:val="24"/>
                          <w:lang w:val="en-GB" w:eastAsia="ar-SA" w:bidi="he-IL"/>
                        </w:rPr>
                        <w:t>maksimalius trumpalaikės ir ilgalaikės socialinės globos išlaidų finansavimo Šiaulių miesto gyventojams dydžius:</w:t>
                      </w:r>
                    </w:p>
                    <w:sdt>
                      <w:sdtPr>
                        <w:alias w:val="2.1 pp."/>
                        <w:tag w:val="part_c69a87060e0741c2ab2f60701ac13cfd"/>
                        <w:lock w:val="sdtLocked"/>
                        <w:richText/>
                      </w:sdtPr>
                      <w:sdtContent>
                        <w:p w14:paraId="1F91051C" w14:textId="77777777">
                          <w:pPr>
                            <w:tabs>
                              <w:tab w:val="left" w:pos="709"/>
                            </w:tabs>
                            <w:ind w:left="426"/>
                            <w:jc w:val="both"/>
                            <w:rPr>
                              <w:rFonts w:ascii="Calibri" w:eastAsia="Calibri" w:hAnsi="Calibri"/>
                              <w:szCs w:val="24"/>
                              <w:lang w:bidi="he-IL"/>
                            </w:rPr>
                          </w:pPr>
                          <w:sdt>
                            <w:sdtPr>
                              <w:alias w:val="Numeris"/>
                              <w:tag w:val="nr_c69a87060e0741c2ab2f60701ac13cfd"/>
                              <w:lock w:val="sdtLocked"/>
                              <w:richText/>
                            </w:sdtPr>
                            <w:sdtContent>
                              <w:r>
                                <w:rPr>
                                  <w:rFonts w:ascii="Calibri" w:eastAsia="Calibri" w:hAnsi="Calibri"/>
                                  <w:szCs w:val="24"/>
                                  <w:lang w:bidi="he-IL"/>
                                </w:rPr>
                                <w:t>2.1</w:t>
                              </w:r>
                            </w:sdtContent>
                          </w:sdt>
                          <w:r>
                            <w:rPr>
                              <w:rFonts w:ascii="Calibri" w:eastAsia="Calibri" w:hAnsi="Calibri"/>
                              <w:szCs w:val="24"/>
                              <w:lang w:bidi="he-IL"/>
                            </w:rPr>
                            <w:t>. senyvo amžiaus ir suaugusiems asmenims su negalia – 1600 Eur per mėnesį;</w:t>
                          </w:r>
                        </w:p>
                      </w:sdtContent>
                    </w:sdt>
                    <w:sdt>
                      <w:sdtPr>
                        <w:alias w:val="2.2 pp."/>
                        <w:tag w:val="part_b2ea71325c9f4d9f9d01777ea96cf543"/>
                        <w:lock w:val="sdtLocked"/>
                        <w:richText/>
                      </w:sdtPr>
                      <w:sdtContent>
                        <w:p w14:paraId="0A91B808" w14:textId="5E4154EE">
                          <w:pPr>
                            <w:tabs>
                              <w:tab w:val="left" w:pos="709"/>
                            </w:tabs>
                            <w:ind w:left="426"/>
                            <w:jc w:val="both"/>
                            <w:rPr>
                              <w:rFonts w:ascii="Calibri" w:eastAsia="Calibri" w:hAnsi="Calibri"/>
                              <w:szCs w:val="24"/>
                              <w:lang w:bidi="he-IL"/>
                            </w:rPr>
                          </w:pPr>
                          <w:sdt>
                            <w:sdtPr>
                              <w:alias w:val="Numeris"/>
                              <w:tag w:val="nr_b2ea71325c9f4d9f9d01777ea96cf543"/>
                              <w:lock w:val="sdtLocked"/>
                              <w:richText/>
                            </w:sdtPr>
                            <w:sdtContent>
                              <w:r>
                                <w:rPr>
                                  <w:rFonts w:ascii="Calibri" w:eastAsia="Calibri" w:hAnsi="Calibri"/>
                                  <w:szCs w:val="24"/>
                                  <w:lang w:bidi="he-IL"/>
                                </w:rPr>
                                <w:t>2.2</w:t>
                              </w:r>
                            </w:sdtContent>
                          </w:sdt>
                          <w:r>
                            <w:rPr>
                              <w:rFonts w:ascii="Calibri" w:eastAsia="Calibri" w:hAnsi="Calibri"/>
                              <w:szCs w:val="24"/>
                              <w:lang w:bidi="he-IL"/>
                            </w:rPr>
                            <w:t>. senyvo amžiaus ir suaugusiems asmenims su sunkia negalia – 1800 Eur per mėnesį;</w:t>
                          </w:r>
                        </w:p>
                      </w:sdtContent>
                    </w:sdt>
                    <w:sdt>
                      <w:sdtPr>
                        <w:alias w:val="2.3 pp."/>
                        <w:tag w:val="part_471dfb2ca4cb4abf9fb7f033ca6df46e"/>
                        <w:lock w:val="sdtLocked"/>
                        <w:richText/>
                      </w:sdtPr>
                      <w:sdtContent>
                        <w:p w14:paraId="36567B73" w14:textId="30B130E4">
                          <w:pPr>
                            <w:tabs>
                              <w:tab w:val="left" w:pos="709"/>
                            </w:tabs>
                            <w:suppressAutoHyphens/>
                            <w:ind w:firstLine="426"/>
                            <w:jc w:val="both"/>
                            <w:rPr>
                              <w:szCs w:val="24"/>
                              <w:lang w:val="en-GB" w:eastAsia="ar-SA" w:bidi="he-IL"/>
                            </w:rPr>
                          </w:pPr>
                          <w:sdt>
                            <w:sdtPr>
                              <w:alias w:val="Numeris"/>
                              <w:tag w:val="nr_471dfb2ca4cb4abf9fb7f033ca6df46e"/>
                              <w:lock w:val="sdtLocked"/>
                              <w:richText/>
                            </w:sdtPr>
                            <w:sdtContent>
                              <w:r>
                                <w:rPr>
                                  <w:szCs w:val="24"/>
                                  <w:lang w:val="en-GB" w:eastAsia="ar-SA" w:bidi="he-IL"/>
                                </w:rPr>
                                <w:t>2.3</w:t>
                              </w:r>
                            </w:sdtContent>
                          </w:sdt>
                          <w:r>
                            <w:rPr>
                              <w:szCs w:val="24"/>
                              <w:lang w:val="en-GB" w:eastAsia="ar-SA" w:bidi="he-IL"/>
                            </w:rPr>
                            <w:t>. vaikams, likusiems be tėvų globos, – 2 020 Eur per mėnesį;</w:t>
                          </w:r>
                        </w:p>
                      </w:sdtContent>
                    </w:sdt>
                    <w:sdt>
                      <w:sdtPr>
                        <w:alias w:val="2.4 pp."/>
                        <w:tag w:val="part_5dbd39c60e2248748b3a938064944662"/>
                        <w:lock w:val="sdtLocked"/>
                        <w:richText/>
                      </w:sdtPr>
                      <w:sdtContent>
                        <w:p w14:paraId="1A7F228A" w14:textId="17E8CD69">
                          <w:pPr>
                            <w:tabs>
                              <w:tab w:val="left" w:pos="709"/>
                            </w:tabs>
                            <w:suppressAutoHyphens/>
                            <w:ind w:firstLine="426"/>
                            <w:jc w:val="both"/>
                            <w:rPr>
                              <w:szCs w:val="24"/>
                              <w:lang w:val="en-GB" w:eastAsia="ar-SA" w:bidi="he-IL"/>
                            </w:rPr>
                          </w:pPr>
                          <w:sdt>
                            <w:sdtPr>
                              <w:alias w:val="Numeris"/>
                              <w:tag w:val="nr_5dbd39c60e2248748b3a938064944662"/>
                              <w:lock w:val="sdtLocked"/>
                              <w:richText/>
                            </w:sdtPr>
                            <w:sdtContent>
                              <w:r>
                                <w:rPr>
                                  <w:szCs w:val="24"/>
                                  <w:lang w:val="en-GB" w:eastAsia="ar-SA" w:bidi="he-IL"/>
                                </w:rPr>
                                <w:t>2.4</w:t>
                              </w:r>
                            </w:sdtContent>
                          </w:sdt>
                          <w:r>
                            <w:rPr>
                              <w:szCs w:val="24"/>
                              <w:lang w:val="en-GB" w:eastAsia="ar-SA" w:bidi="he-IL"/>
                            </w:rPr>
                            <w:t>. vaikams su negalia ir sunkia negalia – 1200 Eur per mėnesį.</w:t>
                          </w:r>
                        </w:p>
                      </w:sdtContent>
                    </w:sdt>
                  </w:sdtContent>
                </w:sdt>
              </w:sdtContent>
            </w:sdt>
            <w:sdt>
              <w:sdtPr>
                <w:alias w:val="poskyris"/>
                <w:tag w:val="part_da787ed0f355447b9df946012c547259"/>
                <w:lock w:val="sdtLocked"/>
                <w:richText/>
              </w:sdtPr>
              <w:sdtContent>
                <w:p w14:paraId="5ABDD6CD" w14:textId="77777777">
                  <w:pPr>
                    <w:ind w:firstLine="426"/>
                    <w:jc w:val="both"/>
                    <w:rPr>
                      <w:b/>
                      <w:bCs/>
                      <w:color w:val="000000"/>
                      <w:szCs w:val="24"/>
                      <w:lang w:eastAsia="lt-LT"/>
                    </w:rPr>
                  </w:pPr>
                  <w:sdt>
                    <w:sdtPr>
                      <w:alias w:val="Pavadinimas"/>
                      <w:tag w:val="title_da787ed0f355447b9df946012c547259"/>
                      <w:lock w:val="sdtLocked"/>
                      <w:richText/>
                    </w:sdtPr>
                    <w:sdtContent>
                      <w:r>
                        <w:rPr>
                          <w:b/>
                          <w:bCs/>
                          <w:color w:val="000000"/>
                          <w:szCs w:val="24"/>
                          <w:lang w:eastAsia="lt-LT"/>
                        </w:rPr>
                        <w:t>Priėmus sprendimą, galimos pasekmės.</w:t>
                      </w:r>
                    </w:sdtContent>
                  </w:sdt>
                </w:p>
                <w:p w14:paraId="2BCF21C5" w14:textId="08879E75">
                  <w:pPr>
                    <w:ind w:firstLine="426"/>
                    <w:jc w:val="both"/>
                    <w:rPr>
                      <w:b/>
                      <w:bCs/>
                      <w:color w:val="000000"/>
                      <w:szCs w:val="24"/>
                      <w:lang w:eastAsia="lt-LT"/>
                    </w:rPr>
                  </w:pPr>
                  <w:r>
                    <w:rPr>
                      <w:szCs w:val="24"/>
                      <w:lang w:eastAsia="ar-SA"/>
                    </w:rPr>
                    <w:t xml:space="preserve">Teigiamos pasekmės </w:t>
                  </w:r>
                  <w:r>
                    <w:rPr>
                      <w:bCs/>
                      <w:szCs w:val="24"/>
                      <w:lang w:eastAsia="lt-LT"/>
                    </w:rPr>
                    <w:t>–</w:t>
                  </w:r>
                  <w:r>
                    <w:rPr>
                      <w:szCs w:val="24"/>
                      <w:lang w:eastAsia="ar-SA"/>
                    </w:rPr>
                    <w:t xml:space="preserve"> patvirtinus didesnius maksimalius socialinės globos išlaidų finansavimo dydžius, savivaldybės mokamas dydis padengs paslaugų teikėjų nustatytą globos kainą, ir asmenims bus užtikrintas paslaugų tęstinumas / paslaugų gavimas.</w:t>
                  </w:r>
                </w:p>
                <w:p w14:paraId="444F561D" w14:textId="77777777">
                  <w:pPr>
                    <w:ind w:firstLine="426"/>
                    <w:jc w:val="both"/>
                    <w:rPr>
                      <w:szCs w:val="24"/>
                    </w:rPr>
                  </w:pPr>
                  <w:r>
                    <w:rPr>
                      <w:szCs w:val="24"/>
                    </w:rPr>
                    <w:t>Neigiamų pasekmių nenumatoma.</w:t>
                  </w:r>
                </w:p>
              </w:sdtContent>
            </w:sdt>
            <w:sdt>
              <w:sdtPr>
                <w:alias w:val="poskyris"/>
                <w:tag w:val="part_e835c119fe164deab9e54af43822d61d"/>
                <w:lock w:val="sdtLocked"/>
                <w:richText/>
              </w:sdtPr>
              <w:sdtContent>
                <w:p w14:paraId="32A75E51" w14:textId="77777777">
                  <w:pPr>
                    <w:ind w:firstLine="426"/>
                    <w:jc w:val="both"/>
                    <w:rPr>
                      <w:b/>
                      <w:bCs/>
                      <w:szCs w:val="24"/>
                      <w:lang w:eastAsia="lt-LT"/>
                    </w:rPr>
                  </w:pPr>
                  <w:sdt>
                    <w:sdtPr>
                      <w:alias w:val="Pavadinimas"/>
                      <w:tag w:val="title_e835c119fe164deab9e54af43822d61d"/>
                      <w:lock w:val="sdtLocked"/>
                      <w:richText/>
                    </w:sdtPr>
                    <w:sdtContent>
                      <w:r>
                        <w:rPr>
                          <w:b/>
                          <w:bCs/>
                          <w:szCs w:val="24"/>
                          <w:lang w:eastAsia="lt-LT"/>
                        </w:rPr>
                        <w:t xml:space="preserve">Priėmus sprendimą, keičiami ar pripažįstami negaliojančiais teisės aktai. </w:t>
                      </w:r>
                    </w:sdtContent>
                  </w:sdt>
                </w:p>
                <w:p w14:paraId="11B75B75" w14:textId="77777777">
                  <w:pPr>
                    <w:tabs>
                      <w:tab w:val="left" w:pos="709"/>
                    </w:tabs>
                    <w:suppressAutoHyphens/>
                    <w:ind w:firstLine="426"/>
                    <w:jc w:val="both"/>
                    <w:rPr>
                      <w:szCs w:val="24"/>
                      <w:lang w:eastAsia="ar-SA" w:bidi="he-IL"/>
                    </w:rPr>
                  </w:pPr>
                  <w:r>
                    <w:rPr>
                      <w:szCs w:val="24"/>
                      <w:lang w:eastAsia="ar-SA" w:bidi="he-IL"/>
                    </w:rPr>
                    <w:t>Pripažinti netekusiu galios Šiaulių miesto savivaldybės tarybos 2021 m. spalio 14 d. sprendimą Nr. T-409 „Dėl maksimalių socialinės globos išlaidų finansavimo Šiaulių miesto gyventojams dydžių nustatymo“ su visais pakeitimais ir papildymais.</w:t>
                  </w:r>
                </w:p>
              </w:sdtContent>
            </w:sdt>
            <w:sdt>
              <w:sdtPr>
                <w:alias w:val="poskyris"/>
                <w:tag w:val="part_8a9112eae07e4e7f8cb7785560920a4a"/>
                <w:lock w:val="sdtLocked"/>
                <w:richText/>
              </w:sdtPr>
              <w:sdtContent>
                <w:p w14:paraId="2098F89A" w14:textId="62D1A0ED">
                  <w:pPr>
                    <w:tabs>
                      <w:tab w:val="left" w:pos="709"/>
                    </w:tabs>
                    <w:suppressAutoHyphens/>
                    <w:ind w:firstLine="426"/>
                    <w:jc w:val="both"/>
                    <w:rPr>
                      <w:szCs w:val="24"/>
                      <w:lang w:eastAsia="ar-SA" w:bidi="he-IL"/>
                    </w:rPr>
                  </w:pPr>
                  <w:sdt>
                    <w:sdtPr>
                      <w:alias w:val="Pavadinimas"/>
                      <w:tag w:val="title_8a9112eae07e4e7f8cb7785560920a4a"/>
                      <w:lock w:val="sdtLocked"/>
                      <w:richText/>
                    </w:sdtPr>
                    <w:sdtContent>
                      <w:r>
                        <w:rPr>
                          <w:b/>
                          <w:bCs/>
                          <w:szCs w:val="24"/>
                          <w:lang w:eastAsia="lt-LT"/>
                        </w:rPr>
                        <w:t>Sprendimui įgyvendinti reikalingi priimti papildomi teisės aktai.</w:t>
                      </w:r>
                    </w:sdtContent>
                  </w:sdt>
                </w:p>
                <w:p w14:paraId="2785EC9C" w14:textId="77777777">
                  <w:pPr>
                    <w:ind w:firstLine="426"/>
                    <w:jc w:val="both"/>
                    <w:rPr>
                      <w:b/>
                      <w:bCs/>
                      <w:caps/>
                      <w:szCs w:val="24"/>
                      <w:lang w:eastAsia="lt-LT"/>
                    </w:rPr>
                  </w:pPr>
                  <w:r>
                    <w:rPr>
                      <w:szCs w:val="24"/>
                      <w:lang w:eastAsia="lt-LT"/>
                    </w:rPr>
                    <w:t>Sprendimui įgyvendinti nereikės priimti papildomų teisės aktų.</w:t>
                  </w:r>
                </w:p>
              </w:sdtContent>
            </w:sdt>
            <w:sdt>
              <w:sdtPr>
                <w:alias w:val="poskyris"/>
                <w:tag w:val="part_c26a31614d474f4998a2158bd3a6cf8f"/>
                <w:lock w:val="sdtLocked"/>
                <w:richText/>
              </w:sdtPr>
              <w:sdtContent>
                <w:p w14:paraId="4485991E" w14:textId="77777777">
                  <w:pPr>
                    <w:ind w:firstLine="426"/>
                    <w:jc w:val="both"/>
                    <w:rPr>
                      <w:b/>
                      <w:bCs/>
                      <w:szCs w:val="24"/>
                      <w:lang w:eastAsia="lt-LT"/>
                    </w:rPr>
                  </w:pPr>
                  <w:sdt>
                    <w:sdtPr>
                      <w:alias w:val="Pavadinimas"/>
                      <w:tag w:val="title_c26a31614d474f4998a2158bd3a6cf8f"/>
                      <w:lock w:val="sdtLocked"/>
                      <w:richText/>
                    </w:sdtPr>
                    <w:sdtContent>
                      <w:r>
                        <w:rPr>
                          <w:b/>
                          <w:bCs/>
                          <w:szCs w:val="24"/>
                          <w:lang w:eastAsia="lt-LT"/>
                        </w:rPr>
                        <w:t xml:space="preserve">Sprendimui įgyvendinti reikalingos lėšos. </w:t>
                      </w:r>
                    </w:sdtContent>
                  </w:sdt>
                </w:p>
                <w:p w14:paraId="5A408382" w14:textId="7C73E264">
                  <w:pPr>
                    <w:suppressAutoHyphens/>
                    <w:ind w:firstLine="426"/>
                    <w:jc w:val="both"/>
                    <w:rPr>
                      <w:b/>
                      <w:bCs/>
                      <w:szCs w:val="24"/>
                      <w:lang w:eastAsia="lt-LT"/>
                    </w:rPr>
                  </w:pPr>
                  <w:r>
                    <w:rPr>
                      <w:szCs w:val="24"/>
                      <w:lang w:eastAsia="ar-SA"/>
                    </w:rPr>
                    <w:t xml:space="preserve">Trumpalaikės ir ilgalaikės socialinės globos senyvo amžiaus asmenims ir suaugusiems asmenims su negalia paslaugoms reikalingas lėšas 2024 m. biudžete suplanavome pagal šiuo metu paslaugas gaunančių asmenų skaičių ir 2023 m. gruodžio mėnesio globos įstaigų nustatytas kainas, todėl metų eigoje gali būti, kad reikės papildomų lėšų, tačiau tikslios sumos šiuo metu negalime apskaičiuoti, nes 2024 m. sausio – vasario mėn. keičiasi asmenų gaunamos pajamos, tad didės ir jų apmokama suma už gaunamas paslaugas. </w:t>
                  </w:r>
                </w:p>
                <w:p w14:paraId="2CD21C66" w14:textId="77777777">
                  <w:pPr>
                    <w:ind w:firstLine="426"/>
                    <w:jc w:val="both"/>
                    <w:rPr>
                      <w:b/>
                      <w:bCs/>
                      <w:szCs w:val="24"/>
                      <w:lang w:eastAsia="lt-LT"/>
                    </w:rPr>
                  </w:pPr>
                  <w:r>
                    <w:rPr>
                      <w:b/>
                      <w:bCs/>
                      <w:szCs w:val="24"/>
                      <w:lang w:eastAsia="lt-LT"/>
                    </w:rPr>
                    <w:t xml:space="preserve">Sprendimo projekto antikorupcinis vertinimas </w:t>
                  </w:r>
                  <w:r>
                    <w:rPr>
                      <w:bCs/>
                      <w:szCs w:val="24"/>
                      <w:lang w:eastAsia="lt-LT"/>
                    </w:rPr>
                    <w:t>neatliekamas</w:t>
                  </w:r>
                  <w:r>
                    <w:rPr>
                      <w:b/>
                      <w:bCs/>
                      <w:szCs w:val="24"/>
                      <w:lang w:eastAsia="lt-LT"/>
                    </w:rPr>
                    <w:t>.</w:t>
                  </w:r>
                </w:p>
                <w:p w14:paraId="13983AD1" w14:textId="77777777">
                  <w:pPr>
                    <w:suppressAutoHyphens/>
                    <w:ind w:firstLine="426"/>
                    <w:jc w:val="both"/>
                    <w:rPr>
                      <w:kern w:val="3"/>
                      <w:szCs w:val="24"/>
                      <w:lang w:eastAsia="zh-CN"/>
                    </w:rPr>
                  </w:pPr>
                  <w:r>
                    <w:rPr>
                      <w:b/>
                      <w:kern w:val="3"/>
                      <w:szCs w:val="24"/>
                      <w:shd w:val="clear" w:color="auto" w:fill="FFFFFF"/>
                      <w:lang w:eastAsia="zh-CN"/>
                    </w:rPr>
                    <w:t>N</w:t>
                  </w:r>
                  <w:r>
                    <w:rPr>
                      <w:rFonts w:eastAsia="Calibri"/>
                      <w:b/>
                      <w:kern w:val="3"/>
                      <w:szCs w:val="24"/>
                      <w:lang w:eastAsia="zh-CN"/>
                    </w:rPr>
                    <w:t xml:space="preserve">umatomo teisinio reguliavimo poveikio vertinimas </w:t>
                  </w:r>
                  <w:r>
                    <w:rPr>
                      <w:rFonts w:eastAsia="Calibri"/>
                      <w:kern w:val="3"/>
                      <w:szCs w:val="24"/>
                      <w:lang w:eastAsia="zh-CN"/>
                    </w:rPr>
                    <w:t>neatliekamas</w:t>
                  </w:r>
                  <w:r>
                    <w:rPr>
                      <w:rFonts w:eastAsia="Calibri"/>
                      <w:b/>
                      <w:kern w:val="3"/>
                      <w:szCs w:val="24"/>
                      <w:lang w:eastAsia="zh-CN"/>
                    </w:rPr>
                    <w:t>.</w:t>
                  </w:r>
                </w:p>
                <w:p w14:paraId="04A4B7BC" w14:textId="39E37E8E">
                  <w:pPr>
                    <w:suppressAutoHyphens/>
                    <w:ind w:firstLine="426"/>
                    <w:jc w:val="both"/>
                    <w:rPr>
                      <w:color w:val="000000"/>
                      <w:kern w:val="3"/>
                      <w:szCs w:val="24"/>
                      <w:shd w:val="clear" w:color="auto" w:fill="FFFFFF"/>
                      <w:lang w:eastAsia="zh-CN"/>
                    </w:rPr>
                  </w:pPr>
                  <w:r>
                    <w:rPr>
                      <w:b/>
                      <w:bCs/>
                      <w:kern w:val="3"/>
                      <w:szCs w:val="24"/>
                      <w:lang w:eastAsia="lt-LT"/>
                    </w:rPr>
                    <w:t>Sprendimo projektą parengė</w:t>
                  </w:r>
                  <w:r>
                    <w:rPr>
                      <w:kern w:val="3"/>
                      <w:szCs w:val="24"/>
                      <w:lang w:eastAsia="lt-LT"/>
                    </w:rPr>
                    <w:t xml:space="preserve"> </w:t>
                  </w:r>
                  <w:r>
                    <w:rPr>
                      <w:color w:val="000000"/>
                      <w:kern w:val="3"/>
                      <w:szCs w:val="24"/>
                      <w:lang w:eastAsia="lt-LT"/>
                    </w:rPr>
                    <w:t xml:space="preserve">Socialinių paslaugų skyrius. Tiesioginis rengėjas – </w:t>
                  </w:r>
                  <w:r>
                    <w:rPr>
                      <w:color w:val="000000"/>
                      <w:kern w:val="3"/>
                      <w:szCs w:val="24"/>
                      <w:shd w:val="clear" w:color="auto" w:fill="FFFFFF"/>
                      <w:lang w:eastAsia="zh-CN"/>
                    </w:rPr>
                    <w:t xml:space="preserve">Socialinių paslaugų skyriaus patarėja – Lina Lašinė, tel. 38 64 90, iniciatorius – Socialinių paslaugų skyriaus vedėja – Ramutė Pilypienė, Šiaulių miesto savivaldybės globos namų direktorė Danutė Akaveckienė, Šiaulių miesto savivaldybės socialinių paslaugų centro direktorė Vida Šalnienė. </w:t>
                  </w:r>
                </w:p>
                <w:p w14:paraId="42FE1F73" w14:textId="2A094D61">
                  <w:pPr>
                    <w:suppressAutoHyphens/>
                    <w:ind w:firstLine="426"/>
                    <w:jc w:val="both"/>
                    <w:rPr>
                      <w:color w:val="000000"/>
                      <w:kern w:val="3"/>
                      <w:szCs w:val="24"/>
                      <w:shd w:val="clear" w:color="auto" w:fill="FFFFFF"/>
                      <w:lang w:eastAsia="zh-CN"/>
                    </w:rPr>
                  </w:pPr>
                </w:p>
                <w:p w14:paraId="3E2963C4" w14:textId="77777777">
                  <w:pPr>
                    <w:suppressAutoHyphens/>
                    <w:rPr>
                      <w:kern w:val="3"/>
                      <w:szCs w:val="24"/>
                      <w:shd w:val="clear" w:color="auto" w:fill="FFFFFF"/>
                      <w:lang w:eastAsia="zh-CN"/>
                    </w:rPr>
                  </w:pPr>
                </w:p>
              </w:sdtContent>
            </w:sdt>
          </w:sdtContent>
        </w:sdt>
        <w:sdt>
          <w:sdtPr>
            <w:alias w:val="signatura"/>
            <w:tag w:val="part_3b9389c9cebc4e07aa2a25d71ea02c73"/>
            <w:lock w:val="sdtLocked"/>
            <w:richText/>
          </w:sdtPr>
          <w:sdtContent>
            <w:p w14:paraId="7ABBA71E" w14:textId="591CF129">
              <w:pPr>
                <w:suppressAutoHyphens/>
                <w:jc w:val="both"/>
                <w:rPr>
                  <w:kern w:val="3"/>
                  <w:szCs w:val="24"/>
                  <w:lang w:eastAsia="zh-CN"/>
                </w:rPr>
              </w:pPr>
              <w:r>
                <w:rPr>
                  <w:kern w:val="3"/>
                  <w:szCs w:val="24"/>
                  <w:lang w:eastAsia="zh-CN"/>
                </w:rPr>
                <w:t xml:space="preserve">Vedėja </w:t>
                <w:tab/>
                <w:tab/>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336A3" w14:textId="77777777">
      <w:pPr>
        <w:suppressAutoHyphens/>
        <w:rPr>
          <w:szCs w:val="24"/>
          <w:lang w:val="en-GB" w:eastAsia="ar-SA"/>
        </w:rPr>
      </w:pPr>
      <w:r>
        <w:rPr>
          <w:szCs w:val="24"/>
          <w:lang w:val="en-GB" w:eastAsia="ar-SA"/>
        </w:rPr>
        <w:separator/>
      </w:r>
    </w:p>
  </w:endnote>
  <w:endnote w:type="continuationSeparator" w:id="0">
    <w:p w14:paraId="746BDC96"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05A6B" w14:textId="77777777">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4FCD6" w14:textId="77777777">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3A757" w14:textId="77777777">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35177D" w14:textId="77777777">
      <w:pPr>
        <w:suppressAutoHyphens/>
        <w:rPr>
          <w:szCs w:val="24"/>
          <w:lang w:val="en-GB" w:eastAsia="ar-SA"/>
        </w:rPr>
      </w:pPr>
      <w:r>
        <w:rPr>
          <w:szCs w:val="24"/>
          <w:lang w:val="en-GB" w:eastAsia="ar-SA"/>
        </w:rPr>
        <w:separator/>
      </w:r>
    </w:p>
  </w:footnote>
  <w:footnote w:type="continuationSeparator" w:id="0">
    <w:p w14:paraId="208AD411"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9FDF8" w14:textId="77777777">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57814" w14:textId="77777777">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 xml:space="preserve"> PAGE   \* MERGEFORMAT </w:instrText>
    </w:r>
    <w:r>
      <w:rPr>
        <w:szCs w:val="24"/>
        <w:lang w:val="en-GB" w:eastAsia="ar-SA"/>
      </w:rPr>
      <w:fldChar w:fldCharType="separate"/>
    </w:r>
    <w:r>
      <w:rPr>
        <w:szCs w:val="24"/>
        <w:lang w:val="en-GB" w:eastAsia="ar-SA"/>
      </w:rPr>
      <w:t>3</w:t>
    </w:r>
    <w:r>
      <w:rPr>
        <w:szCs w:val="24"/>
        <w:lang w:val="en-GB" w:eastAsia="ar-SA"/>
      </w:rPr>
      <w:fldChar w:fldCharType="end"/>
    </w:r>
  </w:p>
  <w:p w14:paraId="7E957815" w14:textId="77777777">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BBD50" w14:textId="77777777">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577E0"/>
  <w15:chartTrackingRefBased/>
  <w15:docId w15:val="{CE7F7CCE-08B0-4E17-BE69-A789813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090383">
      <w:bodyDiv w:val="1"/>
      <w:marLeft w:val="0"/>
      <w:marRight w:val="0"/>
      <w:marTop w:val="0"/>
      <w:marBottom w:val="0"/>
      <w:divBdr>
        <w:top w:val="none" w:sz="0" w:space="0" w:color="auto"/>
        <w:left w:val="none" w:sz="0" w:space="0" w:color="auto"/>
        <w:bottom w:val="none" w:sz="0" w:space="0" w:color="auto"/>
        <w:right w:val="none" w:sz="0" w:space="0" w:color="auto"/>
      </w:divBdr>
    </w:div>
    <w:div w:id="646711886">
      <w:bodyDiv w:val="1"/>
      <w:marLeft w:val="0"/>
      <w:marRight w:val="0"/>
      <w:marTop w:val="0"/>
      <w:marBottom w:val="0"/>
      <w:divBdr>
        <w:top w:val="none" w:sz="0" w:space="0" w:color="auto"/>
        <w:left w:val="none" w:sz="0" w:space="0" w:color="auto"/>
        <w:bottom w:val="none" w:sz="0" w:space="0" w:color="auto"/>
        <w:right w:val="none" w:sz="0" w:space="0" w:color="auto"/>
      </w:divBdr>
      <w:divsChild>
        <w:div w:id="161818831">
          <w:marLeft w:val="0"/>
          <w:marRight w:val="0"/>
          <w:marTop w:val="0"/>
          <w:marBottom w:val="0"/>
          <w:divBdr>
            <w:top w:val="none" w:sz="0" w:space="0" w:color="auto"/>
            <w:left w:val="none" w:sz="0" w:space="0" w:color="auto"/>
            <w:bottom w:val="none" w:sz="0" w:space="0" w:color="auto"/>
            <w:right w:val="none" w:sz="0" w:space="0" w:color="auto"/>
          </w:divBdr>
          <w:divsChild>
            <w:div w:id="815531636">
              <w:marLeft w:val="0"/>
              <w:marRight w:val="0"/>
              <w:marTop w:val="0"/>
              <w:marBottom w:val="0"/>
              <w:divBdr>
                <w:top w:val="none" w:sz="0" w:space="0" w:color="auto"/>
                <w:left w:val="none" w:sz="0" w:space="0" w:color="auto"/>
                <w:bottom w:val="none" w:sz="0" w:space="0" w:color="auto"/>
                <w:right w:val="none" w:sz="0" w:space="0" w:color="auto"/>
              </w:divBdr>
              <w:divsChild>
                <w:div w:id="13284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044437">
          <w:marLeft w:val="0"/>
          <w:marRight w:val="0"/>
          <w:marTop w:val="0"/>
          <w:marBottom w:val="0"/>
          <w:divBdr>
            <w:top w:val="none" w:sz="0" w:space="0" w:color="auto"/>
            <w:left w:val="none" w:sz="0" w:space="0" w:color="auto"/>
            <w:bottom w:val="none" w:sz="0" w:space="0" w:color="auto"/>
            <w:right w:val="none" w:sz="0" w:space="0" w:color="auto"/>
          </w:divBdr>
          <w:divsChild>
            <w:div w:id="1223103711">
              <w:marLeft w:val="0"/>
              <w:marRight w:val="0"/>
              <w:marTop w:val="0"/>
              <w:marBottom w:val="0"/>
              <w:divBdr>
                <w:top w:val="none" w:sz="0" w:space="0" w:color="auto"/>
                <w:left w:val="none" w:sz="0" w:space="0" w:color="auto"/>
                <w:bottom w:val="none" w:sz="0" w:space="0" w:color="auto"/>
                <w:right w:val="none" w:sz="0" w:space="0" w:color="auto"/>
              </w:divBdr>
              <w:divsChild>
                <w:div w:id="46230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527775">
      <w:bodyDiv w:val="1"/>
      <w:marLeft w:val="0"/>
      <w:marRight w:val="0"/>
      <w:marTop w:val="0"/>
      <w:marBottom w:val="0"/>
      <w:divBdr>
        <w:top w:val="none" w:sz="0" w:space="0" w:color="auto"/>
        <w:left w:val="none" w:sz="0" w:space="0" w:color="auto"/>
        <w:bottom w:val="none" w:sz="0" w:space="0" w:color="auto"/>
        <w:right w:val="none" w:sz="0" w:space="0" w:color="auto"/>
      </w:divBdr>
    </w:div>
    <w:div w:id="844712079">
      <w:bodyDiv w:val="1"/>
      <w:marLeft w:val="0"/>
      <w:marRight w:val="0"/>
      <w:marTop w:val="0"/>
      <w:marBottom w:val="0"/>
      <w:divBdr>
        <w:top w:val="none" w:sz="0" w:space="0" w:color="auto"/>
        <w:left w:val="none" w:sz="0" w:space="0" w:color="auto"/>
        <w:bottom w:val="none" w:sz="0" w:space="0" w:color="auto"/>
        <w:right w:val="none" w:sz="0" w:space="0" w:color="auto"/>
      </w:divBdr>
    </w:div>
    <w:div w:id="946498356">
      <w:bodyDiv w:val="1"/>
      <w:marLeft w:val="0"/>
      <w:marRight w:val="0"/>
      <w:marTop w:val="0"/>
      <w:marBottom w:val="0"/>
      <w:divBdr>
        <w:top w:val="none" w:sz="0" w:space="0" w:color="auto"/>
        <w:left w:val="none" w:sz="0" w:space="0" w:color="auto"/>
        <w:bottom w:val="none" w:sz="0" w:space="0" w:color="auto"/>
        <w:right w:val="none" w:sz="0" w:space="0" w:color="auto"/>
      </w:divBdr>
    </w:div>
    <w:div w:id="957954504">
      <w:bodyDiv w:val="1"/>
      <w:marLeft w:val="0"/>
      <w:marRight w:val="0"/>
      <w:marTop w:val="0"/>
      <w:marBottom w:val="0"/>
      <w:divBdr>
        <w:top w:val="none" w:sz="0" w:space="0" w:color="auto"/>
        <w:left w:val="none" w:sz="0" w:space="0" w:color="auto"/>
        <w:bottom w:val="none" w:sz="0" w:space="0" w:color="auto"/>
        <w:right w:val="none" w:sz="0" w:space="0" w:color="auto"/>
      </w:divBdr>
      <w:divsChild>
        <w:div w:id="1249927074">
          <w:marLeft w:val="0"/>
          <w:marRight w:val="0"/>
          <w:marTop w:val="0"/>
          <w:marBottom w:val="0"/>
          <w:divBdr>
            <w:top w:val="none" w:sz="0" w:space="0" w:color="auto"/>
            <w:left w:val="none" w:sz="0" w:space="0" w:color="auto"/>
            <w:bottom w:val="none" w:sz="0" w:space="0" w:color="auto"/>
            <w:right w:val="none" w:sz="0" w:space="0" w:color="auto"/>
          </w:divBdr>
        </w:div>
        <w:div w:id="2133088093">
          <w:marLeft w:val="0"/>
          <w:marRight w:val="0"/>
          <w:marTop w:val="0"/>
          <w:marBottom w:val="0"/>
          <w:divBdr>
            <w:top w:val="none" w:sz="0" w:space="0" w:color="auto"/>
            <w:left w:val="none" w:sz="0" w:space="0" w:color="auto"/>
            <w:bottom w:val="none" w:sz="0" w:space="0" w:color="auto"/>
            <w:right w:val="none" w:sz="0" w:space="0" w:color="auto"/>
          </w:divBdr>
        </w:div>
      </w:divsChild>
    </w:div>
    <w:div w:id="965894543">
      <w:bodyDiv w:val="1"/>
      <w:marLeft w:val="0"/>
      <w:marRight w:val="0"/>
      <w:marTop w:val="0"/>
      <w:marBottom w:val="0"/>
      <w:divBdr>
        <w:top w:val="none" w:sz="0" w:space="0" w:color="auto"/>
        <w:left w:val="none" w:sz="0" w:space="0" w:color="auto"/>
        <w:bottom w:val="none" w:sz="0" w:space="0" w:color="auto"/>
        <w:right w:val="none" w:sz="0" w:space="0" w:color="auto"/>
      </w:divBdr>
      <w:divsChild>
        <w:div w:id="254897153">
          <w:marLeft w:val="0"/>
          <w:marRight w:val="0"/>
          <w:marTop w:val="0"/>
          <w:marBottom w:val="0"/>
          <w:divBdr>
            <w:top w:val="none" w:sz="0" w:space="0" w:color="auto"/>
            <w:left w:val="none" w:sz="0" w:space="0" w:color="auto"/>
            <w:bottom w:val="none" w:sz="0" w:space="0" w:color="auto"/>
            <w:right w:val="none" w:sz="0" w:space="0" w:color="auto"/>
          </w:divBdr>
        </w:div>
        <w:div w:id="1778057734">
          <w:marLeft w:val="0"/>
          <w:marRight w:val="0"/>
          <w:marTop w:val="0"/>
          <w:marBottom w:val="0"/>
          <w:divBdr>
            <w:top w:val="none" w:sz="0" w:space="0" w:color="auto"/>
            <w:left w:val="none" w:sz="0" w:space="0" w:color="auto"/>
            <w:bottom w:val="none" w:sz="0" w:space="0" w:color="auto"/>
            <w:right w:val="none" w:sz="0" w:space="0" w:color="auto"/>
          </w:divBdr>
          <w:divsChild>
            <w:div w:id="226380739">
              <w:marLeft w:val="0"/>
              <w:marRight w:val="0"/>
              <w:marTop w:val="0"/>
              <w:marBottom w:val="0"/>
              <w:divBdr>
                <w:top w:val="none" w:sz="0" w:space="0" w:color="auto"/>
                <w:left w:val="none" w:sz="0" w:space="0" w:color="auto"/>
                <w:bottom w:val="none" w:sz="0" w:space="0" w:color="auto"/>
                <w:right w:val="none" w:sz="0" w:space="0" w:color="auto"/>
              </w:divBdr>
            </w:div>
            <w:div w:id="110636066">
              <w:marLeft w:val="0"/>
              <w:marRight w:val="0"/>
              <w:marTop w:val="0"/>
              <w:marBottom w:val="0"/>
              <w:divBdr>
                <w:top w:val="none" w:sz="0" w:space="0" w:color="auto"/>
                <w:left w:val="none" w:sz="0" w:space="0" w:color="auto"/>
                <w:bottom w:val="none" w:sz="0" w:space="0" w:color="auto"/>
                <w:right w:val="none" w:sz="0" w:space="0" w:color="auto"/>
              </w:divBdr>
            </w:div>
            <w:div w:id="90303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135074">
      <w:bodyDiv w:val="1"/>
      <w:marLeft w:val="0"/>
      <w:marRight w:val="0"/>
      <w:marTop w:val="0"/>
      <w:marBottom w:val="0"/>
      <w:divBdr>
        <w:top w:val="none" w:sz="0" w:space="0" w:color="auto"/>
        <w:left w:val="none" w:sz="0" w:space="0" w:color="auto"/>
        <w:bottom w:val="none" w:sz="0" w:space="0" w:color="auto"/>
        <w:right w:val="none" w:sz="0" w:space="0" w:color="auto"/>
      </w:divBdr>
    </w:div>
    <w:div w:id="1464930734">
      <w:bodyDiv w:val="1"/>
      <w:marLeft w:val="0"/>
      <w:marRight w:val="0"/>
      <w:marTop w:val="0"/>
      <w:marBottom w:val="0"/>
      <w:divBdr>
        <w:top w:val="none" w:sz="0" w:space="0" w:color="auto"/>
        <w:left w:val="none" w:sz="0" w:space="0" w:color="auto"/>
        <w:bottom w:val="none" w:sz="0" w:space="0" w:color="auto"/>
        <w:right w:val="none" w:sz="0" w:space="0" w:color="auto"/>
      </w:divBdr>
    </w:div>
    <w:div w:id="1592229795">
      <w:bodyDiv w:val="1"/>
      <w:marLeft w:val="0"/>
      <w:marRight w:val="0"/>
      <w:marTop w:val="0"/>
      <w:marBottom w:val="0"/>
      <w:divBdr>
        <w:top w:val="none" w:sz="0" w:space="0" w:color="auto"/>
        <w:left w:val="none" w:sz="0" w:space="0" w:color="auto"/>
        <w:bottom w:val="none" w:sz="0" w:space="0" w:color="auto"/>
        <w:right w:val="none" w:sz="0" w:space="0" w:color="auto"/>
      </w:divBdr>
      <w:divsChild>
        <w:div w:id="111943074">
          <w:marLeft w:val="0"/>
          <w:marRight w:val="0"/>
          <w:marTop w:val="0"/>
          <w:marBottom w:val="0"/>
          <w:divBdr>
            <w:top w:val="none" w:sz="0" w:space="0" w:color="auto"/>
            <w:left w:val="none" w:sz="0" w:space="0" w:color="auto"/>
            <w:bottom w:val="none" w:sz="0" w:space="0" w:color="auto"/>
            <w:right w:val="none" w:sz="0" w:space="0" w:color="auto"/>
          </w:divBdr>
        </w:div>
        <w:div w:id="1660235352">
          <w:marLeft w:val="0"/>
          <w:marRight w:val="0"/>
          <w:marTop w:val="0"/>
          <w:marBottom w:val="0"/>
          <w:divBdr>
            <w:top w:val="none" w:sz="0" w:space="0" w:color="auto"/>
            <w:left w:val="none" w:sz="0" w:space="0" w:color="auto"/>
            <w:bottom w:val="none" w:sz="0" w:space="0" w:color="auto"/>
            <w:right w:val="none" w:sz="0" w:space="0" w:color="auto"/>
          </w:divBdr>
        </w:div>
        <w:div w:id="213350768">
          <w:marLeft w:val="0"/>
          <w:marRight w:val="0"/>
          <w:marTop w:val="0"/>
          <w:marBottom w:val="0"/>
          <w:divBdr>
            <w:top w:val="none" w:sz="0" w:space="0" w:color="auto"/>
            <w:left w:val="none" w:sz="0" w:space="0" w:color="auto"/>
            <w:bottom w:val="none" w:sz="0" w:space="0" w:color="auto"/>
            <w:right w:val="none" w:sz="0" w:space="0" w:color="auto"/>
          </w:divBdr>
        </w:div>
        <w:div w:id="1969624989">
          <w:marLeft w:val="0"/>
          <w:marRight w:val="0"/>
          <w:marTop w:val="0"/>
          <w:marBottom w:val="0"/>
          <w:divBdr>
            <w:top w:val="none" w:sz="0" w:space="0" w:color="auto"/>
            <w:left w:val="none" w:sz="0" w:space="0" w:color="auto"/>
            <w:bottom w:val="none" w:sz="0" w:space="0" w:color="auto"/>
            <w:right w:val="none" w:sz="0" w:space="0" w:color="auto"/>
          </w:divBdr>
        </w:div>
      </w:divsChild>
    </w:div>
    <w:div w:id="1750616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b240ab61dd24c2db540e3d03fe127b2" PartId="9a673a269d404a42b8637ee341b862c7">
    <Part Type="skyrius" Nr="999" DocPartId="38436d8098f34603b239b79afef87129" PartId="65ec54aea4284cdbbb039293759b41b7">
      <Part Type="poskyris" Title="DĖL MAKSIMALIŲ SOCIALINĖS GLOBOS IŠLAIDŲ FINANSAVIMO ŠIAULIŲ MIESTO GYVENTOJAMS DYDŽIŲ NUSTATYMO AIŠKINAMASIS RAŠTAS" DocPartId="0dd2845ac3f94741b02a1e9d7ebd5acd" PartId="b169b23c5b044ff8a8c0d10a047fabb3"/>
      <Part Type="poskyris" Title="Parengto sprendimo projekto tikslai ir uždaviniai." DocPartId="22b40cecb7884801afd76f95874730d3" PartId="2a2fd4183a45462d9339a80b576fe9e4"/>
      <Part Type="poskyris" Title="Dabartinis sprendimo projekte aptariamų klausimų reguliavimas." DocPartId="e4f1dabf0be54ec8863f95a8d58215c4" PartId="c76b9c90e17747ecadff4ea44ea1629d"/>
      <Part Type="poskyris" Title="Naujos teisinio reglamentavimo nuostatos." DocPartId="563313b5fe144c609da74fd5e0afd73c" PartId="c71009b712664c30914c98b5a7429115">
        <Part Type="punktas" Nr="1" Abbr="1 p." DocPartId="133d74e14ad54ea8916820840f577002" PartId="970f53691efc4ece95d15973a3957cca"/>
        <Part Type="punktas" Nr="2" Abbr="2 p." DocPartId="ab22151018ad453b841631190d07283e" PartId="83bda96afde540f98f80f41a00a85cdf">
          <Part Type="papunktis" Nr="2.1" Abbr="2.1 pp." DocPartId="10fdfe539ad64d7ab309c27b6f9d20b0" PartId="c69a87060e0741c2ab2f60701ac13cfd"/>
          <Part Type="papunktis" Nr="2.2" Abbr="2.2 pp." DocPartId="fcba7e4a3a134885a9eaa1b9608ae348" PartId="b2ea71325c9f4d9f9d01777ea96cf543"/>
          <Part Type="papunktis" Nr="2.3" Abbr="2.3 pp." DocPartId="746e9c5721084b82879bbd7694cc8ada" PartId="471dfb2ca4cb4abf9fb7f033ca6df46e"/>
          <Part Type="papunktis" Nr="2.4" Abbr="2.4 pp." DocPartId="f60da42d8d744acf87ae1f42e22d5bdc" PartId="5dbd39c60e2248748b3a938064944662"/>
        </Part>
      </Part>
      <Part Type="poskyris" Title="Priėmus sprendimą, galimos pasekmės." DocPartId="8c7bf6d3d1f046dbad8cb997f569ce15" PartId="da787ed0f355447b9df946012c547259"/>
      <Part Type="poskyris" Title="Priėmus sprendimą, keičiami ar pripažįstami negaliojančiais teisės aktai." DocPartId="e7d73687cd9a477ab8660e672c536e7a" PartId="e835c119fe164deab9e54af43822d61d"/>
      <Part Type="poskyris" Title="Sprendimui įgyvendinti reikalingi priimti papildomi teisės aktai." DocPartId="b3080408967449ee93d1ca286a6845a6" PartId="8a9112eae07e4e7f8cb7785560920a4a"/>
      <Part Type="poskyris" Title="Sprendimui įgyvendinti reikalingos lėšos." DocPartId="db399903af974bdaa0d7f4b26442a203" PartId="c26a31614d474f4998a2158bd3a6cf8f"/>
    </Part>
    <Part Type="signatura" DocPartId="0f4552c60c8a4467b421f04a51786094" PartId="3b9389c9cebc4e07aa2a25d71ea02c73"/>
  </Part>
</Parts>
</file>

<file path=customXml/itemProps1.xml><?xml version="1.0" encoding="utf-8"?>
<ds:datastoreItem xmlns:ds="http://schemas.openxmlformats.org/officeDocument/2006/customXml" ds:itemID="{D0448401-E464-421A-BAF4-BC0D79726147}">
  <ds:schemaRefs>
    <ds:schemaRef ds:uri="http://schemas.openxmlformats.org/officeDocument/2006/bibliography"/>
  </ds:schemaRefs>
</ds:datastoreItem>
</file>

<file path=customXml/itemProps2.xml><?xml version="1.0" encoding="utf-8"?>
<ds:datastoreItem xmlns:ds="http://schemas.openxmlformats.org/officeDocument/2006/customXml" ds:itemID="{D38ECDAC-7FB5-4319-81B3-DCD4215A84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927</Words>
  <Characters>6569</Characters>
  <Application>Microsoft Office Word</Application>
  <DocSecurity>4</DocSecurity>
  <Lines>104</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2024-01-09T14:52:00Z</dcterms:created>
  <dc:creator>Edita Čičelienė</dc:creator>
  <lastModifiedBy>adlibuser</lastModifiedBy>
  <lastPrinted>2022-10-25T09:01:00Z</lastPrinted>
  <dcterms:modified xsi:type="dcterms:W3CDTF">2024-01-09T14:52:00Z</dcterms:modified>
  <revision>2</revision>
</coreProperties>
</file>