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ff1842878646c8b6a9a092d112445e"/>
        <w:lock w:val="sdtLocked"/>
        <w:richText/>
      </w:sdtPr>
      <w:sdtContent>
        <w:p>
          <w:pPr>
            <w:tabs>
              <w:tab w:val="center" w:pos="4819"/>
              <w:tab w:val="right" w:pos="9638"/>
            </w:tabs>
            <w:rPr>
              <w:szCs w:val="24"/>
            </w:rPr>
          </w:pPr>
        </w:p>
        <w:p>
          <w:pPr>
            <w:jc w:val="center"/>
            <w:rPr>
              <w:b/>
              <w:caps/>
              <w:szCs w:val="24"/>
            </w:rPr>
          </w:pPr>
          <w:r>
            <w:rPr>
              <w:szCs w:val="24"/>
              <w:lang w:val="en-US"/>
            </w:rPr>
            <w:drawing>
              <wp:inline distT="0" distB="0" distL="0" distR="0" wp14:anchorId="1C0E602A" wp14:editId="6E8BDBBC">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pPr>
            <w:jc w:val="center"/>
            <w:rPr>
              <w:b/>
              <w:caps/>
              <w:sz w:val="12"/>
              <w:szCs w:val="12"/>
            </w:rPr>
          </w:pPr>
        </w:p>
        <w:p>
          <w:pPr>
            <w:jc w:val="center"/>
            <w:rPr>
              <w:b/>
              <w:caps/>
              <w:szCs w:val="24"/>
            </w:rPr>
          </w:pPr>
          <w:r>
            <w:rPr>
              <w:b/>
              <w:caps/>
              <w:szCs w:val="24"/>
            </w:rPr>
            <w:t>LIETUVOS RESPUBLIKOS SEIMO</w:t>
          </w:r>
        </w:p>
        <w:p>
          <w:pPr>
            <w:jc w:val="center"/>
            <w:rPr>
              <w:b/>
              <w:caps/>
              <w:szCs w:val="24"/>
            </w:rPr>
          </w:pPr>
          <w:r>
            <w:rPr>
              <w:b/>
              <w:caps/>
              <w:szCs w:val="24"/>
            </w:rPr>
            <w:t>SOCIALINIŲ REIKALŲ IR DARBO komitetAS</w:t>
          </w:r>
        </w:p>
        <w:p>
          <w:pPr>
            <w:jc w:val="center"/>
            <w:rPr>
              <w:caps/>
              <w:szCs w:val="24"/>
            </w:rPr>
          </w:pPr>
        </w:p>
        <w:p>
          <w:pPr>
            <w:jc w:val="center"/>
            <w:rPr>
              <w:caps/>
              <w:szCs w:val="24"/>
            </w:rPr>
          </w:pPr>
        </w:p>
        <w:p>
          <w:pPr>
            <w:keepNext/>
            <w:jc w:val="center"/>
            <w:outlineLvl w:val="1"/>
            <w:rPr>
              <w:b/>
              <w:bCs/>
              <w:caps/>
              <w:szCs w:val="24"/>
            </w:rPr>
          </w:pPr>
          <w:r>
            <w:rPr>
              <w:b/>
              <w:szCs w:val="24"/>
            </w:rPr>
            <w:t>PAGRINDINIO KOMITETO IŠVADA</w:t>
          </w:r>
        </w:p>
        <w:p>
          <w:pPr>
            <w:keepNext/>
            <w:keepLines/>
            <w:jc w:val="center"/>
            <w:outlineLvl w:val="2"/>
            <w:rPr>
              <w:b/>
              <w:bCs/>
              <w:caps/>
              <w:szCs w:val="24"/>
            </w:rPr>
          </w:pPr>
          <w:r>
            <w:rPr>
              <w:b/>
              <w:bCs/>
              <w:caps/>
              <w:szCs w:val="24"/>
            </w:rPr>
            <w:t>DĖL Biudžetinių įstaigų darbuotojų darbo apmokėjimo ir komisijų narių atlygio už darbą įstatymo Nr. XIII-198 2, 4, 6, 7 ir 9 straipsnių bei 1 ir 2 priedų pakeitimo įstatymo projekto nr. xvp-868</w:t>
          </w:r>
        </w:p>
        <w:p>
          <w:pPr>
            <w:keepNext/>
            <w:keepLines/>
            <w:jc w:val="center"/>
            <w:outlineLvl w:val="2"/>
            <w:rPr>
              <w:b/>
              <w:caps/>
              <w:szCs w:val="24"/>
            </w:rPr>
          </w:pPr>
        </w:p>
        <w:p>
          <w:pPr>
            <w:jc w:val="center"/>
            <w:rPr>
              <w:szCs w:val="24"/>
            </w:rPr>
          </w:pPr>
          <w:r>
            <w:rPr>
              <w:szCs w:val="24"/>
            </w:rPr>
            <w:t xml:space="preserve">2025-12-03  Nr. 103-P-48</w:t>
          </w:r>
        </w:p>
        <w:p>
          <w:pPr>
            <w:jc w:val="center"/>
            <w:rPr>
              <w:szCs w:val="24"/>
            </w:rPr>
          </w:pPr>
          <w:r>
            <w:rPr>
              <w:szCs w:val="24"/>
            </w:rPr>
            <w:t>Vilnius</w:t>
          </w:r>
        </w:p>
        <w:p>
          <w:pPr>
            <w:jc w:val="center"/>
            <w:rPr>
              <w:b/>
              <w:bCs/>
              <w:sz w:val="22"/>
              <w:szCs w:val="22"/>
            </w:rPr>
          </w:pPr>
        </w:p>
        <w:sdt>
          <w:sdtPr>
            <w:alias w:val="1 p."/>
            <w:tag w:val="part_7aa8a1867429438c84c6f3ef87117de1"/>
            <w:lock w:val="sdtLocked"/>
            <w:richText/>
          </w:sdtPr>
          <w:sdtContent>
            <w:p>
              <w:pPr>
                <w:ind w:firstLine="720"/>
                <w:jc w:val="both"/>
                <w:rPr>
                  <w:szCs w:val="24"/>
                </w:rPr>
              </w:pPr>
              <w:sdt>
                <w:sdtPr>
                  <w:alias w:val="Numeris"/>
                  <w:tag w:val="nr_7aa8a1867429438c84c6f3ef87117de1"/>
                  <w:lock w:val="sdtLocked"/>
                  <w:richText/>
                </w:sdtPr>
                <w:sdtContent>
                  <w:r>
                    <w:rPr>
                      <w:b/>
                      <w:szCs w:val="24"/>
                    </w:rPr>
                    <w:t>1</w:t>
                  </w:r>
                </w:sdtContent>
              </w:sdt>
              <w:r>
                <w:rPr>
                  <w:b/>
                  <w:szCs w:val="24"/>
                </w:rPr>
                <w:t>. Komiteto posėdyje dalyvavo:</w:t>
              </w:r>
              <w:r>
                <w:rPr>
                  <w:szCs w:val="24"/>
                </w:rPr>
                <w:t xml:space="preserve"> Kęstutis Bilius – komiteto pirmininkas, Laura Asadauskaitė-Zadneprovskienė, Eimantas Kirkutis, Linas Kukuraitis, Paulė Kuzmickienė, Daiva Petkevičienė, Modesta Petrauskaitė, Darius Razmislevičius, Edita Rudelienė, Daiva Ulbinaitė, Arūnas Valinskas; komiteto biuras: vedėja Ieva Kuodienė, patarėjos Dalia Aleksejūnienė, Diana Jonėnienė, Asta Kazlauskienė, padėjėja Renata Liekienė; kviestieji asmenys: Jurgita Šukevičienė – Seimo narė, Švietimo, mokslo ir sporto ministerijos atstovai: Tomas Bičiūnas – ministrės patarėjas, Raminta Popovienė – ministrė, Eglė Radėnienė – Ekonomikos departamento direktorė; Socialinės apsaugos ir darbo ministerijos atstovai: Vita Baliukevičienė – Darbo teisės grupės vadovė, Agnė Nakčerienė – Darbo teisės grupės vyresnioji patarėja; Jekaterina Navickė – Ministrės Pirmininkės patarėja socialinės politikos klausimais, Jurga Žilikienė – Finansų ministerijos Biudžeto departamento Švietimo, kultūros ir socialinių sektorių skyriaus vedėja.</w:t>
              </w:r>
            </w:p>
          </w:sdtContent>
        </w:sdt>
        <w:sdt>
          <w:sdtPr>
            <w:alias w:val="2 p."/>
            <w:tag w:val="part_0e8314a27cfc4a769c9ebd83e6d564f9"/>
            <w:lock w:val="sdtLocked"/>
            <w:richText/>
          </w:sdtPr>
          <w:sdtContent>
            <w:p>
              <w:pPr>
                <w:keepNext/>
                <w:spacing w:line="360" w:lineRule="auto"/>
                <w:ind w:firstLine="720"/>
                <w:jc w:val="both"/>
                <w:outlineLvl w:val="5"/>
                <w:rPr>
                  <w:szCs w:val="24"/>
                </w:rPr>
              </w:pPr>
              <w:sdt>
                <w:sdtPr>
                  <w:alias w:val="Numeris"/>
                  <w:tag w:val="nr_0e8314a27cfc4a769c9ebd83e6d564f9"/>
                  <w:lock w:val="sdtLocked"/>
                  <w:richText/>
                </w:sdtPr>
                <w:sdtContent>
                  <w:r>
                    <w:rPr>
                      <w:b/>
                      <w:bCs/>
                      <w:szCs w:val="24"/>
                    </w:rPr>
                    <w:t>2</w:t>
                  </w:r>
                </w:sdtContent>
              </w:sdt>
              <w:r>
                <w:rPr>
                  <w:b/>
                  <w:bCs/>
                  <w:szCs w:val="24"/>
                </w:rPr>
                <w:t xml:space="preserve">. Ekspertų, konsultantų, specialistų išvados, pasiūlymai, pataisos, pastabos </w:t>
              </w:r>
              <w:r>
                <w:rPr>
                  <w:szCs w:val="24"/>
                </w:rPr>
                <w:t>(toliau – pasiūlymai):</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4715"/>
                <w:gridCol w:w="1134"/>
                <w:gridCol w:w="4400"/>
              </w:tblGrid>
              <w:tr>
                <w:trPr>
                  <w:trHeight w:val="472"/>
                  <w:tblHeader/>
                  <w:jc w:val="center"/>
                </w:trPr>
                <w:tc>
                  <w:tcPr>
                    <w:tcW w:w="57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2297" w:type="dxa"/>
                    <w:vMerge w:val="restart"/>
                    <w:vAlign w:val="center"/>
                  </w:tcPr>
                  <w:p>
                    <w:pPr>
                      <w:jc w:val="center"/>
                      <w:rPr>
                        <w:sz w:val="22"/>
                        <w:szCs w:val="22"/>
                      </w:rPr>
                    </w:pPr>
                    <w:r>
                      <w:rPr>
                        <w:sz w:val="22"/>
                        <w:szCs w:val="22"/>
                      </w:rPr>
                      <w:t>Pasiūlymo teikėjas, data</w:t>
                    </w:r>
                  </w:p>
                </w:tc>
                <w:tc>
                  <w:tcPr>
                    <w:tcW w:w="2052" w:type="dxa"/>
                    <w:gridSpan w:val="3"/>
                    <w:vAlign w:val="center"/>
                  </w:tcPr>
                  <w:p>
                    <w:pPr>
                      <w:jc w:val="center"/>
                      <w:rPr>
                        <w:sz w:val="22"/>
                        <w:szCs w:val="22"/>
                      </w:rPr>
                    </w:pPr>
                    <w:r>
                      <w:rPr>
                        <w:sz w:val="22"/>
                        <w:szCs w:val="22"/>
                      </w:rPr>
                      <w:t>Siūloma keisti</w:t>
                    </w:r>
                  </w:p>
                </w:tc>
                <w:tc>
                  <w:tcPr>
                    <w:tcW w:w="4715" w:type="dxa"/>
                    <w:vMerge w:val="restart"/>
                    <w:vAlign w:val="center"/>
                  </w:tcPr>
                  <w:p>
                    <w:pPr>
                      <w:jc w:val="center"/>
                      <w:rPr>
                        <w:sz w:val="22"/>
                        <w:szCs w:val="22"/>
                      </w:rPr>
                    </w:pPr>
                  </w:p>
                  <w:p>
                    <w:pPr>
                      <w:jc w:val="center"/>
                      <w:rPr>
                        <w:sz w:val="22"/>
                        <w:szCs w:val="22"/>
                      </w:rPr>
                    </w:pPr>
                    <w:r>
                      <w:rPr>
                        <w:sz w:val="22"/>
                        <w:szCs w:val="22"/>
                      </w:rPr>
                      <w:t>Pasiūlymo turinys</w:t>
                    </w:r>
                  </w:p>
                  <w:p>
                    <w:pPr>
                      <w:jc w:val="center"/>
                      <w:rPr>
                        <w:sz w:val="22"/>
                        <w:szCs w:val="22"/>
                      </w:rPr>
                    </w:pPr>
                  </w:p>
                </w:tc>
                <w:tc>
                  <w:tcPr>
                    <w:tcW w:w="1134" w:type="dxa"/>
                    <w:vMerge w:val="restart"/>
                    <w:vAlign w:val="center"/>
                  </w:tcPr>
                  <w:p>
                    <w:pPr>
                      <w:jc w:val="center"/>
                      <w:rPr>
                        <w:sz w:val="22"/>
                        <w:szCs w:val="22"/>
                      </w:rPr>
                    </w:pPr>
                    <w:r>
                      <w:rPr>
                        <w:sz w:val="22"/>
                        <w:szCs w:val="22"/>
                      </w:rPr>
                      <w:t>Komiteto nuomonė</w:t>
                    </w:r>
                  </w:p>
                </w:tc>
                <w:tc>
                  <w:tcPr>
                    <w:tcW w:w="4400"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379"/>
                  <w:tblHeader/>
                  <w:jc w:val="center"/>
                </w:trPr>
                <w:tc>
                  <w:tcPr>
                    <w:tcW w:w="570" w:type="dxa"/>
                    <w:vMerge/>
                  </w:tcPr>
                  <w:p>
                    <w:pPr>
                      <w:rPr>
                        <w:szCs w:val="24"/>
                      </w:rPr>
                    </w:pPr>
                  </w:p>
                </w:tc>
                <w:tc>
                  <w:tcPr>
                    <w:tcW w:w="2297" w:type="dxa"/>
                    <w:vMerge/>
                  </w:tcPr>
                  <w:p>
                    <w:pPr>
                      <w:rPr>
                        <w:szCs w:val="24"/>
                      </w:rPr>
                    </w:pPr>
                  </w:p>
                </w:tc>
                <w:tc>
                  <w:tcPr>
                    <w:tcW w:w="684" w:type="dxa"/>
                    <w:vAlign w:val="center"/>
                  </w:tcPr>
                  <w:p>
                    <w:pPr>
                      <w:jc w:val="center"/>
                      <w:rPr>
                        <w:sz w:val="20"/>
                        <w:szCs w:val="24"/>
                      </w:rPr>
                    </w:pPr>
                    <w:r>
                      <w:rPr>
                        <w:sz w:val="20"/>
                        <w:szCs w:val="24"/>
                      </w:rPr>
                      <w:t>str.</w:t>
                    </w:r>
                  </w:p>
                </w:tc>
                <w:tc>
                  <w:tcPr>
                    <w:tcW w:w="684" w:type="dxa"/>
                    <w:vAlign w:val="center"/>
                  </w:tcPr>
                  <w:p>
                    <w:pPr>
                      <w:jc w:val="center"/>
                      <w:rPr>
                        <w:sz w:val="20"/>
                        <w:szCs w:val="24"/>
                      </w:rPr>
                    </w:pPr>
                    <w:r>
                      <w:rPr>
                        <w:sz w:val="20"/>
                        <w:szCs w:val="24"/>
                      </w:rPr>
                      <w:t>str. d.</w:t>
                    </w:r>
                  </w:p>
                </w:tc>
                <w:tc>
                  <w:tcPr>
                    <w:tcW w:w="684" w:type="dxa"/>
                    <w:vAlign w:val="center"/>
                  </w:tcPr>
                  <w:p>
                    <w:pPr>
                      <w:jc w:val="center"/>
                      <w:rPr>
                        <w:sz w:val="20"/>
                        <w:szCs w:val="24"/>
                      </w:rPr>
                    </w:pPr>
                    <w:r>
                      <w:rPr>
                        <w:sz w:val="20"/>
                        <w:szCs w:val="24"/>
                      </w:rPr>
                      <w:t>p.</w:t>
                    </w:r>
                  </w:p>
                </w:tc>
                <w:tc>
                  <w:tcPr>
                    <w:tcW w:w="4715" w:type="dxa"/>
                    <w:vMerge/>
                  </w:tcPr>
                  <w:p>
                    <w:pPr>
                      <w:rPr>
                        <w:szCs w:val="24"/>
                      </w:rPr>
                    </w:pPr>
                  </w:p>
                </w:tc>
                <w:tc>
                  <w:tcPr>
                    <w:tcW w:w="1134" w:type="dxa"/>
                    <w:vMerge/>
                  </w:tcPr>
                  <w:p>
                    <w:pPr>
                      <w:rPr>
                        <w:szCs w:val="24"/>
                      </w:rPr>
                    </w:pPr>
                  </w:p>
                </w:tc>
                <w:tc>
                  <w:tcPr>
                    <w:tcW w:w="4400" w:type="dxa"/>
                    <w:vMerge/>
                  </w:tcPr>
                  <w:p>
                    <w:pPr>
                      <w:rPr>
                        <w:szCs w:val="24"/>
                      </w:rPr>
                    </w:pPr>
                  </w:p>
                </w:tc>
              </w:tr>
              <w:tr>
                <w:trPr>
                  <w:jc w:val="center"/>
                </w:trPr>
                <w:tc>
                  <w:tcPr>
                    <w:tcW w:w="570" w:type="dxa"/>
                  </w:tcPr>
                  <w:p>
                    <w:pPr>
                      <w:jc w:val="center"/>
                      <w:rPr>
                        <w:bCs/>
                        <w:sz w:val="22"/>
                        <w:szCs w:val="22"/>
                      </w:rPr>
                    </w:pPr>
                    <w:r>
                      <w:rPr>
                        <w:bCs/>
                        <w:sz w:val="22"/>
                        <w:szCs w:val="22"/>
                      </w:rPr>
                      <w:t>1.</w:t>
                    </w:r>
                  </w:p>
                </w:tc>
                <w:tc>
                  <w:tcPr>
                    <w:tcW w:w="2297" w:type="dxa"/>
                  </w:tcPr>
                  <w:p>
                    <w:pPr>
                      <w:jc w:val="both"/>
                      <w:rPr>
                        <w:bCs/>
                        <w:sz w:val="22"/>
                        <w:szCs w:val="22"/>
                      </w:rPr>
                    </w:pPr>
                    <w:r>
                      <w:rPr>
                        <w:bCs/>
                        <w:sz w:val="22"/>
                        <w:szCs w:val="22"/>
                      </w:rPr>
                      <w:t>Seimo kanceliarijos Teisės departamentas, 2025-10-20</w:t>
                    </w:r>
                  </w:p>
                </w:tc>
                <w:tc>
                  <w:tcPr>
                    <w:tcW w:w="684" w:type="dxa"/>
                  </w:tcPr>
                  <w:p>
                    <w:pPr>
                      <w:jc w:val="center"/>
                      <w:rPr>
                        <w:b/>
                        <w:bCs/>
                        <w:sz w:val="22"/>
                        <w:szCs w:val="22"/>
                      </w:rPr>
                    </w:pPr>
                    <w:r>
                      <w:rPr>
                        <w:b/>
                        <w:bCs/>
                        <w:sz w:val="22"/>
                        <w:szCs w:val="22"/>
                      </w:rPr>
                      <w:t>1</w:t>
                    </w:r>
                  </w:p>
                  <w:p>
                    <w:pPr>
                      <w:jc w:val="center"/>
                      <w:rPr>
                        <w:b/>
                        <w:bCs/>
                        <w:sz w:val="22"/>
                        <w:szCs w:val="22"/>
                      </w:rPr>
                    </w:pPr>
                    <w:r>
                      <w:rPr>
                        <w:b/>
                        <w:bCs/>
                        <w:sz w:val="22"/>
                        <w:szCs w:val="22"/>
                      </w:rPr>
                      <w:t>(2)</w:t>
                    </w:r>
                  </w:p>
                </w:tc>
                <w:tc>
                  <w:tcPr>
                    <w:tcW w:w="684" w:type="dxa"/>
                  </w:tcPr>
                  <w:p>
                    <w:pPr>
                      <w:jc w:val="center"/>
                      <w:rPr>
                        <w:b/>
                        <w:bCs/>
                        <w:sz w:val="22"/>
                        <w:szCs w:val="22"/>
                      </w:rPr>
                    </w:pPr>
                  </w:p>
                </w:tc>
                <w:tc>
                  <w:tcPr>
                    <w:tcW w:w="684" w:type="dxa"/>
                  </w:tcPr>
                  <w:p>
                    <w:pPr>
                      <w:jc w:val="center"/>
                      <w:rPr>
                        <w:b/>
                        <w:bCs/>
                        <w:sz w:val="22"/>
                        <w:szCs w:val="22"/>
                      </w:rPr>
                    </w:pPr>
                  </w:p>
                </w:tc>
                <w:tc>
                  <w:tcPr>
                    <w:tcW w:w="4715" w:type="dxa"/>
                  </w:tcPr>
                  <w:p>
                    <w:pPr>
                      <w:ind w:firstLine="227"/>
                      <w:jc w:val="both"/>
                      <w:rPr>
                        <w:bCs/>
                        <w:sz w:val="22"/>
                        <w:szCs w:val="22"/>
                      </w:rPr>
                    </w:pPr>
                    <w:r>
                      <w:rPr>
                        <w:bCs/>
                        <w:sz w:val="22"/>
                        <w:szCs w:val="22"/>
                      </w:rPr>
                      <w:t>Įvertinę projekto atitiktį Konstitucijai, įstatymams, teisėkūros principams ir teisės technikos taisyklėms, teikiame šias pastabas.</w:t>
                    </w:r>
                  </w:p>
                  <w:p>
                    <w:pPr>
                      <w:ind w:firstLine="227"/>
                      <w:jc w:val="both"/>
                      <w:rPr>
                        <w:bCs/>
                        <w:sz w:val="22"/>
                        <w:szCs w:val="22"/>
                      </w:rPr>
                    </w:pPr>
                    <w:r>
                      <w:rPr>
                        <w:bCs/>
                        <w:sz w:val="22"/>
                        <w:szCs w:val="22"/>
                      </w:rPr>
                      <w:t>1. Atsižvelgiant į projekto 1 straipsniu keičiamo Biudžetinių įstaigų darbuotojų darbo apmokėjimo ir komisijų narių atlygio už darbą įstatymo (toliau – keičiamas įstatymas) 2 straipsnio pakeitimų apimtis, turėtų būti ne keičiamas ir nauja redakcija dėstomas visas 2 straipsnis, o tik šio straipsnio 3 ir 4 punktai.</w:t>
                    </w:r>
                  </w:p>
                </w:tc>
                <w:tc>
                  <w:tcPr>
                    <w:tcW w:w="1134" w:type="dxa"/>
                  </w:tcPr>
                  <w:p>
                    <w:pPr>
                      <w:jc w:val="center"/>
                      <w:rPr>
                        <w:bCs/>
                        <w:sz w:val="22"/>
                        <w:szCs w:val="22"/>
                      </w:rPr>
                    </w:pPr>
                    <w:r>
                      <w:rPr>
                        <w:bCs/>
                        <w:sz w:val="22"/>
                        <w:szCs w:val="22"/>
                      </w:rPr>
                      <w:t>Pritarti.</w:t>
                    </w:r>
                  </w:p>
                </w:tc>
                <w:tc>
                  <w:tcPr>
                    <w:tcW w:w="4400" w:type="dxa"/>
                  </w:tcPr>
                  <w:p>
                    <w:pPr>
                      <w:ind w:firstLine="227"/>
                      <w:jc w:val="both"/>
                      <w:rPr>
                        <w:bCs/>
                        <w:sz w:val="22"/>
                        <w:szCs w:val="22"/>
                      </w:rPr>
                    </w:pPr>
                    <w:r>
                      <w:rPr>
                        <w:bCs/>
                        <w:sz w:val="22"/>
                        <w:szCs w:val="22"/>
                      </w:rPr>
                      <w:t>Siūlome įstatymo projekto 1 straipsnį patikslinti ir išdėstyti taip:</w:t>
                    </w:r>
                  </w:p>
                  <w:p>
                    <w:pPr>
                      <w:ind w:firstLine="720"/>
                      <w:jc w:val="both"/>
                      <w:rPr>
                        <w:szCs w:val="24"/>
                      </w:rPr>
                    </w:pPr>
                    <w:r>
                      <w:rPr>
                        <w:szCs w:val="24"/>
                      </w:rPr>
                      <w:t xml:space="preserve">„1 straipsnis. 2 straipsnio pakeitimas </w:t>
                    </w:r>
                  </w:p>
                  <w:p>
                    <w:pPr>
                      <w:ind w:left="720" w:hanging="360"/>
                      <w:jc w:val="both"/>
                      <w:rPr>
                        <w:sz w:val="22"/>
                        <w:szCs w:val="22"/>
                      </w:rPr>
                    </w:pPr>
                    <w:r>
                      <w:rPr>
                        <w:b/>
                        <w:kern w:val="2"/>
                        <w:sz w:val="22"/>
                        <w:szCs w:val="22"/>
                        <w:lang w:eastAsia="lt-LT"/>
                        <w14:ligatures w14:val="standardContextual"/>
                      </w:rPr>
                      <w:t>1.</w:t>
                      <w:tab/>
                    </w:r>
                    <w:r>
                      <w:rPr>
                        <w:sz w:val="22"/>
                        <w:szCs w:val="22"/>
                      </w:rPr>
                      <w:t>Pakeisti 2 straipsn</w:t>
                    </w:r>
                    <w:r>
                      <w:rPr>
                        <w:strike/>
                        <w:sz w:val="22"/>
                        <w:szCs w:val="22"/>
                      </w:rPr>
                      <w:t>į</w:t>
                    </w:r>
                    <w:r>
                      <w:rPr>
                        <w:b/>
                        <w:sz w:val="22"/>
                        <w:szCs w:val="22"/>
                      </w:rPr>
                      <w:t>io</w:t>
                    </w:r>
                    <w:r>
                      <w:rPr>
                        <w:sz w:val="22"/>
                        <w:szCs w:val="22"/>
                      </w:rPr>
                      <w:t xml:space="preserve"> </w:t>
                    </w:r>
                    <w:r>
                      <w:rPr>
                        <w:b/>
                        <w:sz w:val="22"/>
                        <w:szCs w:val="22"/>
                      </w:rPr>
                      <w:t>3 punktą ir</w:t>
                    </w:r>
                    <w:r>
                      <w:rPr>
                        <w:sz w:val="22"/>
                        <w:szCs w:val="22"/>
                      </w:rPr>
                      <w:t xml:space="preserve"> jį išdėstyti taip:</w:t>
                    </w:r>
                  </w:p>
                  <w:p>
                    <w:pPr>
                      <w:ind w:firstLine="720"/>
                      <w:jc w:val="both"/>
                      <w:rPr>
                        <w:strike/>
                        <w:szCs w:val="24"/>
                      </w:rPr>
                    </w:pPr>
                    <w:r>
                      <w:rPr>
                        <w:strike/>
                        <w:szCs w:val="24"/>
                      </w:rPr>
                      <w:t>„</w:t>
                    </w:r>
                    <w:r>
                      <w:rPr>
                        <w:bCs/>
                        <w:strike/>
                        <w:szCs w:val="24"/>
                      </w:rPr>
                      <w:t>2 straipsnis. Pareigybių lygiai</w:t>
                    </w:r>
                  </w:p>
                  <w:p>
                    <w:pPr>
                      <w:ind w:firstLine="720"/>
                      <w:jc w:val="both"/>
                      <w:rPr>
                        <w:strike/>
                        <w:szCs w:val="24"/>
                      </w:rPr>
                    </w:pPr>
                    <w:r>
                      <w:rPr>
                        <w:strike/>
                        <w:szCs w:val="24"/>
                      </w:rPr>
                      <w:t>Biudžetinių įstaigų darbuotojų pareigybės yra keturių lygių:</w:t>
                    </w:r>
                  </w:p>
                  <w:p>
                    <w:pPr>
                      <w:ind w:firstLine="720"/>
                      <w:jc w:val="both"/>
                      <w:rPr>
                        <w:strike/>
                        <w:szCs w:val="24"/>
                      </w:rPr>
                    </w:pPr>
                    <w:r>
                      <w:rPr>
                        <w:strike/>
                        <w:szCs w:val="24"/>
                      </w:rPr>
                      <w:t>1) A lygio – pareigybės, kurioms būtinas ne žemesnis kaip aukštasis išsilavinimas:</w:t>
                    </w:r>
                  </w:p>
                  <w:p>
                    <w:pPr>
                      <w:ind w:firstLine="720"/>
                      <w:jc w:val="both"/>
                      <w:rPr>
                        <w:strike/>
                        <w:szCs w:val="24"/>
                      </w:rPr>
                    </w:pPr>
                    <w:r>
                      <w:rPr>
                        <w:strike/>
                        <w:szCs w:val="24"/>
                      </w:rPr>
                      <w:t>a) A1 lygio – pareigybės, kurioms būtinas ne žemesnis kaip aukštasis universitetinis išsilavinimas su magistro kvalifikaciniu laipsniu ar jam lygiaverte aukštojo mokslo kvalifikacija;</w:t>
                    </w:r>
                  </w:p>
                  <w:p>
                    <w:pPr>
                      <w:ind w:firstLine="720"/>
                      <w:jc w:val="both"/>
                      <w:rPr>
                        <w:szCs w:val="24"/>
                      </w:rPr>
                    </w:pPr>
                    <w:r>
                      <w:rPr>
                        <w:strike/>
                        <w:szCs w:val="24"/>
                      </w:rPr>
                      <w:t>b) A2 lygio – pareigybės, kurioms būtinas ne žemesnis kaip aukštasis universitetinis išsilavinimas su bakalauro kvalifikaciniu laipsniu ar jam lygiaverte aukštojo mokslo kvalifikacija arba aukštasis koleginis išsilavinimas su profesinio bakalauro kvalifikaciniu laipsniu ar jam lygiaverte aukštojo mokslo kvalifikacija;</w:t>
                    </w:r>
                  </w:p>
                  <w:p>
                    <w:pPr>
                      <w:ind w:firstLine="720"/>
                      <w:jc w:val="both"/>
                      <w:rPr>
                        <w:strike/>
                        <w:szCs w:val="24"/>
                      </w:rPr>
                    </w:pPr>
                    <w:r>
                      <w:rPr>
                        <w:strike/>
                        <w:szCs w:val="24"/>
                      </w:rPr>
                      <w:t>2) B lygio – pareigybės, kurioms būtinas ne žemesnis kaip aukštesnysis išsilavinimas, įgytas iki 2009 metų, ar specialusis vidurinis išsilavinimas, įgytas iki 1995 metų;</w:t>
                    </w:r>
                  </w:p>
                  <w:p>
                    <w:pPr>
                      <w:ind w:firstLine="720"/>
                      <w:jc w:val="both"/>
                      <w:rPr>
                        <w:sz w:val="22"/>
                        <w:szCs w:val="22"/>
                      </w:rPr>
                    </w:pPr>
                    <w:r>
                      <w:rPr>
                        <w:sz w:val="22"/>
                        <w:szCs w:val="22"/>
                      </w:rPr>
                      <w:t>„3) C lygio – pareigybės, kurioms būtinas ne žemesnis kaip vidurinis išsilavinimas ir (ar) įgyta kvalifikacija;“.</w:t>
                    </w:r>
                  </w:p>
                  <w:p>
                    <w:pPr>
                      <w:ind w:left="720" w:hanging="360"/>
                      <w:jc w:val="both"/>
                      <w:rPr>
                        <w:b/>
                        <w:sz w:val="22"/>
                        <w:szCs w:val="22"/>
                      </w:rPr>
                    </w:pPr>
                    <w:r>
                      <w:rPr>
                        <w:b/>
                        <w:kern w:val="2"/>
                        <w:sz w:val="22"/>
                        <w:szCs w:val="22"/>
                        <w:lang w:eastAsia="lt-LT"/>
                        <w14:ligatures w14:val="standardContextual"/>
                      </w:rPr>
                      <w:t>2.</w:t>
                      <w:tab/>
                    </w:r>
                    <w:r>
                      <w:rPr>
                        <w:b/>
                        <w:sz w:val="22"/>
                        <w:szCs w:val="22"/>
                      </w:rPr>
                      <w:t xml:space="preserve">Pakeisti 2 straipsnio </w:t>
                    </w:r>
                    <w:r>
                      <w:rPr>
                        <w:b/>
                        <w:sz w:val="22"/>
                        <w:szCs w:val="22"/>
                        <w:lang w:val="en-US"/>
                      </w:rPr>
                      <w:t xml:space="preserve">4 punktą ir jį </w:t>
                    </w:r>
                    <w:r>
                      <w:rPr>
                        <w:b/>
                        <w:sz w:val="22"/>
                        <w:szCs w:val="22"/>
                      </w:rPr>
                      <w:t xml:space="preserve"> išdėstyti taip:</w:t>
                    </w:r>
                  </w:p>
                  <w:p>
                    <w:pPr>
                      <w:ind w:firstLine="720"/>
                      <w:jc w:val="both"/>
                      <w:rPr>
                        <w:spacing w:val="2"/>
                        <w:szCs w:val="24"/>
                      </w:rPr>
                    </w:pPr>
                    <w:r>
                      <w:rPr>
                        <w:szCs w:val="24"/>
                      </w:rPr>
                      <w:t>„4) D lygio – pareigybės, kurioms netaikomi išsilavinimo ar kvalifikacijos reikalavimai.</w:t>
                    </w:r>
                    <w:r>
                      <w:rPr>
                        <w:spacing w:val="2"/>
                        <w:szCs w:val="24"/>
                      </w:rPr>
                      <w:t>“</w:t>
                    </w:r>
                  </w:p>
                </w:tc>
              </w:tr>
              <w:tr>
                <w:trPr>
                  <w:jc w:val="center"/>
                </w:trPr>
                <w:tc>
                  <w:tcPr>
                    <w:tcW w:w="570" w:type="dxa"/>
                  </w:tcPr>
                  <w:p>
                    <w:pPr>
                      <w:jc w:val="center"/>
                      <w:rPr>
                        <w:bCs/>
                        <w:sz w:val="22"/>
                        <w:szCs w:val="22"/>
                      </w:rPr>
                    </w:pPr>
                    <w:r>
                      <w:rPr>
                        <w:bCs/>
                        <w:sz w:val="22"/>
                        <w:szCs w:val="22"/>
                      </w:rPr>
                      <w:t>2.</w:t>
                    </w:r>
                  </w:p>
                </w:tc>
                <w:tc>
                  <w:tcPr>
                    <w:tcW w:w="2297" w:type="dxa"/>
                  </w:tcPr>
                  <w:p>
                    <w:pPr>
                      <w:jc w:val="both"/>
                      <w:rPr>
                        <w:bCs/>
                        <w:sz w:val="22"/>
                        <w:szCs w:val="22"/>
                      </w:rPr>
                    </w:pPr>
                    <w:r>
                      <w:rPr>
                        <w:bCs/>
                        <w:sz w:val="22"/>
                        <w:szCs w:val="22"/>
                      </w:rPr>
                      <w:t>Seimo kanceliarijos Teisės departamentas, 2025-10-20</w:t>
                    </w:r>
                  </w:p>
                </w:tc>
                <w:tc>
                  <w:tcPr>
                    <w:tcW w:w="684" w:type="dxa"/>
                  </w:tcPr>
                  <w:p>
                    <w:pPr>
                      <w:jc w:val="center"/>
                      <w:rPr>
                        <w:b/>
                        <w:bCs/>
                        <w:sz w:val="22"/>
                        <w:szCs w:val="22"/>
                      </w:rPr>
                    </w:pPr>
                    <w:r>
                      <w:rPr>
                        <w:b/>
                        <w:bCs/>
                        <w:sz w:val="22"/>
                        <w:szCs w:val="22"/>
                      </w:rPr>
                      <w:t>3</w:t>
                    </w:r>
                  </w:p>
                  <w:p>
                    <w:pPr>
                      <w:jc w:val="center"/>
                      <w:rPr>
                        <w:b/>
                        <w:bCs/>
                        <w:sz w:val="22"/>
                        <w:szCs w:val="22"/>
                      </w:rPr>
                    </w:pPr>
                    <w:r>
                      <w:rPr>
                        <w:b/>
                        <w:bCs/>
                        <w:sz w:val="22"/>
                        <w:szCs w:val="22"/>
                      </w:rPr>
                      <w:t>(6)</w:t>
                    </w:r>
                  </w:p>
                </w:tc>
                <w:tc>
                  <w:tcPr>
                    <w:tcW w:w="684" w:type="dxa"/>
                  </w:tcPr>
                  <w:p>
                    <w:pPr>
                      <w:jc w:val="center"/>
                      <w:rPr>
                        <w:b/>
                        <w:bCs/>
                        <w:sz w:val="22"/>
                        <w:szCs w:val="22"/>
                      </w:rPr>
                    </w:pPr>
                    <w:r>
                      <w:rPr>
                        <w:b/>
                        <w:bCs/>
                        <w:sz w:val="22"/>
                        <w:szCs w:val="22"/>
                      </w:rPr>
                      <w:t>1N</w:t>
                    </w:r>
                  </w:p>
                  <w:p>
                    <w:pPr>
                      <w:jc w:val="center"/>
                      <w:rPr>
                        <w:b/>
                        <w:bCs/>
                        <w:sz w:val="22"/>
                        <w:szCs w:val="22"/>
                      </w:rPr>
                    </w:pPr>
                    <w:r>
                      <w:rPr>
                        <w:b/>
                        <w:bCs/>
                        <w:sz w:val="22"/>
                        <w:szCs w:val="22"/>
                      </w:rPr>
                      <w:t>(2)</w:t>
                    </w:r>
                  </w:p>
                </w:tc>
                <w:tc>
                  <w:tcPr>
                    <w:tcW w:w="684" w:type="dxa"/>
                  </w:tcPr>
                  <w:p>
                    <w:pPr>
                      <w:jc w:val="center"/>
                      <w:rPr>
                        <w:b/>
                        <w:bCs/>
                        <w:sz w:val="22"/>
                        <w:szCs w:val="22"/>
                      </w:rPr>
                    </w:pPr>
                  </w:p>
                </w:tc>
                <w:tc>
                  <w:tcPr>
                    <w:tcW w:w="4715" w:type="dxa"/>
                  </w:tcPr>
                  <w:p>
                    <w:pPr>
                      <w:ind w:firstLine="227"/>
                      <w:jc w:val="both"/>
                      <w:rPr>
                        <w:bCs/>
                        <w:sz w:val="22"/>
                        <w:szCs w:val="22"/>
                      </w:rPr>
                    </w:pPr>
                    <w:r>
                      <w:rPr>
                        <w:bCs/>
                        <w:sz w:val="22"/>
                        <w:szCs w:val="22"/>
                      </w:rPr>
                      <w:t>2. Atsižvelgiant į tai, kad Seime yra registruotas Pareiginės algos (atlyginimo) bazinio dydžio nustatymo ir asignavimų darbo užmokesčiui perskaičiavimo įstatymo Nr. XIV-2011 pakeitimo įstatymo projektas (Reg. Nr. XVP-864), kuriuo įstatymas dėstomas nauja redakcija (keičiant ir įstatymo pavadinimą - į Pareiginės algos (atlyginimo) bazinio dydžio nustatymo įstatymą), projekto 2 straipsniu siūlytina pakeisti ir keičiamo įstatymo 6 straipsnio 2 dalį, tikslinant joje pateiktą nuorodą į aukščiau minėtą įstatymą.</w:t>
                    </w:r>
                  </w:p>
                </w:tc>
                <w:tc>
                  <w:tcPr>
                    <w:tcW w:w="1134" w:type="dxa"/>
                  </w:tcPr>
                  <w:p>
                    <w:pPr>
                      <w:jc w:val="center"/>
                      <w:rPr>
                        <w:bCs/>
                        <w:sz w:val="22"/>
                        <w:szCs w:val="22"/>
                      </w:rPr>
                    </w:pPr>
                    <w:r>
                      <w:rPr>
                        <w:bCs/>
                        <w:sz w:val="22"/>
                        <w:szCs w:val="22"/>
                      </w:rPr>
                      <w:t>Pritarti.</w:t>
                    </w:r>
                  </w:p>
                </w:tc>
                <w:tc>
                  <w:tcPr>
                    <w:tcW w:w="4400" w:type="dxa"/>
                  </w:tcPr>
                  <w:p>
                    <w:pPr>
                      <w:ind w:firstLine="227"/>
                      <w:jc w:val="both"/>
                      <w:rPr>
                        <w:bCs/>
                        <w:sz w:val="22"/>
                        <w:szCs w:val="22"/>
                      </w:rPr>
                    </w:pPr>
                    <w:r>
                      <w:rPr>
                        <w:bCs/>
                        <w:sz w:val="22"/>
                        <w:szCs w:val="22"/>
                      </w:rPr>
                      <w:t>Siūlome įstatymo projekto 3 straipsnį papildyti nauja 1 dalimi ir ją išdėstyti taip:</w:t>
                    </w:r>
                  </w:p>
                  <w:p>
                    <w:pPr>
                      <w:ind w:firstLine="227"/>
                      <w:jc w:val="both"/>
                      <w:rPr>
                        <w:bCs/>
                        <w:sz w:val="22"/>
                        <w:szCs w:val="22"/>
                      </w:rPr>
                    </w:pPr>
                    <w:r>
                      <w:rPr>
                        <w:bCs/>
                        <w:sz w:val="22"/>
                        <w:szCs w:val="22"/>
                      </w:rPr>
                      <w:t>„3 straipsnis. 6 straipsnio pakeitimas</w:t>
                    </w:r>
                  </w:p>
                  <w:p>
                    <w:pPr>
                      <w:ind w:left="587" w:hanging="360"/>
                      <w:jc w:val="both"/>
                      <w:rPr>
                        <w:b/>
                        <w:bCs/>
                        <w:sz w:val="22"/>
                        <w:szCs w:val="22"/>
                      </w:rPr>
                    </w:pPr>
                    <w:r>
                      <w:rPr>
                        <w:b/>
                        <w:bCs/>
                        <w:sz w:val="22"/>
                        <w:szCs w:val="22"/>
                      </w:rPr>
                      <w:t>1.</w:t>
                      <w:tab/>
                      <w:t>Pakeisti 6 straipsnio 2 dalį ir ją išdėstyti taip:</w:t>
                    </w:r>
                  </w:p>
                  <w:p>
                    <w:pPr>
                      <w:jc w:val="both"/>
                      <w:rPr>
                        <w:b/>
                        <w:bCs/>
                        <w:color w:val="000000"/>
                        <w:sz w:val="22"/>
                        <w:szCs w:val="22"/>
                      </w:rPr>
                    </w:pPr>
                    <w:r>
                      <w:rPr>
                        <w:b/>
                        <w:bCs/>
                        <w:sz w:val="22"/>
                        <w:szCs w:val="22"/>
                      </w:rPr>
                      <w:t>„</w:t>
                    </w:r>
                    <w:r>
                      <w:rPr>
                        <w:b/>
                        <w:bCs/>
                        <w:color w:val="000000"/>
                        <w:sz w:val="22"/>
                        <w:szCs w:val="22"/>
                      </w:rPr>
                      <w:t xml:space="preserve">2. Pareiginės algos koeficiento vienetas yra Lietuvos Respublikos pareiginės algos (atlyginimo) bazinio dydžio nustatymo </w:t>
                    </w:r>
                    <w:r>
                      <w:rPr>
                        <w:b/>
                        <w:bCs/>
                        <w:strike/>
                        <w:color w:val="000000"/>
                        <w:sz w:val="22"/>
                        <w:szCs w:val="22"/>
                      </w:rPr>
                      <w:t>ir asignavimų darbo užmokesčiui perskaičiavimo</w:t>
                    </w:r>
                    <w:r>
                      <w:rPr>
                        <w:b/>
                        <w:bCs/>
                        <w:color w:val="000000"/>
                        <w:sz w:val="22"/>
                        <w:szCs w:val="22"/>
                      </w:rPr>
                      <w:t xml:space="preserve"> įstatyme nustatytas pareiginės algos (atlyginimo) bazinis dydis. Pareiginė alga apskaičiuojama pareiginės algos koeficientą dauginant iš pareiginės algos (atlyginimo) bazinio dydžio.“</w:t>
                    </w:r>
                  </w:p>
                  <w:p>
                    <w:pPr>
                      <w:jc w:val="both"/>
                      <w:rPr>
                        <w:b/>
                        <w:bCs/>
                        <w:color w:val="000000"/>
                        <w:sz w:val="22"/>
                        <w:szCs w:val="22"/>
                      </w:rPr>
                    </w:pPr>
                  </w:p>
                  <w:p>
                    <w:pPr>
                      <w:jc w:val="both"/>
                      <w:rPr>
                        <w:bCs/>
                        <w:sz w:val="22"/>
                        <w:szCs w:val="22"/>
                      </w:rPr>
                    </w:pPr>
                    <w:r>
                      <w:rPr>
                        <w:bCs/>
                        <w:color w:val="000000"/>
                        <w:sz w:val="22"/>
                        <w:szCs w:val="22"/>
                      </w:rPr>
                      <w:t xml:space="preserve">Atitinkamai patikslinti kitų straipsnio dalių numeraciją ir </w:t>
                    </w:r>
                    <w:r>
                      <w:rPr>
                        <w:bCs/>
                        <w:color w:val="000000"/>
                        <w:sz w:val="22"/>
                        <w:szCs w:val="22"/>
                        <w:lang w:val="en-US"/>
                      </w:rPr>
                      <w:t>buvusias 1 - 4, laikyti 2-5</w:t>
                    </w:r>
                    <w:r>
                      <w:rPr>
                        <w:bCs/>
                        <w:color w:val="000000"/>
                        <w:sz w:val="22"/>
                        <w:szCs w:val="22"/>
                      </w:rPr>
                      <w:t xml:space="preserve"> dalimis.</w:t>
                    </w:r>
                  </w:p>
                </w:tc>
              </w:tr>
              <w:tr>
                <w:trPr>
                  <w:jc w:val="center"/>
                </w:trPr>
                <w:tc>
                  <w:tcPr>
                    <w:tcW w:w="570" w:type="dxa"/>
                  </w:tcPr>
                  <w:p>
                    <w:pPr>
                      <w:jc w:val="center"/>
                      <w:rPr>
                        <w:bCs/>
                        <w:sz w:val="22"/>
                        <w:szCs w:val="22"/>
                      </w:rPr>
                    </w:pPr>
                    <w:r>
                      <w:rPr>
                        <w:bCs/>
                        <w:sz w:val="22"/>
                        <w:szCs w:val="22"/>
                      </w:rPr>
                      <w:t>3.</w:t>
                    </w:r>
                  </w:p>
                </w:tc>
                <w:tc>
                  <w:tcPr>
                    <w:tcW w:w="2297" w:type="dxa"/>
                  </w:tcPr>
                  <w:p>
                    <w:pPr>
                      <w:jc w:val="both"/>
                      <w:rPr>
                        <w:bCs/>
                        <w:sz w:val="22"/>
                        <w:szCs w:val="22"/>
                      </w:rPr>
                    </w:pPr>
                    <w:r>
                      <w:rPr>
                        <w:bCs/>
                        <w:sz w:val="22"/>
                        <w:szCs w:val="22"/>
                      </w:rPr>
                      <w:t>Seimo kanceliarijos Teisės departamentas, 2025-10-20</w:t>
                    </w:r>
                  </w:p>
                </w:tc>
                <w:tc>
                  <w:tcPr>
                    <w:tcW w:w="684" w:type="dxa"/>
                  </w:tcPr>
                  <w:p>
                    <w:pPr>
                      <w:jc w:val="center"/>
                      <w:rPr>
                        <w:b/>
                        <w:bCs/>
                        <w:sz w:val="22"/>
                        <w:szCs w:val="22"/>
                      </w:rPr>
                    </w:pPr>
                    <w:r>
                      <w:rPr>
                        <w:b/>
                        <w:bCs/>
                        <w:sz w:val="22"/>
                        <w:szCs w:val="22"/>
                      </w:rPr>
                      <w:t>3</w:t>
                    </w:r>
                  </w:p>
                  <w:p>
                    <w:pPr>
                      <w:jc w:val="center"/>
                      <w:rPr>
                        <w:b/>
                        <w:bCs/>
                        <w:sz w:val="22"/>
                        <w:szCs w:val="22"/>
                      </w:rPr>
                    </w:pPr>
                    <w:r>
                      <w:rPr>
                        <w:b/>
                        <w:bCs/>
                        <w:sz w:val="22"/>
                        <w:szCs w:val="22"/>
                      </w:rPr>
                      <w:t>(6)</w:t>
                    </w:r>
                  </w:p>
                </w:tc>
                <w:tc>
                  <w:tcPr>
                    <w:tcW w:w="684" w:type="dxa"/>
                  </w:tcPr>
                  <w:p>
                    <w:pPr>
                      <w:jc w:val="center"/>
                      <w:rPr>
                        <w:b/>
                        <w:bCs/>
                        <w:sz w:val="22"/>
                        <w:szCs w:val="22"/>
                      </w:rPr>
                    </w:pPr>
                    <w:r>
                      <w:rPr>
                        <w:b/>
                        <w:bCs/>
                        <w:sz w:val="22"/>
                        <w:szCs w:val="22"/>
                      </w:rPr>
                      <w:t>1</w:t>
                    </w:r>
                  </w:p>
                  <w:p>
                    <w:pPr>
                      <w:jc w:val="center"/>
                      <w:rPr>
                        <w:b/>
                        <w:bCs/>
                        <w:sz w:val="22"/>
                        <w:szCs w:val="22"/>
                      </w:rPr>
                    </w:pPr>
                    <w:r>
                      <w:rPr>
                        <w:b/>
                        <w:bCs/>
                        <w:sz w:val="22"/>
                        <w:szCs w:val="22"/>
                      </w:rPr>
                      <w:t>(4)</w:t>
                    </w:r>
                  </w:p>
                </w:tc>
                <w:tc>
                  <w:tcPr>
                    <w:tcW w:w="684" w:type="dxa"/>
                  </w:tcPr>
                  <w:p>
                    <w:pPr>
                      <w:jc w:val="center"/>
                      <w:rPr>
                        <w:b/>
                        <w:bCs/>
                        <w:sz w:val="22"/>
                        <w:szCs w:val="22"/>
                      </w:rPr>
                    </w:pPr>
                  </w:p>
                </w:tc>
                <w:tc>
                  <w:tcPr>
                    <w:tcW w:w="4715" w:type="dxa"/>
                  </w:tcPr>
                  <w:p>
                    <w:pPr>
                      <w:ind w:firstLine="227"/>
                      <w:jc w:val="both"/>
                      <w:rPr>
                        <w:bCs/>
                        <w:sz w:val="22"/>
                        <w:szCs w:val="22"/>
                      </w:rPr>
                    </w:pPr>
                    <w:r>
                      <w:rPr>
                        <w:bCs/>
                        <w:color w:val="000000"/>
                        <w:sz w:val="22"/>
                        <w:szCs w:val="22"/>
                      </w:rPr>
                      <w:t>3.</w:t>
                    </w:r>
                    <w:r>
                      <w:rPr>
                        <w:bCs/>
                        <w:color w:val="000000"/>
                        <w:sz w:val="14"/>
                        <w:szCs w:val="14"/>
                      </w:rPr>
                      <w:t xml:space="preserve">  </w:t>
                    </w:r>
                    <w:r>
                      <w:rPr>
                        <w:bCs/>
                        <w:color w:val="000000"/>
                        <w:sz w:val="22"/>
                        <w:szCs w:val="22"/>
                      </w:rPr>
                      <w:t>Projekto 3 straipsnio 1 dalimi siūlomas keičiamo įstatymo 6 straipsnio 4 dalies pakeitimas yra nelogiškas ir klaidinantis, nes siūloma straipsnio redakcija implikuoja, kad ir žemesnio lygmens nei A1 pareigybei pagal pareigybės aprašymą priskirtoms funkcijoms atlikti gali būti reikalaujama magistro kvalifikacinio laipsnio, nors keičiamo įstatymo 2 straipsnio 1 punkte imperatyviai nurodyta, kad toks aukštojo išsilavinimo laipsnis gali būti reikalaujamas tik A1 pareigybėms. Galima preziumuoti, kad siūlomu pakeitimu siekiama nustatyti, kad tuo atveju, kai įstaigoje nėra to paties lygmens (pakopos) kitų pareigybių, su kuriomis galėtų būti lyginamos A1 lygio pareigybės (kurioms reikia magistro kvalifikacinio laipsnio), A1 pareigybių pareiginės algos koeficientai darbo apmokėjimo sistemoje nustatyta tvarka didinami 20 procentų, palyginti su žemesnio lygmens (pakopos) pareigybėmis. Atsižvelgus į tai, siūlomą formuluotę reikėtų atitinkamai ir patikslinti.</w:t>
                    </w:r>
                  </w:p>
                </w:tc>
                <w:tc>
                  <w:tcPr>
                    <w:tcW w:w="1134" w:type="dxa"/>
                  </w:tcPr>
                  <w:p>
                    <w:pPr>
                      <w:jc w:val="center"/>
                      <w:rPr>
                        <w:bCs/>
                        <w:sz w:val="22"/>
                        <w:szCs w:val="22"/>
                      </w:rPr>
                    </w:pPr>
                    <w:r>
                      <w:rPr>
                        <w:bCs/>
                        <w:sz w:val="22"/>
                        <w:szCs w:val="22"/>
                      </w:rPr>
                      <w:t>Pritarti</w:t>
                    </w:r>
                    <w:r>
                      <w:rPr>
                        <w:b/>
                        <w:bCs/>
                        <w:sz w:val="22"/>
                        <w:szCs w:val="22"/>
                      </w:rPr>
                      <w:t>.</w:t>
                    </w:r>
                  </w:p>
                </w:tc>
                <w:tc>
                  <w:tcPr>
                    <w:tcW w:w="4400" w:type="dxa"/>
                    <w:shd w:val="clear" w:color="auto" w:fill="auto"/>
                  </w:tcPr>
                  <w:p>
                    <w:pPr>
                      <w:jc w:val="both"/>
                      <w:rPr>
                        <w:szCs w:val="24"/>
                      </w:rPr>
                    </w:pPr>
                    <w:r>
                      <w:rPr>
                        <w:szCs w:val="24"/>
                      </w:rPr>
                      <w:t>Siūlome įstatymo projekto 3 straipsnio 1 dalį patikslinti, ją laikyti 3 straipsnio 2 dalimi ir išdėstyti taip:</w:t>
                    </w:r>
                  </w:p>
                  <w:p>
                    <w:pPr>
                      <w:ind w:firstLine="709"/>
                      <w:jc w:val="both"/>
                      <w:rPr>
                        <w:szCs w:val="24"/>
                        <w:lang w:eastAsia="lt-LT"/>
                      </w:rPr>
                    </w:pPr>
                    <w:r>
                      <w:rPr>
                        <w:strike/>
                        <w:color w:val="000000"/>
                        <w:szCs w:val="24"/>
                        <w:lang w:eastAsia="lt-LT"/>
                      </w:rPr>
                      <w:t>1</w:t>
                    </w:r>
                    <w:r>
                      <w:rPr>
                        <w:color w:val="000000"/>
                        <w:szCs w:val="24"/>
                        <w:lang w:eastAsia="lt-LT"/>
                      </w:rPr>
                      <w:t>.</w:t>
                    </w:r>
                    <w:r>
                      <w:rPr>
                        <w:b/>
                        <w:color w:val="000000"/>
                        <w:szCs w:val="24"/>
                        <w:lang w:eastAsia="lt-LT"/>
                      </w:rPr>
                      <w:t>2</w:t>
                    </w:r>
                    <w:r>
                      <w:rPr>
                        <w:color w:val="000000"/>
                        <w:szCs w:val="24"/>
                        <w:lang w:eastAsia="lt-LT"/>
                      </w:rPr>
                      <w:t>. Pakeisti 6 straipsnio 4 dalį ir ją išdėstyti taip:</w:t>
                    </w:r>
                  </w:p>
                  <w:p>
                    <w:pPr>
                      <w:ind w:firstLine="709"/>
                      <w:jc w:val="both"/>
                      <w:rPr>
                        <w:szCs w:val="24"/>
                        <w:lang w:eastAsia="lt-LT"/>
                      </w:rPr>
                    </w:pPr>
                    <w:r>
                      <w:rPr>
                        <w:color w:val="000000"/>
                        <w:szCs w:val="24"/>
                        <w:lang w:eastAsia="lt-LT"/>
                      </w:rPr>
                      <w:t xml:space="preserve">„4. A1 lygio pareigybių pareiginės algos koeficientai darbo apmokėjimo sistemoje </w:t>
                    </w:r>
                    <w:r>
                      <w:rPr>
                        <w:bCs/>
                        <w:color w:val="000000"/>
                        <w:szCs w:val="24"/>
                        <w:lang w:eastAsia="lt-LT"/>
                      </w:rPr>
                      <w:t xml:space="preserve">nustatyta tvarka </w:t>
                    </w:r>
                    <w:r>
                      <w:rPr>
                        <w:color w:val="000000"/>
                        <w:szCs w:val="24"/>
                        <w:lang w:eastAsia="lt-LT"/>
                      </w:rPr>
                      <w:t xml:space="preserve">didinami 20 procentų, palyginti su to paties </w:t>
                    </w:r>
                    <w:r>
                      <w:rPr>
                        <w:b/>
                        <w:bCs/>
                        <w:strike/>
                        <w:color w:val="000000"/>
                        <w:szCs w:val="24"/>
                        <w:lang w:eastAsia="lt-LT"/>
                      </w:rPr>
                      <w:t>ar žemesnio</w:t>
                    </w:r>
                    <w:r>
                      <w:rPr>
                        <w:color w:val="000000"/>
                        <w:szCs w:val="24"/>
                        <w:lang w:eastAsia="lt-LT"/>
                      </w:rPr>
                      <w:t> lygmens (pakopos) pareigybėmis, kurių pagal pareigybės aprašymą priskirtoms funkcijoms atlikti magistro kvalifikacinio laipsnio nereikalaujama (išskyrus biudžetinių įstaigų vadovus</w:t>
                    </w:r>
                    <w:r>
                      <w:rPr>
                        <w:b/>
                        <w:bCs/>
                        <w:color w:val="000000"/>
                        <w:szCs w:val="24"/>
                        <w:lang w:eastAsia="lt-LT"/>
                      </w:rPr>
                      <w:t>). Jeigu įstaigoje nėra kitų to paties lygmens (pakopos) pareigybių, su kuriomis galėtų būti lyginamos A1 lygio pareigybės, A1 lygio pareigybių pareiginės algos koeficientai darbo apmokėjimo sistemoje nustatyta tvarka didinami 20 procentų, palyginti su žemesnio lygmens (pakopos) pareigybėmis.</w:t>
                    </w:r>
                    <w:r>
                      <w:rPr>
                        <w:color w:val="000000"/>
                        <w:szCs w:val="24"/>
                        <w:lang w:eastAsia="lt-LT"/>
                      </w:rPr>
                      <w:t>“</w:t>
                    </w:r>
                  </w:p>
                  <w:p>
                    <w:pPr>
                      <w:jc w:val="both"/>
                      <w:rPr>
                        <w:szCs w:val="24"/>
                      </w:rPr>
                    </w:pPr>
                  </w:p>
                </w:tc>
              </w:tr>
              <w:tr>
                <w:trPr>
                  <w:jc w:val="center"/>
                </w:trPr>
                <w:tc>
                  <w:tcPr>
                    <w:tcW w:w="570" w:type="dxa"/>
                  </w:tcPr>
                  <w:p>
                    <w:pPr>
                      <w:jc w:val="center"/>
                      <w:rPr>
                        <w:bCs/>
                        <w:sz w:val="22"/>
                        <w:szCs w:val="22"/>
                      </w:rPr>
                    </w:pPr>
                    <w:r>
                      <w:rPr>
                        <w:bCs/>
                        <w:sz w:val="22"/>
                        <w:szCs w:val="22"/>
                      </w:rPr>
                      <w:t>4.</w:t>
                    </w:r>
                  </w:p>
                </w:tc>
                <w:tc>
                  <w:tcPr>
                    <w:tcW w:w="2297" w:type="dxa"/>
                  </w:tcPr>
                  <w:p>
                    <w:pPr>
                      <w:jc w:val="both"/>
                      <w:rPr>
                        <w:bCs/>
                        <w:sz w:val="22"/>
                        <w:szCs w:val="22"/>
                      </w:rPr>
                    </w:pPr>
                    <w:r>
                      <w:rPr>
                        <w:bCs/>
                        <w:sz w:val="22"/>
                        <w:szCs w:val="22"/>
                      </w:rPr>
                      <w:t>Seimo kanceliarijos Teisės departamentas, 2025-10-20</w:t>
                    </w:r>
                  </w:p>
                </w:tc>
                <w:tc>
                  <w:tcPr>
                    <w:tcW w:w="684" w:type="dxa"/>
                  </w:tcPr>
                  <w:p>
                    <w:pPr>
                      <w:jc w:val="center"/>
                      <w:rPr>
                        <w:b/>
                        <w:bCs/>
                        <w:sz w:val="22"/>
                        <w:szCs w:val="22"/>
                      </w:rPr>
                    </w:pPr>
                    <w:r>
                      <w:rPr>
                        <w:b/>
                        <w:bCs/>
                        <w:sz w:val="22"/>
                        <w:szCs w:val="22"/>
                      </w:rPr>
                      <w:t>3</w:t>
                    </w:r>
                  </w:p>
                  <w:p>
                    <w:pPr>
                      <w:jc w:val="center"/>
                      <w:rPr>
                        <w:b/>
                        <w:bCs/>
                        <w:sz w:val="22"/>
                        <w:szCs w:val="22"/>
                      </w:rPr>
                    </w:pPr>
                    <w:r>
                      <w:rPr>
                        <w:b/>
                        <w:bCs/>
                        <w:sz w:val="22"/>
                        <w:szCs w:val="22"/>
                      </w:rPr>
                      <w:t>(6)</w:t>
                    </w:r>
                  </w:p>
                </w:tc>
                <w:tc>
                  <w:tcPr>
                    <w:tcW w:w="684" w:type="dxa"/>
                  </w:tcPr>
                  <w:p>
                    <w:pPr>
                      <w:jc w:val="center"/>
                      <w:rPr>
                        <w:b/>
                        <w:bCs/>
                        <w:sz w:val="22"/>
                        <w:szCs w:val="22"/>
                      </w:rPr>
                    </w:pPr>
                    <w:r>
                      <w:rPr>
                        <w:b/>
                        <w:bCs/>
                        <w:sz w:val="22"/>
                        <w:szCs w:val="22"/>
                      </w:rPr>
                      <w:t>2</w:t>
                    </w:r>
                  </w:p>
                  <w:p>
                    <w:pPr>
                      <w:jc w:val="center"/>
                      <w:rPr>
                        <w:b/>
                        <w:bCs/>
                        <w:sz w:val="22"/>
                        <w:szCs w:val="22"/>
                      </w:rPr>
                    </w:pPr>
                    <w:r>
                      <w:rPr>
                        <w:b/>
                        <w:bCs/>
                        <w:sz w:val="22"/>
                        <w:szCs w:val="22"/>
                      </w:rPr>
                      <w:t>(5)</w:t>
                    </w:r>
                  </w:p>
                </w:tc>
                <w:tc>
                  <w:tcPr>
                    <w:tcW w:w="684" w:type="dxa"/>
                  </w:tcPr>
                  <w:p>
                    <w:pPr>
                      <w:jc w:val="center"/>
                      <w:rPr>
                        <w:b/>
                        <w:bCs/>
                        <w:sz w:val="22"/>
                        <w:szCs w:val="22"/>
                      </w:rPr>
                    </w:pPr>
                  </w:p>
                </w:tc>
                <w:tc>
                  <w:tcPr>
                    <w:tcW w:w="4715" w:type="dxa"/>
                  </w:tcPr>
                  <w:p>
                    <w:pPr>
                      <w:ind w:firstLine="227"/>
                      <w:jc w:val="both"/>
                      <w:rPr>
                        <w:bCs/>
                        <w:sz w:val="22"/>
                        <w:szCs w:val="22"/>
                      </w:rPr>
                    </w:pPr>
                    <w:r>
                      <w:rPr>
                        <w:bCs/>
                        <w:color w:val="000000"/>
                        <w:sz w:val="22"/>
                        <w:szCs w:val="22"/>
                      </w:rPr>
                      <w:t>4.</w:t>
                    </w:r>
                    <w:r>
                      <w:rPr>
                        <w:bCs/>
                        <w:color w:val="000000"/>
                        <w:sz w:val="14"/>
                        <w:szCs w:val="14"/>
                      </w:rPr>
                      <w:t xml:space="preserve">  </w:t>
                    </w:r>
                    <w:r>
                      <w:rPr>
                        <w:bCs/>
                        <w:color w:val="000000"/>
                        <w:sz w:val="22"/>
                        <w:szCs w:val="22"/>
                      </w:rPr>
                      <w:t>Atsižvelgiant į tai, kad keičiamo įstatymo 1 priede nurodyti darbuotojų, o ne socialinių paslaugų srities darbuotojų minimalūs pareiginės algos koeficientai, ir į tai, kad įstatymo straipsnių dalys turi būti sunumeruotos, siūlytina projekto 3 straipsnio 1 dalimi keičiamo įstatymo 6 straipsnio 5 dalį išdėstyti taip:</w:t>
                    </w:r>
                    <w:r>
                      <w:rPr>
                        <w:b/>
                        <w:color w:val="000000"/>
                        <w:sz w:val="22"/>
                        <w:szCs w:val="22"/>
                      </w:rPr>
                      <w:t> </w:t>
                    </w:r>
                    <w:r>
                      <w:rPr>
                        <w:bCs/>
                        <w:color w:val="000000"/>
                        <w:sz w:val="22"/>
                        <w:szCs w:val="22"/>
                      </w:rPr>
                      <w:t>„5. Įstatymo 1 priede nustatyti minimalūs pareiginės algos koeficientai socialinių paslaugų srities darbuotojams didinami 21 procentu, treneriams – 5 procentais.“</w:t>
                    </w:r>
                  </w:p>
                </w:tc>
                <w:tc>
                  <w:tcPr>
                    <w:tcW w:w="1134" w:type="dxa"/>
                  </w:tcPr>
                  <w:p>
                    <w:pPr>
                      <w:jc w:val="center"/>
                      <w:rPr>
                        <w:bCs/>
                        <w:sz w:val="22"/>
                        <w:szCs w:val="22"/>
                      </w:rPr>
                    </w:pPr>
                    <w:r>
                      <w:rPr>
                        <w:bCs/>
                        <w:sz w:val="22"/>
                        <w:szCs w:val="22"/>
                      </w:rPr>
                      <w:t>Pritarti.</w:t>
                    </w:r>
                  </w:p>
                </w:tc>
                <w:tc>
                  <w:tcPr>
                    <w:tcW w:w="4400" w:type="dxa"/>
                  </w:tcPr>
                  <w:p>
                    <w:pPr>
                      <w:ind w:firstLine="227"/>
                      <w:jc w:val="both"/>
                      <w:rPr>
                        <w:bCs/>
                        <w:sz w:val="22"/>
                        <w:szCs w:val="22"/>
                      </w:rPr>
                    </w:pPr>
                    <w:r>
                      <w:rPr>
                        <w:bCs/>
                        <w:sz w:val="22"/>
                        <w:szCs w:val="22"/>
                      </w:rPr>
                      <w:t>Siūlome patikslinti 3 straipsnio 2 dalį, ją laikyti 3 dalimi ir išdėstyti taip:</w:t>
                    </w:r>
                  </w:p>
                  <w:p>
                    <w:pPr>
                      <w:ind w:firstLine="709"/>
                      <w:jc w:val="both"/>
                      <w:rPr>
                        <w:szCs w:val="24"/>
                      </w:rPr>
                    </w:pPr>
                    <w:r>
                      <w:rPr>
                        <w:szCs w:val="24"/>
                      </w:rPr>
                      <w:t>„</w:t>
                    </w:r>
                  </w:p>
                  <w:p>
                    <w:pPr>
                      <w:ind w:firstLine="709"/>
                      <w:jc w:val="both"/>
                      <w:rPr>
                        <w:bCs/>
                        <w:szCs w:val="24"/>
                      </w:rPr>
                    </w:pPr>
                    <w:r>
                      <w:rPr>
                        <w:bCs/>
                        <w:strike/>
                        <w:szCs w:val="24"/>
                      </w:rPr>
                      <w:t>2</w:t>
                    </w:r>
                    <w:r>
                      <w:rPr>
                        <w:bCs/>
                        <w:szCs w:val="24"/>
                      </w:rPr>
                      <w:t>.</w:t>
                    </w:r>
                    <w:r>
                      <w:rPr>
                        <w:b/>
                        <w:bCs/>
                        <w:szCs w:val="24"/>
                      </w:rPr>
                      <w:t>3.</w:t>
                    </w:r>
                    <w:r>
                      <w:rPr>
                        <w:bCs/>
                        <w:szCs w:val="24"/>
                      </w:rPr>
                      <w:t xml:space="preserve">  Pakeisti 6 straipsnio 5 dalį ir ją išdėstyti taip:</w:t>
                    </w:r>
                  </w:p>
                  <w:p>
                    <w:pPr>
                      <w:ind w:firstLine="709"/>
                      <w:jc w:val="both"/>
                      <w:rPr>
                        <w:szCs w:val="24"/>
                      </w:rPr>
                    </w:pPr>
                    <w:r>
                      <w:rPr>
                        <w:bCs/>
                        <w:szCs w:val="24"/>
                      </w:rPr>
                      <w:t xml:space="preserve">„5. Šio įstatymo 1 priede nustatyti minimalūs </w:t>
                    </w:r>
                    <w:r>
                      <w:rPr>
                        <w:b/>
                        <w:bCs/>
                        <w:szCs w:val="24"/>
                      </w:rPr>
                      <w:t>pareiginės algos</w:t>
                    </w:r>
                    <w:r>
                      <w:rPr>
                        <w:bCs/>
                        <w:szCs w:val="24"/>
                      </w:rPr>
                      <w:t xml:space="preserve"> </w:t>
                    </w:r>
                    <w:r>
                      <w:rPr>
                        <w:b/>
                        <w:bCs/>
                        <w:szCs w:val="24"/>
                      </w:rPr>
                      <w:t>koeficientai</w:t>
                    </w:r>
                    <w:r>
                      <w:rPr>
                        <w:bCs/>
                        <w:szCs w:val="24"/>
                      </w:rPr>
                      <w:t xml:space="preserve"> socialinių paslaugų srities darbuotoj</w:t>
                    </w:r>
                    <w:r>
                      <w:rPr>
                        <w:bCs/>
                        <w:strike/>
                        <w:szCs w:val="24"/>
                      </w:rPr>
                      <w:t>ų</w:t>
                    </w:r>
                    <w:r>
                      <w:rPr>
                        <w:b/>
                        <w:bCs/>
                        <w:szCs w:val="24"/>
                      </w:rPr>
                      <w:t>ams</w:t>
                    </w:r>
                    <w:r>
                      <w:rPr>
                        <w:bCs/>
                        <w:szCs w:val="24"/>
                      </w:rPr>
                      <w:t xml:space="preserve">  </w:t>
                    </w:r>
                    <w:r>
                      <w:rPr>
                        <w:bCs/>
                        <w:strike/>
                        <w:szCs w:val="24"/>
                      </w:rPr>
                      <w:t>pareiginės algos koeficientai</w:t>
                    </w:r>
                    <w:r>
                      <w:rPr>
                        <w:bCs/>
                        <w:szCs w:val="24"/>
                      </w:rPr>
                      <w:t xml:space="preserve"> didinami 21 procentu, trener</w:t>
                    </w:r>
                    <w:r>
                      <w:rPr>
                        <w:bCs/>
                        <w:strike/>
                        <w:szCs w:val="24"/>
                      </w:rPr>
                      <w:t xml:space="preserve">ių </w:t>
                    </w:r>
                    <w:r>
                      <w:rPr>
                        <w:b/>
                        <w:bCs/>
                        <w:szCs w:val="24"/>
                      </w:rPr>
                      <w:t>iams</w:t>
                    </w:r>
                    <w:r>
                      <w:rPr>
                        <w:bCs/>
                        <w:szCs w:val="24"/>
                      </w:rPr>
                      <w:t xml:space="preserve"> – 5 procentais.“</w:t>
                    </w:r>
                  </w:p>
                  <w:p>
                    <w:pPr>
                      <w:ind w:firstLine="227"/>
                      <w:jc w:val="both"/>
                      <w:rPr>
                        <w:bCs/>
                        <w:sz w:val="22"/>
                        <w:szCs w:val="22"/>
                      </w:rPr>
                    </w:pPr>
                  </w:p>
                </w:tc>
              </w:tr>
              <w:tr>
                <w:trPr>
                  <w:jc w:val="center"/>
                </w:trPr>
                <w:tc>
                  <w:tcPr>
                    <w:tcW w:w="570" w:type="dxa"/>
                  </w:tcPr>
                  <w:p>
                    <w:pPr>
                      <w:jc w:val="center"/>
                      <w:rPr>
                        <w:bCs/>
                        <w:sz w:val="22"/>
                        <w:szCs w:val="22"/>
                      </w:rPr>
                    </w:pPr>
                    <w:r>
                      <w:rPr>
                        <w:bCs/>
                        <w:sz w:val="22"/>
                        <w:szCs w:val="22"/>
                      </w:rPr>
                      <w:t>5.</w:t>
                    </w:r>
                  </w:p>
                </w:tc>
                <w:tc>
                  <w:tcPr>
                    <w:tcW w:w="2297" w:type="dxa"/>
                  </w:tcPr>
                  <w:p>
                    <w:pPr>
                      <w:jc w:val="both"/>
                      <w:rPr>
                        <w:bCs/>
                        <w:sz w:val="22"/>
                        <w:szCs w:val="22"/>
                      </w:rPr>
                    </w:pPr>
                    <w:r>
                      <w:rPr>
                        <w:bCs/>
                        <w:sz w:val="22"/>
                        <w:szCs w:val="22"/>
                      </w:rPr>
                      <w:t>Seimo kanceliarijos Teisės departamentas, 2025-10-20</w:t>
                    </w:r>
                  </w:p>
                </w:tc>
                <w:tc>
                  <w:tcPr>
                    <w:tcW w:w="684" w:type="dxa"/>
                  </w:tcPr>
                  <w:p>
                    <w:pPr>
                      <w:jc w:val="center"/>
                      <w:rPr>
                        <w:b/>
                        <w:bCs/>
                        <w:sz w:val="22"/>
                        <w:szCs w:val="22"/>
                      </w:rPr>
                    </w:pPr>
                    <w:r>
                      <w:rPr>
                        <w:b/>
                        <w:bCs/>
                        <w:sz w:val="22"/>
                        <w:szCs w:val="22"/>
                      </w:rPr>
                      <w:t>3</w:t>
                    </w:r>
                  </w:p>
                  <w:p>
                    <w:pPr>
                      <w:jc w:val="center"/>
                      <w:rPr>
                        <w:b/>
                        <w:bCs/>
                        <w:sz w:val="22"/>
                        <w:szCs w:val="22"/>
                      </w:rPr>
                    </w:pPr>
                    <w:r>
                      <w:rPr>
                        <w:b/>
                        <w:bCs/>
                        <w:sz w:val="22"/>
                        <w:szCs w:val="22"/>
                      </w:rPr>
                      <w:t>(6)</w:t>
                    </w:r>
                  </w:p>
                </w:tc>
                <w:tc>
                  <w:tcPr>
                    <w:tcW w:w="684" w:type="dxa"/>
                  </w:tcPr>
                  <w:p>
                    <w:pPr>
                      <w:jc w:val="center"/>
                      <w:rPr>
                        <w:b/>
                        <w:bCs/>
                        <w:sz w:val="22"/>
                        <w:szCs w:val="22"/>
                      </w:rPr>
                    </w:pPr>
                    <w:r>
                      <w:rPr>
                        <w:b/>
                        <w:bCs/>
                        <w:sz w:val="22"/>
                        <w:szCs w:val="22"/>
                      </w:rPr>
                      <w:t>4</w:t>
                    </w:r>
                  </w:p>
                  <w:p>
                    <w:pPr>
                      <w:jc w:val="center"/>
                      <w:rPr>
                        <w:b/>
                        <w:bCs/>
                        <w:sz w:val="22"/>
                        <w:szCs w:val="22"/>
                      </w:rPr>
                    </w:pPr>
                    <w:r>
                      <w:rPr>
                        <w:b/>
                        <w:bCs/>
                        <w:sz w:val="22"/>
                        <w:szCs w:val="22"/>
                      </w:rPr>
                      <w:t>(9)</w:t>
                    </w:r>
                  </w:p>
                </w:tc>
                <w:tc>
                  <w:tcPr>
                    <w:tcW w:w="684" w:type="dxa"/>
                  </w:tcPr>
                  <w:p>
                    <w:pPr>
                      <w:jc w:val="center"/>
                      <w:rPr>
                        <w:b/>
                        <w:bCs/>
                        <w:sz w:val="22"/>
                        <w:szCs w:val="22"/>
                      </w:rPr>
                    </w:pPr>
                  </w:p>
                </w:tc>
                <w:tc>
                  <w:tcPr>
                    <w:tcW w:w="4715" w:type="dxa"/>
                  </w:tcPr>
                  <w:p>
                    <w:pPr>
                      <w:ind w:firstLine="227"/>
                      <w:jc w:val="both"/>
                      <w:rPr>
                        <w:bCs/>
                        <w:sz w:val="22"/>
                        <w:szCs w:val="22"/>
                      </w:rPr>
                    </w:pPr>
                    <w:r>
                      <w:rPr>
                        <w:bCs/>
                        <w:color w:val="000000"/>
                        <w:sz w:val="22"/>
                        <w:szCs w:val="22"/>
                      </w:rPr>
                      <w:t>5.</w:t>
                    </w:r>
                    <w:r>
                      <w:rPr>
                        <w:bCs/>
                        <w:color w:val="000000"/>
                        <w:sz w:val="14"/>
                        <w:szCs w:val="14"/>
                      </w:rPr>
                      <w:t> </w:t>
                    </w:r>
                    <w:r>
                      <w:rPr>
                        <w:bCs/>
                        <w:color w:val="000000"/>
                        <w:sz w:val="22"/>
                        <w:szCs w:val="22"/>
                      </w:rPr>
                      <w:t xml:space="preserve"> Svarstytina, ar projekto 3 straipsnio 4 dalimi pildomoje keičiamo įstatymo 6 straipsnio 9 dalyje neturėtų būti nustatyta tikslesnė ir aiškesnio turinio nuostata, nustatanti, kad tuo atveju, kai pasibaigus švietimo įstaigos vadovo pirmajai kadencijai, jis be konkurso skiriamas antrajai kadencijai toje pačioje švietimo įstaigoje, jam ir toliau taikomas iki skyrimo antrajai kadencijai nustatytas pareiginės algos koeficientas.</w:t>
                    </w:r>
                  </w:p>
                </w:tc>
                <w:tc>
                  <w:tcPr>
                    <w:tcW w:w="1134" w:type="dxa"/>
                  </w:tcPr>
                  <w:p>
                    <w:pPr>
                      <w:jc w:val="center"/>
                      <w:rPr>
                        <w:bCs/>
                        <w:sz w:val="22"/>
                        <w:szCs w:val="22"/>
                      </w:rPr>
                    </w:pPr>
                    <w:r>
                      <w:rPr>
                        <w:bCs/>
                        <w:sz w:val="22"/>
                        <w:szCs w:val="22"/>
                      </w:rPr>
                      <w:t>Nepritarti</w:t>
                    </w:r>
                  </w:p>
                  <w:p>
                    <w:pPr>
                      <w:jc w:val="center"/>
                      <w:rPr>
                        <w:bCs/>
                        <w:sz w:val="22"/>
                        <w:szCs w:val="22"/>
                      </w:rPr>
                    </w:pPr>
                  </w:p>
                </w:tc>
                <w:tc>
                  <w:tcPr>
                    <w:tcW w:w="4400" w:type="dxa"/>
                  </w:tcPr>
                  <w:p>
                    <w:pPr>
                      <w:jc w:val="both"/>
                      <w:rPr>
                        <w:bCs/>
                        <w:sz w:val="22"/>
                        <w:szCs w:val="22"/>
                      </w:rPr>
                    </w:pPr>
                    <w:r>
                      <w:rPr>
                        <w:sz w:val="22"/>
                        <w:szCs w:val="22"/>
                      </w:rPr>
                      <w:t>P</w:t>
                    </w:r>
                    <w:r>
                      <w:rPr>
                        <w:bCs/>
                        <w:sz w:val="22"/>
                        <w:szCs w:val="22"/>
                      </w:rPr>
                      <w:t>agal Įstatymo projekte siūlomą Įstatymo 6 straipsnio 9 dalį tuo atveju, kai pasibaigus švietimo įstaigos vadovo pirmajai kadencijai, jis be konkurso skiriamas antrajai kadencijai toje pačioje švietimo įstaigoje, jam ir toliau taikomas ne visas iki skyrimo antrajai kadencijai nustatytas pareiginės algos koeficientas, bet tik jo dalis – pareiginės algos koeficiento padidinimas, susijęs su jo veiklos vertinimu, jei toks padidinimas buvo skirtas, vadovaujantis Įstatymo 9 straipsnio 9 dalies 1 punktu. Atkreiptinas dėmesys, kad bendras pareiginės algos koeficientas gaunamas sudėjus pareiginės algos koeficientą, nustatytą pagal Įstatymo 2 priedą, ir jo padidinimus, susijusius su veiklos vertinimu. Koeficientas, nustatytas pagal Įstatymo 2 priedą, gali pasikeisti dėl vadovo pedagoginio darbo stažo pasikeitimo, mokinių skaičiaus mokykloje, veiklos sudėtingumo ar kitų 2 priede nustatytų kriterijų (gali didėti arba mažėti), todėl galutinis pareiginės algos koeficientas gali būti ne būtinai toks pats, kaip buvo iki skyrimo antrajai kadencijai.</w:t>
                    </w:r>
                  </w:p>
                </w:tc>
              </w:tr>
              <w:tr>
                <w:trPr>
                  <w:jc w:val="center"/>
                </w:trPr>
                <w:tc>
                  <w:tcPr>
                    <w:tcW w:w="570" w:type="dxa"/>
                  </w:tcPr>
                  <w:p>
                    <w:pPr>
                      <w:jc w:val="center"/>
                      <w:rPr>
                        <w:bCs/>
                        <w:sz w:val="22"/>
                        <w:szCs w:val="22"/>
                      </w:rPr>
                    </w:pPr>
                    <w:r>
                      <w:rPr>
                        <w:bCs/>
                        <w:sz w:val="22"/>
                        <w:szCs w:val="22"/>
                      </w:rPr>
                      <w:t>6.</w:t>
                    </w:r>
                  </w:p>
                </w:tc>
                <w:tc>
                  <w:tcPr>
                    <w:tcW w:w="2297" w:type="dxa"/>
                  </w:tcPr>
                  <w:p>
                    <w:pPr>
                      <w:jc w:val="both"/>
                      <w:rPr>
                        <w:bCs/>
                        <w:sz w:val="22"/>
                        <w:szCs w:val="22"/>
                      </w:rPr>
                    </w:pPr>
                    <w:r>
                      <w:rPr>
                        <w:bCs/>
                        <w:sz w:val="22"/>
                        <w:szCs w:val="22"/>
                      </w:rPr>
                      <w:t>Seimo kanceliarijos Teisės departamentas, 2025-10-20</w:t>
                    </w:r>
                  </w:p>
                </w:tc>
                <w:tc>
                  <w:tcPr>
                    <w:tcW w:w="684" w:type="dxa"/>
                  </w:tcPr>
                  <w:p>
                    <w:pPr>
                      <w:jc w:val="center"/>
                      <w:rPr>
                        <w:b/>
                        <w:bCs/>
                        <w:sz w:val="22"/>
                        <w:szCs w:val="22"/>
                      </w:rPr>
                    </w:pPr>
                    <w:r>
                      <w:rPr>
                        <w:b/>
                        <w:bCs/>
                        <w:sz w:val="22"/>
                        <w:szCs w:val="22"/>
                      </w:rPr>
                      <w:t>8</w:t>
                    </w:r>
                  </w:p>
                </w:tc>
                <w:tc>
                  <w:tcPr>
                    <w:tcW w:w="684" w:type="dxa"/>
                  </w:tcPr>
                  <w:p>
                    <w:pPr>
                      <w:jc w:val="center"/>
                      <w:rPr>
                        <w:b/>
                        <w:bCs/>
                        <w:sz w:val="22"/>
                        <w:szCs w:val="22"/>
                      </w:rPr>
                    </w:pPr>
                    <w:r>
                      <w:rPr>
                        <w:b/>
                        <w:bCs/>
                        <w:sz w:val="22"/>
                        <w:szCs w:val="22"/>
                      </w:rPr>
                      <w:t>2</w:t>
                    </w:r>
                  </w:p>
                </w:tc>
                <w:tc>
                  <w:tcPr>
                    <w:tcW w:w="684" w:type="dxa"/>
                  </w:tcPr>
                  <w:p>
                    <w:pPr>
                      <w:jc w:val="center"/>
                      <w:rPr>
                        <w:b/>
                        <w:bCs/>
                        <w:sz w:val="22"/>
                        <w:szCs w:val="22"/>
                      </w:rPr>
                    </w:pPr>
                  </w:p>
                </w:tc>
                <w:tc>
                  <w:tcPr>
                    <w:tcW w:w="4715" w:type="dxa"/>
                  </w:tcPr>
                  <w:p>
                    <w:pPr>
                      <w:ind w:firstLine="227"/>
                      <w:jc w:val="both"/>
                      <w:rPr>
                        <w:bCs/>
                        <w:sz w:val="22"/>
                        <w:szCs w:val="22"/>
                      </w:rPr>
                    </w:pPr>
                    <w:r>
                      <w:rPr>
                        <w:bCs/>
                        <w:color w:val="000000"/>
                        <w:sz w:val="22"/>
                        <w:szCs w:val="22"/>
                      </w:rPr>
                      <w:t>6.</w:t>
                    </w:r>
                    <w:r>
                      <w:rPr>
                        <w:bCs/>
                        <w:color w:val="000000"/>
                        <w:sz w:val="14"/>
                        <w:szCs w:val="14"/>
                      </w:rPr>
                      <w:t> </w:t>
                    </w:r>
                    <w:r>
                      <w:rPr>
                        <w:bCs/>
                        <w:color w:val="000000"/>
                        <w:sz w:val="22"/>
                        <w:szCs w:val="22"/>
                      </w:rPr>
                      <w:t xml:space="preserve"> Siekiant teisinio aiškumo, projekto 8 straipsnio 2 dalyje vietoj žodžio „nuo“ įrašytinas žodis „po“.</w:t>
                    </w:r>
                  </w:p>
                </w:tc>
                <w:tc>
                  <w:tcPr>
                    <w:tcW w:w="1134" w:type="dxa"/>
                  </w:tcPr>
                  <w:p>
                    <w:pPr>
                      <w:jc w:val="center"/>
                      <w:rPr>
                        <w:bCs/>
                        <w:sz w:val="22"/>
                        <w:szCs w:val="22"/>
                      </w:rPr>
                    </w:pPr>
                    <w:r>
                      <w:rPr>
                        <w:bCs/>
                        <w:sz w:val="22"/>
                        <w:szCs w:val="22"/>
                      </w:rPr>
                      <w:t>Pritarti.</w:t>
                    </w:r>
                  </w:p>
                </w:tc>
                <w:tc>
                  <w:tcPr>
                    <w:tcW w:w="4400" w:type="dxa"/>
                  </w:tcPr>
                  <w:p>
                    <w:pPr>
                      <w:ind w:firstLine="227"/>
                      <w:jc w:val="both"/>
                      <w:rPr>
                        <w:bCs/>
                        <w:sz w:val="22"/>
                        <w:szCs w:val="22"/>
                      </w:rPr>
                    </w:pPr>
                    <w:r>
                      <w:rPr>
                        <w:bCs/>
                        <w:sz w:val="22"/>
                        <w:szCs w:val="22"/>
                      </w:rPr>
                      <w:t>Siūlome patikslinti 8 straipsnio 2 dalį ir ją išdėstyti taip:</w:t>
                    </w:r>
                  </w:p>
                  <w:p>
                    <w:pPr>
                      <w:ind w:firstLine="720"/>
                      <w:jc w:val="both"/>
                      <w:rPr>
                        <w:szCs w:val="24"/>
                      </w:rPr>
                    </w:pPr>
                    <w:r>
                      <w:rPr>
                        <w:szCs w:val="24"/>
                      </w:rPr>
                      <w:t>„</w:t>
                    </w:r>
                    <w:r>
                      <w:rPr>
                        <w:color w:val="000000"/>
                        <w:szCs w:val="24"/>
                        <w:lang w:eastAsia="lt-LT"/>
                      </w:rPr>
                      <w:t xml:space="preserve">2. Šio įstatymo 5 straipsnyje išdėstytos Lietuvos Respublikos biudžetinių įstaigų darbuotojų darbo apmokėjimo ir komisijų narių atlygio už darbą įstatymo 9 straipsnio nuostatos taikomos </w:t>
                    </w:r>
                    <w:r>
                      <w:rPr>
                        <w:b/>
                        <w:color w:val="000000"/>
                        <w:szCs w:val="24"/>
                        <w:lang w:eastAsia="lt-LT"/>
                      </w:rPr>
                      <w:t>atliekant</w:t>
                    </w:r>
                    <w:r>
                      <w:rPr>
                        <w:color w:val="000000"/>
                        <w:szCs w:val="24"/>
                        <w:lang w:eastAsia="lt-LT"/>
                      </w:rPr>
                      <w:t xml:space="preserve"> biudžetinių įstaigų darbuotojų veiklos vertinima</w:t>
                    </w:r>
                    <w:r>
                      <w:rPr>
                        <w:strike/>
                        <w:color w:val="000000"/>
                        <w:szCs w:val="24"/>
                        <w:lang w:eastAsia="lt-LT"/>
                      </w:rPr>
                      <w:t>ms</w:t>
                    </w:r>
                    <w:r>
                      <w:rPr>
                        <w:b/>
                        <w:color w:val="000000"/>
                        <w:szCs w:val="24"/>
                        <w:lang w:eastAsia="lt-LT"/>
                      </w:rPr>
                      <w:t>ą</w:t>
                    </w:r>
                    <w:r>
                      <w:rPr>
                        <w:strike/>
                        <w:color w:val="000000"/>
                        <w:szCs w:val="24"/>
                        <w:lang w:eastAsia="lt-LT"/>
                      </w:rPr>
                      <w:t>, kurie bus atliekami</w:t>
                    </w:r>
                    <w:r>
                      <w:rPr>
                        <w:color w:val="000000"/>
                        <w:szCs w:val="24"/>
                        <w:lang w:eastAsia="lt-LT"/>
                      </w:rPr>
                      <w:t xml:space="preserve"> </w:t>
                    </w:r>
                    <w:r>
                      <w:rPr>
                        <w:strike/>
                        <w:color w:val="000000"/>
                        <w:szCs w:val="24"/>
                        <w:lang w:eastAsia="lt-LT"/>
                      </w:rPr>
                      <w:t>nuo</w:t>
                    </w:r>
                    <w:r>
                      <w:rPr>
                        <w:color w:val="000000"/>
                        <w:szCs w:val="24"/>
                        <w:lang w:eastAsia="lt-LT"/>
                      </w:rPr>
                      <w:t xml:space="preserve"> </w:t>
                    </w:r>
                    <w:r>
                      <w:rPr>
                        <w:b/>
                        <w:color w:val="000000"/>
                        <w:szCs w:val="24"/>
                        <w:lang w:eastAsia="lt-LT"/>
                      </w:rPr>
                      <w:t>po</w:t>
                    </w:r>
                    <w:r>
                      <w:rPr>
                        <w:color w:val="000000"/>
                        <w:szCs w:val="24"/>
                        <w:lang w:eastAsia="lt-LT"/>
                      </w:rPr>
                      <w:t xml:space="preserve"> 2026 m. sausio 1 d.“.</w:t>
                    </w:r>
                  </w:p>
                  <w:p>
                    <w:pPr>
                      <w:ind w:firstLine="227"/>
                      <w:jc w:val="both"/>
                      <w:rPr>
                        <w:bCs/>
                        <w:sz w:val="22"/>
                        <w:szCs w:val="22"/>
                      </w:rPr>
                    </w:pPr>
                  </w:p>
                </w:tc>
              </w:tr>
            </w:tbl>
            <w:p>
              <w:pPr>
                <w:jc w:val="both"/>
                <w:rPr>
                  <w:sz w:val="20"/>
                  <w:szCs w:val="24"/>
                  <w:lang w:val="en-US"/>
                </w:rPr>
              </w:pPr>
            </w:p>
          </w:sdtContent>
        </w:sdt>
        <w:sdt>
          <w:sdtPr>
            <w:alias w:val="3 p."/>
            <w:tag w:val="part_25559fc9d6f949ff865d6e07c3f173d2"/>
            <w:lock w:val="sdtLocked"/>
            <w:richText/>
          </w:sdtPr>
          <w:sdtContent>
            <w:p>
              <w:pPr>
                <w:keepNext/>
                <w:ind w:firstLine="720"/>
                <w:jc w:val="both"/>
                <w:outlineLvl w:val="5"/>
                <w:rPr>
                  <w:b/>
                  <w:bCs/>
                  <w:szCs w:val="24"/>
                </w:rPr>
              </w:pPr>
              <w:sdt>
                <w:sdtPr>
                  <w:alias w:val="Numeris"/>
                  <w:tag w:val="nr_25559fc9d6f949ff865d6e07c3f173d2"/>
                  <w:lock w:val="sdtLocked"/>
                  <w:richText/>
                </w:sdtPr>
                <w:sdtContent>
                  <w:r>
                    <w:rPr>
                      <w:b/>
                      <w:bCs/>
                      <w:szCs w:val="24"/>
                    </w:rPr>
                    <w:t>3</w:t>
                  </w:r>
                </w:sdtContent>
              </w:sdt>
              <w:r>
                <w:rPr>
                  <w:b/>
                  <w:bCs/>
                  <w:szCs w:val="24"/>
                </w:rPr>
                <w:t xml:space="preserve">. Piliečių, asociacijų, politinių partijų, lobistų ir kitų suinteresuotų asmenų pasiūlymai: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1552"/>
                <w:gridCol w:w="708"/>
                <w:gridCol w:w="851"/>
                <w:gridCol w:w="425"/>
                <w:gridCol w:w="7938"/>
                <w:gridCol w:w="1276"/>
                <w:gridCol w:w="1848"/>
              </w:tblGrid>
              <w:tr>
                <w:trPr>
                  <w:trHeight w:val="472"/>
                  <w:tblHeader/>
                  <w:jc w:val="center"/>
                </w:trPr>
                <w:tc>
                  <w:tcPr>
                    <w:tcW w:w="57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1552" w:type="dxa"/>
                    <w:vMerge w:val="restart"/>
                    <w:vAlign w:val="center"/>
                  </w:tcPr>
                  <w:p>
                    <w:pPr>
                      <w:jc w:val="center"/>
                      <w:rPr>
                        <w:sz w:val="22"/>
                        <w:szCs w:val="22"/>
                      </w:rPr>
                    </w:pPr>
                    <w:r>
                      <w:rPr>
                        <w:sz w:val="22"/>
                        <w:szCs w:val="22"/>
                      </w:rPr>
                      <w:t>Pasiūlymo teikėjas, data</w:t>
                    </w:r>
                  </w:p>
                </w:tc>
                <w:tc>
                  <w:tcPr>
                    <w:tcW w:w="1984" w:type="dxa"/>
                    <w:gridSpan w:val="3"/>
                    <w:vAlign w:val="center"/>
                  </w:tcPr>
                  <w:p>
                    <w:pPr>
                      <w:jc w:val="center"/>
                      <w:rPr>
                        <w:sz w:val="22"/>
                        <w:szCs w:val="22"/>
                      </w:rPr>
                    </w:pPr>
                    <w:r>
                      <w:rPr>
                        <w:sz w:val="22"/>
                        <w:szCs w:val="22"/>
                      </w:rPr>
                      <w:t>Siūloma keisti</w:t>
                    </w:r>
                  </w:p>
                </w:tc>
                <w:tc>
                  <w:tcPr>
                    <w:tcW w:w="7938" w:type="dxa"/>
                    <w:vMerge w:val="restart"/>
                    <w:vAlign w:val="center"/>
                  </w:tcPr>
                  <w:p>
                    <w:pPr>
                      <w:jc w:val="center"/>
                      <w:rPr>
                        <w:sz w:val="22"/>
                        <w:szCs w:val="22"/>
                      </w:rPr>
                    </w:pPr>
                  </w:p>
                  <w:p>
                    <w:pPr>
                      <w:jc w:val="center"/>
                      <w:rPr>
                        <w:sz w:val="22"/>
                        <w:szCs w:val="22"/>
                      </w:rPr>
                    </w:pPr>
                    <w:r>
                      <w:rPr>
                        <w:sz w:val="22"/>
                        <w:szCs w:val="22"/>
                      </w:rPr>
                      <w:t>Pasiūlymo turinys</w:t>
                    </w:r>
                  </w:p>
                  <w:p>
                    <w:pPr>
                      <w:jc w:val="center"/>
                      <w:rPr>
                        <w:sz w:val="22"/>
                        <w:szCs w:val="22"/>
                      </w:rPr>
                    </w:pPr>
                  </w:p>
                </w:tc>
                <w:tc>
                  <w:tcPr>
                    <w:tcW w:w="1276" w:type="dxa"/>
                    <w:vMerge w:val="restart"/>
                    <w:vAlign w:val="center"/>
                  </w:tcPr>
                  <w:p>
                    <w:pPr>
                      <w:jc w:val="center"/>
                      <w:rPr>
                        <w:sz w:val="22"/>
                        <w:szCs w:val="22"/>
                      </w:rPr>
                    </w:pPr>
                    <w:r>
                      <w:rPr>
                        <w:sz w:val="22"/>
                        <w:szCs w:val="22"/>
                      </w:rPr>
                      <w:t>Komiteto nuomonė</w:t>
                    </w:r>
                  </w:p>
                </w:tc>
                <w:tc>
                  <w:tcPr>
                    <w:tcW w:w="1848"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379"/>
                  <w:tblHeader/>
                  <w:jc w:val="center"/>
                </w:trPr>
                <w:tc>
                  <w:tcPr>
                    <w:tcW w:w="570" w:type="dxa"/>
                    <w:vMerge/>
                  </w:tcPr>
                  <w:p>
                    <w:pPr>
                      <w:rPr>
                        <w:szCs w:val="24"/>
                      </w:rPr>
                    </w:pPr>
                  </w:p>
                </w:tc>
                <w:tc>
                  <w:tcPr>
                    <w:tcW w:w="1552" w:type="dxa"/>
                    <w:vMerge/>
                  </w:tcPr>
                  <w:p>
                    <w:pPr>
                      <w:rPr>
                        <w:szCs w:val="24"/>
                      </w:rPr>
                    </w:pPr>
                  </w:p>
                </w:tc>
                <w:tc>
                  <w:tcPr>
                    <w:tcW w:w="708" w:type="dxa"/>
                    <w:vAlign w:val="center"/>
                  </w:tcPr>
                  <w:p>
                    <w:pPr>
                      <w:jc w:val="center"/>
                      <w:rPr>
                        <w:sz w:val="20"/>
                        <w:szCs w:val="24"/>
                      </w:rPr>
                    </w:pPr>
                    <w:r>
                      <w:rPr>
                        <w:sz w:val="20"/>
                        <w:szCs w:val="24"/>
                      </w:rPr>
                      <w:t>str.</w:t>
                    </w:r>
                  </w:p>
                </w:tc>
                <w:tc>
                  <w:tcPr>
                    <w:tcW w:w="851" w:type="dxa"/>
                    <w:vAlign w:val="center"/>
                  </w:tcPr>
                  <w:p>
                    <w:pPr>
                      <w:jc w:val="center"/>
                      <w:rPr>
                        <w:sz w:val="20"/>
                        <w:szCs w:val="24"/>
                      </w:rPr>
                    </w:pPr>
                    <w:r>
                      <w:rPr>
                        <w:sz w:val="20"/>
                        <w:szCs w:val="24"/>
                      </w:rPr>
                      <w:t>str. d.</w:t>
                    </w:r>
                  </w:p>
                </w:tc>
                <w:tc>
                  <w:tcPr>
                    <w:tcW w:w="425" w:type="dxa"/>
                    <w:vAlign w:val="center"/>
                  </w:tcPr>
                  <w:p>
                    <w:pPr>
                      <w:jc w:val="center"/>
                      <w:rPr>
                        <w:sz w:val="20"/>
                        <w:szCs w:val="24"/>
                      </w:rPr>
                    </w:pPr>
                    <w:r>
                      <w:rPr>
                        <w:sz w:val="20"/>
                        <w:szCs w:val="24"/>
                      </w:rPr>
                      <w:t>p.</w:t>
                    </w:r>
                  </w:p>
                </w:tc>
                <w:tc>
                  <w:tcPr>
                    <w:tcW w:w="7938" w:type="dxa"/>
                    <w:vMerge/>
                  </w:tcPr>
                  <w:p>
                    <w:pPr>
                      <w:rPr>
                        <w:szCs w:val="24"/>
                      </w:rPr>
                    </w:pPr>
                  </w:p>
                </w:tc>
                <w:tc>
                  <w:tcPr>
                    <w:tcW w:w="1276" w:type="dxa"/>
                    <w:vMerge/>
                  </w:tcPr>
                  <w:p>
                    <w:pPr>
                      <w:rPr>
                        <w:szCs w:val="24"/>
                      </w:rPr>
                    </w:pPr>
                  </w:p>
                </w:tc>
                <w:tc>
                  <w:tcPr>
                    <w:tcW w:w="1848" w:type="dxa"/>
                    <w:vMerge/>
                  </w:tcPr>
                  <w:p>
                    <w:pPr>
                      <w:rPr>
                        <w:szCs w:val="24"/>
                      </w:rPr>
                    </w:pPr>
                  </w:p>
                </w:tc>
              </w:tr>
              <w:tr>
                <w:trPr>
                  <w:jc w:val="center"/>
                </w:trPr>
                <w:tc>
                  <w:tcPr>
                    <w:tcW w:w="570" w:type="dxa"/>
                  </w:tcPr>
                  <w:p>
                    <w:pPr>
                      <w:jc w:val="center"/>
                      <w:rPr>
                        <w:bCs/>
                        <w:sz w:val="22"/>
                        <w:szCs w:val="22"/>
                      </w:rPr>
                    </w:pPr>
                    <w:r>
                      <w:rPr>
                        <w:bCs/>
                        <w:sz w:val="22"/>
                        <w:szCs w:val="22"/>
                      </w:rPr>
                      <w:t>1.</w:t>
                    </w:r>
                  </w:p>
                </w:tc>
                <w:tc>
                  <w:tcPr>
                    <w:tcW w:w="1552" w:type="dxa"/>
                  </w:tcPr>
                  <w:p>
                    <w:pPr>
                      <w:jc w:val="both"/>
                      <w:rPr>
                        <w:bCs/>
                        <w:sz w:val="22"/>
                        <w:szCs w:val="22"/>
                      </w:rPr>
                    </w:pPr>
                    <w:r>
                      <w:rPr>
                        <w:bCs/>
                        <w:sz w:val="22"/>
                        <w:szCs w:val="22"/>
                      </w:rPr>
                      <w:t>Pilietis D.R.</w:t>
                    </w:r>
                  </w:p>
                  <w:p>
                    <w:pPr>
                      <w:jc w:val="both"/>
                      <w:rPr>
                        <w:bCs/>
                        <w:sz w:val="22"/>
                        <w:szCs w:val="22"/>
                      </w:rPr>
                    </w:pPr>
                    <w:r>
                      <w:rPr>
                        <w:bCs/>
                        <w:sz w:val="22"/>
                        <w:szCs w:val="22"/>
                      </w:rPr>
                      <w:t>2025-11-04</w:t>
                    </w:r>
                  </w:p>
                </w:tc>
                <w:tc>
                  <w:tcPr>
                    <w:tcW w:w="708" w:type="dxa"/>
                  </w:tcPr>
                  <w:p>
                    <w:pPr>
                      <w:jc w:val="center"/>
                      <w:rPr>
                        <w:b/>
                        <w:bCs/>
                        <w:sz w:val="22"/>
                        <w:szCs w:val="22"/>
                      </w:rPr>
                    </w:pPr>
                  </w:p>
                </w:tc>
                <w:tc>
                  <w:tcPr>
                    <w:tcW w:w="851" w:type="dxa"/>
                  </w:tcPr>
                  <w:p>
                    <w:pPr>
                      <w:jc w:val="center"/>
                      <w:rPr>
                        <w:b/>
                        <w:bCs/>
                        <w:sz w:val="22"/>
                        <w:szCs w:val="22"/>
                      </w:rPr>
                    </w:pPr>
                  </w:p>
                </w:tc>
                <w:tc>
                  <w:tcPr>
                    <w:tcW w:w="425" w:type="dxa"/>
                  </w:tcPr>
                  <w:p>
                    <w:pPr>
                      <w:jc w:val="center"/>
                      <w:rPr>
                        <w:b/>
                        <w:bCs/>
                        <w:sz w:val="22"/>
                        <w:szCs w:val="22"/>
                      </w:rPr>
                    </w:pPr>
                  </w:p>
                </w:tc>
                <w:tc>
                  <w:tcPr>
                    <w:tcW w:w="7938" w:type="dxa"/>
                  </w:tcPr>
                  <w:p>
                    <w:pPr>
                      <w:jc w:val="both"/>
                      <w:rPr>
                        <w:sz w:val="22"/>
                        <w:szCs w:val="22"/>
                      </w:rPr>
                    </w:pPr>
                    <w:r>
                      <w:rPr>
                        <w:sz w:val="22"/>
                        <w:szCs w:val="22"/>
                      </w:rPr>
                      <w:t>Įvertinus projekto turinį bei Teisės departamento išvadą, pateikiu šiuos konkrečius siūlymus dėl teisės technikos tikslinimo, redakcinių neatitikimų ir praktinio įgyvendinimo aspektų:</w:t>
                    </w:r>
                  </w:p>
                  <w:p>
                    <w:pPr>
                      <w:ind w:left="720" w:hanging="360"/>
                      <w:jc w:val="both"/>
                      <w:rPr>
                        <w:sz w:val="22"/>
                        <w:szCs w:val="22"/>
                      </w:rPr>
                    </w:pPr>
                    <w:r>
                      <w:rPr>
                        <w:kern w:val="2"/>
                        <w:sz w:val="22"/>
                        <w:szCs w:val="22"/>
                        <w:lang w:eastAsia="lt-LT"/>
                        <w14:ligatures w14:val="standardContextual"/>
                      </w:rPr>
                      <w:t>1.</w:t>
                      <w:tab/>
                    </w:r>
                    <w:r>
                      <w:rPr>
                        <w:sz w:val="22"/>
                        <w:szCs w:val="22"/>
                      </w:rPr>
                      <w:t>Dėl 2 straipsnio</w:t>
                    </w:r>
                  </w:p>
                  <w:p>
                    <w:pPr>
                      <w:jc w:val="both"/>
                      <w:rPr>
                        <w:sz w:val="22"/>
                        <w:szCs w:val="22"/>
                      </w:rPr>
                    </w:pPr>
                    <w:r>
                      <w:rPr>
                        <w:sz w:val="22"/>
                        <w:szCs w:val="22"/>
                      </w:rPr>
                      <w:t>Projekto 1 straipsniu siūloma nauja 2 straipsnio redakcija, nors faktiškai keičiami tik 3 ir 4 punktai.</w:t>
                    </w:r>
                  </w:p>
                  <w:p>
                    <w:pPr>
                      <w:jc w:val="both"/>
                      <w:rPr>
                        <w:sz w:val="22"/>
                        <w:szCs w:val="22"/>
                      </w:rPr>
                    </w:pPr>
                    <w:r>
                      <w:rPr>
                        <w:sz w:val="22"/>
                        <w:szCs w:val="22"/>
                      </w:rPr>
                      <w:t>Tokia formuluotė klaidina taikant teisės normą ir gali būti laikoma pertekliniu reguliavimu.</w:t>
                    </w:r>
                  </w:p>
                  <w:p>
                    <w:pPr>
                      <w:jc w:val="both"/>
                      <w:rPr>
                        <w:sz w:val="22"/>
                        <w:szCs w:val="22"/>
                      </w:rPr>
                    </w:pPr>
                    <w:r>
                      <w:rPr>
                        <w:sz w:val="22"/>
                        <w:szCs w:val="22"/>
                      </w:rPr>
                      <w:t>Siūlymas: keisti tik 3 ir 4 punktus, o ne visą straipsnį.</w:t>
                    </w:r>
                  </w:p>
                  <w:p>
                    <w:pPr>
                      <w:ind w:left="720" w:hanging="360"/>
                      <w:jc w:val="both"/>
                      <w:rPr>
                        <w:sz w:val="22"/>
                        <w:szCs w:val="22"/>
                      </w:rPr>
                    </w:pPr>
                    <w:r>
                      <w:rPr>
                        <w:kern w:val="2"/>
                        <w:sz w:val="22"/>
                        <w:szCs w:val="22"/>
                        <w:lang w:eastAsia="lt-LT"/>
                        <w14:ligatures w14:val="standardContextual"/>
                      </w:rPr>
                      <w:t>2.</w:t>
                      <w:tab/>
                    </w:r>
                    <w:r>
                      <w:rPr>
                        <w:sz w:val="22"/>
                        <w:szCs w:val="22"/>
                      </w:rPr>
                      <w:t>Dėl 6 straipsnio 2 dalies</w:t>
                    </w:r>
                  </w:p>
                  <w:p>
                    <w:pPr>
                      <w:jc w:val="both"/>
                      <w:rPr>
                        <w:sz w:val="22"/>
                        <w:szCs w:val="22"/>
                      </w:rPr>
                    </w:pPr>
                    <w:r>
                      <w:rPr>
                        <w:sz w:val="22"/>
                        <w:szCs w:val="22"/>
                      </w:rPr>
                      <w:t>Projekte nurodytas Pareiginės algos (atlyginimo) bazinio dydžio įstatymas neatitinka naujos redakcijos, esančios projekte Nr. XVP-864.</w:t>
                    </w:r>
                  </w:p>
                  <w:p>
                    <w:pPr>
                      <w:jc w:val="both"/>
                      <w:rPr>
                        <w:sz w:val="22"/>
                        <w:szCs w:val="22"/>
                      </w:rPr>
                    </w:pPr>
                    <w:r>
                      <w:rPr>
                        <w:sz w:val="22"/>
                        <w:szCs w:val="22"/>
                      </w:rPr>
                      <w:t>Siūlymas: suderinti nuorodas, kad abiejuose projektuose būtų vartojamas vienodas įstatymo pavadinimas ir nuorodos numeris, išvengiant kolizijų taikant įstatymą.</w:t>
                    </w:r>
                  </w:p>
                  <w:p>
                    <w:pPr>
                      <w:ind w:left="720" w:hanging="360"/>
                      <w:jc w:val="both"/>
                      <w:rPr>
                        <w:sz w:val="22"/>
                        <w:szCs w:val="22"/>
                      </w:rPr>
                    </w:pPr>
                    <w:r>
                      <w:rPr>
                        <w:kern w:val="2"/>
                        <w:sz w:val="22"/>
                        <w:szCs w:val="22"/>
                        <w:lang w:eastAsia="lt-LT"/>
                        <w14:ligatures w14:val="standardContextual"/>
                      </w:rPr>
                      <w:t>3.</w:t>
                      <w:tab/>
                    </w:r>
                    <w:r>
                      <w:rPr>
                        <w:sz w:val="22"/>
                        <w:szCs w:val="22"/>
                      </w:rPr>
                      <w:t>Dėl 6 straipsnio 4 dalies</w:t>
                    </w:r>
                  </w:p>
                  <w:p>
                    <w:pPr>
                      <w:jc w:val="both"/>
                      <w:rPr>
                        <w:sz w:val="22"/>
                        <w:szCs w:val="22"/>
                      </w:rPr>
                    </w:pPr>
                    <w:r>
                      <w:rPr>
                        <w:sz w:val="22"/>
                        <w:szCs w:val="22"/>
                      </w:rPr>
                      <w:t>Siūloma redakcija leidžia interpretuoti, kad magistro kvalifikacinio laipsnio reikalavimas galėtų būti taikomas ir žemesnio lygmens pareigybėms.</w:t>
                    </w:r>
                  </w:p>
                  <w:p>
                    <w:pPr>
                      <w:jc w:val="both"/>
                      <w:rPr>
                        <w:sz w:val="22"/>
                        <w:szCs w:val="22"/>
                      </w:rPr>
                    </w:pPr>
                    <w:r>
                      <w:rPr>
                        <w:sz w:val="22"/>
                        <w:szCs w:val="22"/>
                      </w:rPr>
                      <w:t>Tai prieštarauja 2 straipsnio 1 punktui, kuriame aiškiai nurodyta, jog toks reikalavimas taikomas tik A1 lygio pareigoms.</w:t>
                    </w:r>
                  </w:p>
                  <w:p>
                    <w:pPr>
                      <w:jc w:val="both"/>
                      <w:rPr>
                        <w:sz w:val="22"/>
                        <w:szCs w:val="22"/>
                      </w:rPr>
                    </w:pPr>
                    <w:r>
                      <w:rPr>
                        <w:sz w:val="22"/>
                        <w:szCs w:val="22"/>
                      </w:rPr>
                      <w:t>Siūlymas: formuluotę patikslinti, kad magistro laipsnis būtų taikomas tik A1 lygio pareigybėms.</w:t>
                    </w:r>
                  </w:p>
                  <w:p>
                    <w:pPr>
                      <w:ind w:left="720" w:hanging="360"/>
                      <w:jc w:val="both"/>
                      <w:rPr>
                        <w:sz w:val="22"/>
                        <w:szCs w:val="22"/>
                      </w:rPr>
                    </w:pPr>
                    <w:r>
                      <w:rPr>
                        <w:kern w:val="2"/>
                        <w:sz w:val="22"/>
                        <w:szCs w:val="22"/>
                        <w:lang w:eastAsia="lt-LT"/>
                        <w14:ligatures w14:val="standardContextual"/>
                      </w:rPr>
                      <w:t>4.</w:t>
                      <w:tab/>
                    </w:r>
                    <w:r>
                      <w:rPr>
                        <w:sz w:val="22"/>
                        <w:szCs w:val="22"/>
                      </w:rPr>
                      <w:t>Dėl socialinių paslaugų srities darbuotojų</w:t>
                    </w:r>
                  </w:p>
                  <w:p>
                    <w:pPr>
                      <w:jc w:val="both"/>
                      <w:rPr>
                        <w:sz w:val="22"/>
                        <w:szCs w:val="22"/>
                      </w:rPr>
                    </w:pPr>
                    <w:r>
                      <w:rPr>
                        <w:sz w:val="22"/>
                        <w:szCs w:val="22"/>
                      </w:rPr>
                      <w:t>Keičiamo įstatymo 1 priede nurodyti bendrieji minimalūs pareiginės algos koeficientai, tačiau projekte jie pateikti kaip skirti tik socialinių paslaugų sričiai.</w:t>
                    </w:r>
                  </w:p>
                  <w:p>
                    <w:pPr>
                      <w:jc w:val="both"/>
                      <w:rPr>
                        <w:sz w:val="22"/>
                        <w:szCs w:val="22"/>
                      </w:rPr>
                    </w:pPr>
                    <w:r>
                      <w:rPr>
                        <w:sz w:val="22"/>
                        <w:szCs w:val="22"/>
                      </w:rPr>
                      <w:t>Tai gali sukelti painiavą dėl bendrųjų ir specializuotų pareigybių taikymo.</w:t>
                    </w:r>
                  </w:p>
                  <w:p>
                    <w:pPr>
                      <w:jc w:val="both"/>
                      <w:rPr>
                        <w:sz w:val="22"/>
                        <w:szCs w:val="22"/>
                      </w:rPr>
                    </w:pPr>
                    <w:r>
                      <w:rPr>
                        <w:sz w:val="22"/>
                        <w:szCs w:val="22"/>
                      </w:rPr>
                      <w:t>Siūlymas: atskirti socialinių paslaugų darbuotojų koeficientus nuo bendrųjų, aiškiai pažymint lentelėse taikymo sritį.</w:t>
                    </w:r>
                  </w:p>
                  <w:p>
                    <w:pPr>
                      <w:ind w:left="720" w:hanging="360"/>
                      <w:jc w:val="both"/>
                      <w:rPr>
                        <w:sz w:val="22"/>
                        <w:szCs w:val="22"/>
                      </w:rPr>
                    </w:pPr>
                    <w:r>
                      <w:rPr>
                        <w:kern w:val="2"/>
                        <w:sz w:val="22"/>
                        <w:szCs w:val="22"/>
                        <w:lang w:eastAsia="lt-LT"/>
                        <w14:ligatures w14:val="standardContextual"/>
                      </w:rPr>
                      <w:t>5.</w:t>
                      <w:tab/>
                    </w:r>
                    <w:r>
                      <w:rPr>
                        <w:sz w:val="22"/>
                        <w:szCs w:val="22"/>
                      </w:rPr>
                      <w:t>Dėl vadovų kadencijų</w:t>
                    </w:r>
                  </w:p>
                  <w:p>
                    <w:pPr>
                      <w:jc w:val="both"/>
                      <w:rPr>
                        <w:sz w:val="22"/>
                        <w:szCs w:val="22"/>
                      </w:rPr>
                    </w:pPr>
                    <w:r>
                      <w:rPr>
                        <w:sz w:val="22"/>
                        <w:szCs w:val="22"/>
                      </w:rPr>
                      <w:t>6 straipsnio 9 dalyje siūloma nuostata yra per abstrakti ir leidžia skirtingą taikymą.</w:t>
                    </w:r>
                  </w:p>
                  <w:p>
                    <w:pPr>
                      <w:jc w:val="both"/>
                      <w:rPr>
                        <w:sz w:val="22"/>
                        <w:szCs w:val="22"/>
                      </w:rPr>
                    </w:pPr>
                    <w:r>
                      <w:rPr>
                        <w:sz w:val="22"/>
                        <w:szCs w:val="22"/>
                      </w:rPr>
                      <w:t>Siūlymas: formuluotę papildyti taip:</w:t>
                    </w:r>
                  </w:p>
                  <w:p>
                    <w:pPr>
                      <w:ind w:left="720"/>
                      <w:jc w:val="both"/>
                      <w:rPr>
                        <w:kern w:val="2"/>
                        <w:sz w:val="22"/>
                        <w:szCs w:val="22"/>
                        <w:lang w:eastAsia="lt-LT"/>
                      </w:rPr>
                    </w:pPr>
                    <w:r>
                      <w:rPr>
                        <w:kern w:val="2"/>
                        <w:sz w:val="22"/>
                        <w:szCs w:val="22"/>
                        <w:lang w:eastAsia="lt-LT"/>
                      </w:rPr>
                      <w:t>„Jeigu pasibaigus pirmajai kadencijai švietimo įstaigos vadovas skiriamas antrajai kadencijai toje pačioje įstaigoje be konkurso, jam taikomas tas pats pareiginės algos koeficientas kaip iki paskyrimo.“</w:t>
                    </w:r>
                  </w:p>
                  <w:p>
                    <w:pPr>
                      <w:jc w:val="both"/>
                      <w:rPr>
                        <w:sz w:val="22"/>
                        <w:szCs w:val="22"/>
                      </w:rPr>
                    </w:pPr>
                    <w:r>
                      <w:rPr>
                        <w:sz w:val="22"/>
                        <w:szCs w:val="22"/>
                      </w:rPr>
                      <w:t>Toks pakeitimas užtikrintų teisinį aiškumą ir vienodą taikymo praktiką visoms švietimo įstaigoms.</w:t>
                    </w:r>
                  </w:p>
                  <w:p>
                    <w:pPr>
                      <w:ind w:left="720" w:hanging="360"/>
                      <w:jc w:val="both"/>
                      <w:rPr>
                        <w:sz w:val="22"/>
                        <w:szCs w:val="22"/>
                      </w:rPr>
                    </w:pPr>
                    <w:r>
                      <w:rPr>
                        <w:kern w:val="2"/>
                        <w:sz w:val="22"/>
                        <w:szCs w:val="22"/>
                        <w:lang w:eastAsia="lt-LT"/>
                        <w14:ligatures w14:val="standardContextual"/>
                      </w:rPr>
                      <w:t>6.</w:t>
                      <w:tab/>
                    </w:r>
                    <w:r>
                      <w:rPr>
                        <w:sz w:val="22"/>
                        <w:szCs w:val="22"/>
                      </w:rPr>
                      <w:t>Dėl redakcinio tikslinimo</w:t>
                    </w:r>
                  </w:p>
                  <w:p>
                    <w:pPr>
                      <w:jc w:val="both"/>
                      <w:rPr>
                        <w:sz w:val="22"/>
                        <w:szCs w:val="22"/>
                      </w:rPr>
                    </w:pPr>
                    <w:r>
                      <w:rPr>
                        <w:sz w:val="22"/>
                        <w:szCs w:val="22"/>
                      </w:rPr>
                      <w:t>Projekto 8 straipsnio 2 dalyje žodis „nuo“ keistinas į „po“, nes šioje vietoje kalbama apie įstatymo įsigaliojimą po jo paskelbimo.</w:t>
                    </w:r>
                  </w:p>
                  <w:p>
                    <w:pPr>
                      <w:ind w:left="720" w:hanging="360"/>
                      <w:jc w:val="both"/>
                      <w:rPr>
                        <w:sz w:val="22"/>
                        <w:szCs w:val="22"/>
                      </w:rPr>
                    </w:pPr>
                    <w:r>
                      <w:rPr>
                        <w:kern w:val="2"/>
                        <w:sz w:val="22"/>
                        <w:szCs w:val="22"/>
                        <w:lang w:eastAsia="lt-LT"/>
                        <w14:ligatures w14:val="standardContextual"/>
                      </w:rPr>
                      <w:t>7.</w:t>
                      <w:tab/>
                    </w:r>
                    <w:r>
                      <w:rPr>
                        <w:sz w:val="22"/>
                        <w:szCs w:val="22"/>
                      </w:rPr>
                      <w:t>Dėl priedų lentelių</w:t>
                    </w:r>
                  </w:p>
                  <w:p>
                    <w:pPr>
                      <w:jc w:val="both"/>
                      <w:rPr>
                        <w:sz w:val="22"/>
                        <w:szCs w:val="22"/>
                      </w:rPr>
                    </w:pPr>
                    <w:r>
                      <w:rPr>
                        <w:sz w:val="22"/>
                        <w:szCs w:val="22"/>
                      </w:rPr>
                      <w:t>Lyginamajame variante pateiktos naujos koeficientų reikšmės (ypač pedagogų, psichologų, socialinių darbuotojų), tačiau kai kuriuose skirsniuose (pvz. pagalbos mokiniui specialistų) neatitinka proporcinis didėjimo santykis pagal kvalifikaciją ir darbo stažą.</w:t>
                    </w:r>
                  </w:p>
                  <w:p>
                    <w:pPr>
                      <w:jc w:val="both"/>
                      <w:rPr>
                        <w:sz w:val="22"/>
                        <w:szCs w:val="22"/>
                      </w:rPr>
                    </w:pPr>
                    <w:r>
                      <w:rPr>
                        <w:sz w:val="22"/>
                        <w:szCs w:val="22"/>
                      </w:rPr>
                      <w:t>Siūlymas: peržiūrėti lentelių logiką, kad atlygio padidėjimas proporcingai didėtų tiek pagal kvalifikacinę kategoriją, tiek pagal darbo patirtį.</w:t>
                    </w:r>
                  </w:p>
                  <w:p>
                    <w:pPr>
                      <w:jc w:val="both"/>
                      <w:rPr>
                        <w:sz w:val="22"/>
                        <w:szCs w:val="22"/>
                      </w:rPr>
                    </w:pPr>
                  </w:p>
                  <w:p>
                    <w:pPr>
                      <w:jc w:val="both"/>
                      <w:rPr>
                        <w:sz w:val="22"/>
                        <w:szCs w:val="22"/>
                      </w:rPr>
                    </w:pPr>
                    <w:r>
                      <w:rPr>
                        <w:sz w:val="22"/>
                        <w:szCs w:val="22"/>
                      </w:rPr>
                      <w:t>Išvada:</w:t>
                    </w:r>
                  </w:p>
                  <w:p>
                    <w:pPr>
                      <w:jc w:val="both"/>
                      <w:rPr>
                        <w:sz w:val="22"/>
                        <w:szCs w:val="22"/>
                      </w:rPr>
                    </w:pPr>
                    <w:r>
                      <w:rPr>
                        <w:sz w:val="22"/>
                        <w:szCs w:val="22"/>
                      </w:rPr>
                      <w:t>Pasiūlymai skirti užtikrinti teisinį aiškumą, nuoseklų nuorodų taikymą ir vienodą atlygio nustatymo praktiką pagal pareigybės lygmenis bei kvalifikaciją.</w:t>
                    </w:r>
                  </w:p>
                  <w:p>
                    <w:pPr>
                      <w:ind w:firstLine="227"/>
                      <w:jc w:val="both"/>
                      <w:rPr>
                        <w:bCs/>
                        <w:sz w:val="22"/>
                        <w:szCs w:val="22"/>
                      </w:rPr>
                    </w:pPr>
                  </w:p>
                </w:tc>
                <w:tc>
                  <w:tcPr>
                    <w:tcW w:w="1276" w:type="dxa"/>
                  </w:tcPr>
                  <w:p>
                    <w:pPr>
                      <w:jc w:val="center"/>
                      <w:rPr>
                        <w:bCs/>
                        <w:sz w:val="22"/>
                        <w:szCs w:val="22"/>
                      </w:rPr>
                    </w:pPr>
                    <w:r>
                      <w:rPr>
                        <w:bCs/>
                        <w:sz w:val="22"/>
                        <w:szCs w:val="22"/>
                      </w:rPr>
                      <w:t>Įvertinta.</w:t>
                    </w:r>
                  </w:p>
                </w:tc>
                <w:tc>
                  <w:tcPr>
                    <w:tcW w:w="1848" w:type="dxa"/>
                  </w:tcPr>
                  <w:p>
                    <w:pPr>
                      <w:ind w:firstLine="227"/>
                      <w:jc w:val="both"/>
                      <w:rPr>
                        <w:bCs/>
                        <w:sz w:val="22"/>
                        <w:szCs w:val="22"/>
                      </w:rPr>
                    </w:pPr>
                    <w:r>
                      <w:rPr>
                        <w:bCs/>
                        <w:sz w:val="22"/>
                        <w:szCs w:val="22"/>
                      </w:rPr>
                      <w:t xml:space="preserve">Piliečio pateikti siūlymai iš esmės atitinka Seimo kanceliarijos Teisės departamento pastabas (žr. išvados lentelės 2 punktą). </w:t>
                    </w:r>
                  </w:p>
                </w:tc>
              </w:tr>
            </w:tbl>
            <w:p>
              <w:pPr>
                <w:keepNext/>
                <w:ind w:firstLine="720"/>
                <w:jc w:val="both"/>
                <w:outlineLvl w:val="5"/>
                <w:rPr>
                  <w:bCs/>
                  <w:szCs w:val="24"/>
                </w:rPr>
              </w:pPr>
            </w:p>
          </w:sdtContent>
        </w:sdt>
        <w:sdt>
          <w:sdtPr>
            <w:alias w:val="4 p."/>
            <w:tag w:val="part_12c5872fcb754b338e1053aeaeaf360f"/>
            <w:lock w:val="sdtLocked"/>
            <w:richText/>
          </w:sdtPr>
          <w:sdtContent>
            <w:p>
              <w:pPr>
                <w:keepNext/>
                <w:ind w:firstLine="720"/>
                <w:jc w:val="both"/>
                <w:outlineLvl w:val="5"/>
                <w:rPr>
                  <w:b/>
                  <w:bCs/>
                  <w:szCs w:val="24"/>
                </w:rPr>
              </w:pPr>
              <w:sdt>
                <w:sdtPr>
                  <w:alias w:val="Numeris"/>
                  <w:tag w:val="nr_12c5872fcb754b338e1053aeaeaf360f"/>
                  <w:lock w:val="sdtLocked"/>
                  <w:richText/>
                </w:sdtPr>
                <w:sdtContent>
                  <w:r>
                    <w:rPr>
                      <w:b/>
                      <w:bCs/>
                      <w:szCs w:val="24"/>
                    </w:rPr>
                    <w:t>4</w:t>
                  </w:r>
                </w:sdtContent>
              </w:sdt>
              <w:r>
                <w:rPr>
                  <w:b/>
                  <w:bCs/>
                  <w:szCs w:val="24"/>
                </w:rPr>
                <w:t>. Valstybės ir savivaldybių institucijų ir įstaigų pasiūlymai:</w:t>
              </w:r>
              <w:r>
                <w:rPr>
                  <w:bCs/>
                  <w:szCs w:val="24"/>
                </w:rPr>
                <w:t xml:space="preserve"> negauta.</w:t>
              </w:r>
            </w:p>
            <w:p>
              <w:pPr>
                <w:jc w:val="both"/>
                <w:rPr>
                  <w:sz w:val="18"/>
                  <w:szCs w:val="18"/>
                </w:rPr>
              </w:pPr>
            </w:p>
          </w:sdtContent>
        </w:sdt>
        <w:sdt>
          <w:sdtPr>
            <w:alias w:val="5 p."/>
            <w:tag w:val="part_ed4e758881a04ef8852bc59a27ed4bf7"/>
            <w:lock w:val="sdtLocked"/>
            <w:richText/>
          </w:sdtPr>
          <w:sdtContent>
            <w:p>
              <w:pPr>
                <w:keepNext/>
                <w:ind w:firstLine="720"/>
                <w:outlineLvl w:val="5"/>
                <w:rPr>
                  <w:b/>
                  <w:bCs/>
                  <w:szCs w:val="24"/>
                </w:rPr>
              </w:pPr>
              <w:sdt>
                <w:sdtPr>
                  <w:alias w:val="Numeris"/>
                  <w:tag w:val="nr_ed4e758881a04ef8852bc59a27ed4bf7"/>
                  <w:lock w:val="sdtLocked"/>
                  <w:richText/>
                </w:sdtPr>
                <w:sdtContent>
                  <w:r>
                    <w:rPr>
                      <w:b/>
                      <w:bCs/>
                      <w:szCs w:val="24"/>
                    </w:rPr>
                    <w:t>5</w:t>
                  </w:r>
                </w:sdtContent>
              </w:sdt>
              <w:r>
                <w:rPr>
                  <w:b/>
                  <w:bCs/>
                  <w:szCs w:val="24"/>
                </w:rPr>
                <w:t>. Subjektų, turinčių įstatymų leidybos iniciatyvos teisę, pasiūlymai:</w:t>
              </w:r>
              <w:r>
                <w:rPr>
                  <w:bCs/>
                  <w:szCs w:val="24"/>
                </w:rPr>
                <w:t xml:space="preserve"> negauta.</w:t>
              </w:r>
            </w:p>
            <w:tbl>
              <w:tblPr>
                <w:tblW w:w="158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1835"/>
                <w:gridCol w:w="567"/>
                <w:gridCol w:w="851"/>
                <w:gridCol w:w="425"/>
                <w:gridCol w:w="8930"/>
                <w:gridCol w:w="992"/>
                <w:gridCol w:w="1701"/>
              </w:tblGrid>
              <w:tr>
                <w:trPr>
                  <w:trHeight w:val="472"/>
                  <w:tblHeader/>
                  <w:jc w:val="center"/>
                </w:trPr>
                <w:tc>
                  <w:tcPr>
                    <w:tcW w:w="57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1835" w:type="dxa"/>
                    <w:vMerge w:val="restart"/>
                    <w:vAlign w:val="center"/>
                  </w:tcPr>
                  <w:p>
                    <w:pPr>
                      <w:jc w:val="center"/>
                      <w:rPr>
                        <w:sz w:val="22"/>
                        <w:szCs w:val="22"/>
                      </w:rPr>
                    </w:pPr>
                    <w:r>
                      <w:rPr>
                        <w:sz w:val="22"/>
                        <w:szCs w:val="22"/>
                      </w:rPr>
                      <w:t>Pasiūlymo teikėjas, data</w:t>
                    </w:r>
                  </w:p>
                </w:tc>
                <w:tc>
                  <w:tcPr>
                    <w:tcW w:w="1843" w:type="dxa"/>
                    <w:gridSpan w:val="3"/>
                    <w:vAlign w:val="center"/>
                  </w:tcPr>
                  <w:p>
                    <w:pPr>
                      <w:jc w:val="center"/>
                      <w:rPr>
                        <w:sz w:val="22"/>
                        <w:szCs w:val="22"/>
                      </w:rPr>
                    </w:pPr>
                    <w:r>
                      <w:rPr>
                        <w:sz w:val="22"/>
                        <w:szCs w:val="22"/>
                      </w:rPr>
                      <w:t>Siūloma keisti</w:t>
                    </w:r>
                  </w:p>
                </w:tc>
                <w:tc>
                  <w:tcPr>
                    <w:tcW w:w="8930" w:type="dxa"/>
                    <w:vMerge w:val="restart"/>
                    <w:vAlign w:val="center"/>
                  </w:tcPr>
                  <w:p>
                    <w:pPr>
                      <w:jc w:val="center"/>
                      <w:rPr>
                        <w:sz w:val="22"/>
                        <w:szCs w:val="22"/>
                      </w:rPr>
                    </w:pPr>
                  </w:p>
                  <w:p>
                    <w:pPr>
                      <w:jc w:val="center"/>
                      <w:rPr>
                        <w:sz w:val="22"/>
                        <w:szCs w:val="22"/>
                      </w:rPr>
                    </w:pPr>
                    <w:r>
                      <w:rPr>
                        <w:sz w:val="22"/>
                        <w:szCs w:val="22"/>
                      </w:rPr>
                      <w:t>Pasiūlymo turinys</w:t>
                    </w:r>
                  </w:p>
                  <w:p>
                    <w:pPr>
                      <w:jc w:val="center"/>
                      <w:rPr>
                        <w:sz w:val="22"/>
                        <w:szCs w:val="22"/>
                      </w:rPr>
                    </w:pPr>
                  </w:p>
                </w:tc>
                <w:tc>
                  <w:tcPr>
                    <w:tcW w:w="992" w:type="dxa"/>
                    <w:vMerge w:val="restart"/>
                    <w:vAlign w:val="center"/>
                  </w:tcPr>
                  <w:p>
                    <w:pPr>
                      <w:jc w:val="center"/>
                      <w:rPr>
                        <w:sz w:val="20"/>
                      </w:rPr>
                    </w:pPr>
                    <w:r>
                      <w:rPr>
                        <w:sz w:val="20"/>
                      </w:rPr>
                      <w:t>Komiteto nuomonė</w:t>
                    </w:r>
                  </w:p>
                </w:tc>
                <w:tc>
                  <w:tcPr>
                    <w:tcW w:w="1701" w:type="dxa"/>
                    <w:vMerge w:val="restart"/>
                    <w:vAlign w:val="center"/>
                  </w:tcPr>
                  <w:p>
                    <w:pPr>
                      <w:jc w:val="center"/>
                      <w:rPr>
                        <w:sz w:val="20"/>
                      </w:rPr>
                    </w:pPr>
                    <w:r>
                      <w:rPr>
                        <w:sz w:val="20"/>
                      </w:rPr>
                      <w:t xml:space="preserve">Argumentai, </w:t>
                    </w:r>
                  </w:p>
                  <w:p>
                    <w:pPr>
                      <w:jc w:val="center"/>
                      <w:rPr>
                        <w:sz w:val="20"/>
                      </w:rPr>
                    </w:pPr>
                    <w:r>
                      <w:rPr>
                        <w:sz w:val="20"/>
                      </w:rPr>
                      <w:t>pagrindžiantys nuomonę</w:t>
                    </w:r>
                  </w:p>
                </w:tc>
              </w:tr>
              <w:tr>
                <w:trPr>
                  <w:trHeight w:val="379"/>
                  <w:tblHeader/>
                  <w:jc w:val="center"/>
                </w:trPr>
                <w:tc>
                  <w:tcPr>
                    <w:tcW w:w="570" w:type="dxa"/>
                    <w:vMerge/>
                  </w:tcPr>
                  <w:p>
                    <w:pPr>
                      <w:rPr>
                        <w:szCs w:val="24"/>
                      </w:rPr>
                    </w:pPr>
                  </w:p>
                </w:tc>
                <w:tc>
                  <w:tcPr>
                    <w:tcW w:w="1835" w:type="dxa"/>
                    <w:vMerge/>
                  </w:tcPr>
                  <w:p>
                    <w:pPr>
                      <w:rPr>
                        <w:szCs w:val="24"/>
                      </w:rPr>
                    </w:pPr>
                  </w:p>
                </w:tc>
                <w:tc>
                  <w:tcPr>
                    <w:tcW w:w="567" w:type="dxa"/>
                    <w:vAlign w:val="center"/>
                  </w:tcPr>
                  <w:p>
                    <w:pPr>
                      <w:jc w:val="center"/>
                      <w:rPr>
                        <w:sz w:val="20"/>
                        <w:szCs w:val="24"/>
                      </w:rPr>
                    </w:pPr>
                    <w:r>
                      <w:rPr>
                        <w:sz w:val="20"/>
                        <w:szCs w:val="24"/>
                      </w:rPr>
                      <w:t>str.</w:t>
                    </w:r>
                  </w:p>
                </w:tc>
                <w:tc>
                  <w:tcPr>
                    <w:tcW w:w="851" w:type="dxa"/>
                    <w:vAlign w:val="center"/>
                  </w:tcPr>
                  <w:p>
                    <w:pPr>
                      <w:jc w:val="center"/>
                      <w:rPr>
                        <w:sz w:val="20"/>
                        <w:szCs w:val="24"/>
                      </w:rPr>
                    </w:pPr>
                    <w:r>
                      <w:rPr>
                        <w:sz w:val="20"/>
                        <w:szCs w:val="24"/>
                      </w:rPr>
                      <w:t>str. d.</w:t>
                    </w:r>
                  </w:p>
                </w:tc>
                <w:tc>
                  <w:tcPr>
                    <w:tcW w:w="425" w:type="dxa"/>
                    <w:vAlign w:val="center"/>
                  </w:tcPr>
                  <w:p>
                    <w:pPr>
                      <w:jc w:val="center"/>
                      <w:rPr>
                        <w:sz w:val="20"/>
                        <w:szCs w:val="24"/>
                      </w:rPr>
                    </w:pPr>
                    <w:r>
                      <w:rPr>
                        <w:sz w:val="20"/>
                        <w:szCs w:val="24"/>
                      </w:rPr>
                      <w:t>p.</w:t>
                    </w:r>
                  </w:p>
                </w:tc>
                <w:tc>
                  <w:tcPr>
                    <w:tcW w:w="8930" w:type="dxa"/>
                    <w:vMerge/>
                  </w:tcPr>
                  <w:p>
                    <w:pPr>
                      <w:rPr>
                        <w:szCs w:val="24"/>
                      </w:rPr>
                    </w:pPr>
                  </w:p>
                </w:tc>
                <w:tc>
                  <w:tcPr>
                    <w:tcW w:w="992" w:type="dxa"/>
                    <w:vMerge/>
                  </w:tcPr>
                  <w:p>
                    <w:pPr>
                      <w:rPr>
                        <w:szCs w:val="24"/>
                      </w:rPr>
                    </w:pPr>
                  </w:p>
                </w:tc>
                <w:tc>
                  <w:tcPr>
                    <w:tcW w:w="1701" w:type="dxa"/>
                    <w:vMerge/>
                  </w:tcPr>
                  <w:p>
                    <w:pPr>
                      <w:rPr>
                        <w:szCs w:val="24"/>
                      </w:rPr>
                    </w:pPr>
                  </w:p>
                </w:tc>
              </w:tr>
              <w:tr>
                <w:trPr>
                  <w:jc w:val="center"/>
                </w:trPr>
                <w:tc>
                  <w:tcPr>
                    <w:tcW w:w="570" w:type="dxa"/>
                  </w:tcPr>
                  <w:p>
                    <w:pPr>
                      <w:jc w:val="center"/>
                      <w:rPr>
                        <w:bCs/>
                        <w:sz w:val="22"/>
                        <w:szCs w:val="22"/>
                      </w:rPr>
                    </w:pPr>
                    <w:r>
                      <w:rPr>
                        <w:bCs/>
                        <w:sz w:val="22"/>
                        <w:szCs w:val="22"/>
                      </w:rPr>
                      <w:t>1.</w:t>
                    </w:r>
                  </w:p>
                </w:tc>
                <w:tc>
                  <w:tcPr>
                    <w:tcW w:w="1835" w:type="dxa"/>
                  </w:tcPr>
                  <w:p>
                    <w:pPr>
                      <w:jc w:val="both"/>
                      <w:rPr>
                        <w:bCs/>
                        <w:sz w:val="22"/>
                        <w:szCs w:val="22"/>
                      </w:rPr>
                    </w:pPr>
                    <w:r>
                      <w:rPr>
                        <w:bCs/>
                        <w:sz w:val="22"/>
                        <w:szCs w:val="22"/>
                      </w:rPr>
                      <w:t>Seimo nariai</w:t>
                    </w:r>
                  </w:p>
                  <w:p>
                    <w:pPr>
                      <w:jc w:val="both"/>
                      <w:rPr>
                        <w:bCs/>
                        <w:sz w:val="22"/>
                        <w:szCs w:val="22"/>
                      </w:rPr>
                    </w:pPr>
                    <w:r>
                      <w:rPr>
                        <w:bCs/>
                        <w:sz w:val="22"/>
                        <w:szCs w:val="22"/>
                      </w:rPr>
                      <w:t>R.Morkūnaitė-Milulėnienė; L.Kazlavickas</w:t>
                    </w:r>
                  </w:p>
                  <w:p>
                    <w:pPr>
                      <w:jc w:val="both"/>
                      <w:rPr>
                        <w:bCs/>
                        <w:sz w:val="22"/>
                        <w:szCs w:val="22"/>
                      </w:rPr>
                    </w:pPr>
                    <w:r>
                      <w:rPr>
                        <w:bCs/>
                        <w:sz w:val="22"/>
                        <w:szCs w:val="22"/>
                      </w:rPr>
                      <w:t>2025-11-07</w:t>
                    </w:r>
                  </w:p>
                </w:tc>
                <w:tc>
                  <w:tcPr>
                    <w:tcW w:w="567" w:type="dxa"/>
                  </w:tcPr>
                  <w:p>
                    <w:pPr>
                      <w:jc w:val="center"/>
                      <w:rPr>
                        <w:b/>
                        <w:bCs/>
                        <w:sz w:val="22"/>
                        <w:szCs w:val="22"/>
                        <w:lang w:eastAsia="lt-LT"/>
                      </w:rPr>
                    </w:pPr>
                    <w:r>
                      <w:rPr>
                        <w:b/>
                        <w:bCs/>
                        <w:sz w:val="22"/>
                        <w:szCs w:val="22"/>
                        <w:lang w:eastAsia="lt-LT"/>
                      </w:rPr>
                      <w:t>7</w:t>
                    </w:r>
                  </w:p>
                </w:tc>
                <w:tc>
                  <w:tcPr>
                    <w:tcW w:w="851" w:type="dxa"/>
                  </w:tcPr>
                  <w:p>
                    <w:pPr>
                      <w:rPr>
                        <w:sz w:val="22"/>
                        <w:szCs w:val="22"/>
                        <w:lang w:eastAsia="lt-LT"/>
                      </w:rPr>
                    </w:pPr>
                  </w:p>
                </w:tc>
                <w:tc>
                  <w:tcPr>
                    <w:tcW w:w="425" w:type="dxa"/>
                  </w:tcPr>
                  <w:p>
                    <w:pPr>
                      <w:jc w:val="center"/>
                      <w:rPr>
                        <w:b/>
                        <w:bCs/>
                        <w:sz w:val="22"/>
                        <w:szCs w:val="22"/>
                      </w:rPr>
                    </w:pPr>
                  </w:p>
                </w:tc>
                <w:tc>
                  <w:tcPr>
                    <w:tcW w:w="8930" w:type="dxa"/>
                  </w:tcPr>
                  <w:p>
                    <w:pPr>
                      <w:ind w:firstLine="227"/>
                      <w:jc w:val="both"/>
                      <w:rPr>
                        <w:color w:val="000000"/>
                        <w:sz w:val="27"/>
                        <w:szCs w:val="27"/>
                      </w:rPr>
                    </w:pPr>
                    <w:r>
                      <w:rPr>
                        <w:b/>
                        <w:bCs/>
                        <w:color w:val="000000"/>
                        <w:sz w:val="22"/>
                        <w:szCs w:val="22"/>
                      </w:rPr>
                      <w:t>Argumentai:</w:t>
                    </w:r>
                  </w:p>
                  <w:p>
                    <w:pPr>
                      <w:ind w:firstLine="284"/>
                      <w:jc w:val="both"/>
                      <w:rPr>
                        <w:color w:val="000000"/>
                        <w:sz w:val="27"/>
                        <w:szCs w:val="27"/>
                      </w:rPr>
                    </w:pPr>
                  </w:p>
                  <w:p>
                    <w:pPr>
                      <w:ind w:firstLine="227"/>
                      <w:jc w:val="both"/>
                      <w:rPr>
                        <w:color w:val="000000"/>
                        <w:sz w:val="27"/>
                        <w:szCs w:val="27"/>
                      </w:rPr>
                    </w:pPr>
                    <w:r>
                      <w:rPr>
                        <w:color w:val="000000"/>
                        <w:sz w:val="22"/>
                        <w:szCs w:val="22"/>
                      </w:rPr>
                      <w:t>2024 m. spalį atnaujintoje kolektyvinėje sutartyje, kurią Švietimo, mokslo ir sporto ministerija pasirašė su keturiomis švietimo sektoriaus darbuotojus vienijančiomis profesinėmis sąjungomis, numatyta, kad iki 2028 m. pedagogų atlyginimai kasmet turi būti didinami 5 proc. daugiau, nei prognozuojamas tų metų šalies vidutinio darbo užmokesčio augimas. Tai reiškia, kad mokytojų atlyginimų augimas turi būti ne mažesnis kaip šalies vidutinio darbo užmokesčio procentinis padidėjimas, padaugintas iš 1,05.</w:t>
                    </w:r>
                  </w:p>
                  <w:p>
                    <w:pPr>
                      <w:ind w:firstLine="227"/>
                      <w:jc w:val="both"/>
                      <w:rPr>
                        <w:color w:val="000000"/>
                        <w:sz w:val="27"/>
                        <w:szCs w:val="27"/>
                      </w:rPr>
                    </w:pPr>
                    <w:r>
                      <w:rPr>
                        <w:color w:val="000000"/>
                        <w:sz w:val="22"/>
                        <w:szCs w:val="22"/>
                      </w:rPr>
                      <w:t>Remiantis Finansų ministerijos pateiktais duomenimis, prognozuojama, kad 2026 m. vidutinis šalies darbo užmokestis augs 7,3 proc., todėl pagal kolektyvinės sutarties nuostatas mokytojų atlyginimai nuo 2026 m. sausio 1 d. turėtų didėti 7,65 proc.</w:t>
                    </w:r>
                  </w:p>
                  <w:p>
                    <w:pPr>
                      <w:ind w:firstLine="227"/>
                      <w:jc w:val="both"/>
                      <w:rPr>
                        <w:color w:val="000000"/>
                        <w:sz w:val="27"/>
                        <w:szCs w:val="27"/>
                      </w:rPr>
                    </w:pPr>
                    <w:r>
                      <w:rPr>
                        <w:color w:val="000000"/>
                        <w:sz w:val="22"/>
                        <w:szCs w:val="22"/>
                      </w:rPr>
                      <w:t>Pažymėtina, jog Įstatymo projektu siūloma didinti mokytojų atlyginimus tik 5 proc., t. y. mažiau, nei numatyta susitarime.</w:t>
                    </w:r>
                  </w:p>
                  <w:p>
                    <w:pPr>
                      <w:ind w:firstLine="227"/>
                      <w:jc w:val="both"/>
                      <w:rPr>
                        <w:color w:val="000000"/>
                        <w:sz w:val="27"/>
                        <w:szCs w:val="27"/>
                      </w:rPr>
                    </w:pPr>
                    <w:r>
                      <w:rPr>
                        <w:color w:val="000000"/>
                        <w:sz w:val="22"/>
                        <w:szCs w:val="22"/>
                      </w:rPr>
                      <w:t>Atsižvelgus į tai, jog privaloma laikytis prisiimtų įsipareigojimų švietimo bendruomenei, teikiamas siūlymas didinti mokytojų atlyginimus 7,65 proc. </w:t>
                    </w:r>
                  </w:p>
                  <w:p>
                    <w:pPr>
                      <w:ind w:firstLine="284"/>
                      <w:jc w:val="both"/>
                      <w:rPr>
                        <w:color w:val="000000"/>
                        <w:sz w:val="27"/>
                        <w:szCs w:val="27"/>
                      </w:rPr>
                    </w:pPr>
                  </w:p>
                  <w:p>
                    <w:pPr>
                      <w:ind w:firstLine="227"/>
                      <w:jc w:val="both"/>
                      <w:rPr>
                        <w:color w:val="000000"/>
                        <w:sz w:val="27"/>
                        <w:szCs w:val="27"/>
                      </w:rPr>
                    </w:pPr>
                    <w:r>
                      <w:rPr>
                        <w:b/>
                        <w:bCs/>
                        <w:color w:val="000000"/>
                        <w:sz w:val="22"/>
                        <w:szCs w:val="22"/>
                      </w:rPr>
                      <w:t>Lėšų šaltinis: Pajamos iš akcizų. </w:t>
                    </w:r>
                    <w:r>
                      <w:rPr>
                        <w:color w:val="000000"/>
                        <w:sz w:val="22"/>
                        <w:szCs w:val="22"/>
                      </w:rPr>
                      <w:t>Siekiant įgyvendinti kolektyvinės sutarties įsipareigojimus, Vyriausybė mokytojų atlyginimams turėtų skirti apie 60 mln. eurų. Tokio dydžio pajamas galima surinkti iš akcizų (CO2 dedamosios), jei nuo 2026 m. sausio 1 d. nebūtų stabdomas akcizų kintamosios dalies didinimas. Pasiūlymo iniciatorė pateikė pasiūlymą dėl Akcizų įstatymo 9, 37¹, 38 straipsnių ir 3 priedo pakeitimo įstatymo projekto Nr. XVP</w:t>
                      <w:noBreakHyphen/>
                      <w:t>855, kuriuo siūlo palikti šiuo metu galiojantį reguliavimą, nemažinti valstybės biudžeto, t.y. nestabdyti numatyto akcizų kintamosios dalies didinimo nuo 2026 m. sausio 1 d. ir panaudoti šias numatytas gauti valstybės biudžeto lėšas didinant mokytojų atlyginimus 7,65 proc.</w:t>
                    </w:r>
                  </w:p>
                  <w:p>
                    <w:pPr>
                      <w:ind w:firstLine="57"/>
                      <w:jc w:val="both"/>
                      <w:rPr>
                        <w:color w:val="000000"/>
                        <w:sz w:val="27"/>
                        <w:szCs w:val="27"/>
                      </w:rPr>
                    </w:pPr>
                  </w:p>
                  <w:p>
                    <w:pPr>
                      <w:ind w:firstLine="227"/>
                      <w:jc w:val="both"/>
                      <w:rPr>
                        <w:color w:val="000000"/>
                        <w:sz w:val="27"/>
                        <w:szCs w:val="27"/>
                      </w:rPr>
                    </w:pPr>
                    <w:r>
                      <w:rPr>
                        <w:b/>
                        <w:bCs/>
                        <w:color w:val="000000"/>
                        <w:sz w:val="22"/>
                        <w:szCs w:val="22"/>
                      </w:rPr>
                      <w:t>Pasiūlymas:</w:t>
                    </w:r>
                  </w:p>
                  <w:p>
                    <w:pPr>
                      <w:ind w:firstLine="284"/>
                      <w:jc w:val="both"/>
                      <w:rPr>
                        <w:color w:val="000000"/>
                        <w:sz w:val="27"/>
                        <w:szCs w:val="27"/>
                      </w:rPr>
                    </w:pPr>
                  </w:p>
                  <w:p>
                    <w:pPr>
                      <w:ind w:firstLine="227"/>
                      <w:jc w:val="both"/>
                      <w:rPr>
                        <w:color w:val="000000"/>
                        <w:sz w:val="27"/>
                        <w:szCs w:val="27"/>
                      </w:rPr>
                    </w:pPr>
                    <w:r>
                      <w:rPr>
                        <w:color w:val="000000"/>
                        <w:sz w:val="22"/>
                        <w:szCs w:val="22"/>
                      </w:rPr>
                      <w:t>Pakeisti Įstatymo projekto 7 straipsnį ir išdėstyti jį taip:</w:t>
                    </w:r>
                  </w:p>
                  <w:p>
                    <w:pPr>
                      <w:ind w:firstLine="284"/>
                      <w:jc w:val="both"/>
                      <w:rPr>
                        <w:color w:val="000000"/>
                        <w:sz w:val="27"/>
                        <w:szCs w:val="27"/>
                      </w:rPr>
                    </w:pPr>
                  </w:p>
                  <w:p>
                    <w:pPr>
                      <w:ind w:firstLine="227"/>
                      <w:jc w:val="both"/>
                      <w:rPr>
                        <w:color w:val="000000"/>
                        <w:sz w:val="27"/>
                        <w:szCs w:val="27"/>
                      </w:rPr>
                    </w:pPr>
                    <w:r>
                      <w:rPr>
                        <w:color w:val="000000"/>
                        <w:sz w:val="22"/>
                        <w:szCs w:val="22"/>
                      </w:rPr>
                      <w:t>„</w:t>
                    </w:r>
                    <w:r>
                      <w:rPr>
                        <w:b/>
                        <w:bCs/>
                        <w:color w:val="000000"/>
                        <w:sz w:val="22"/>
                        <w:szCs w:val="22"/>
                      </w:rPr>
                      <w:t>7 straipsnis. Įstatymo 2 priedo pakeitimas</w:t>
                    </w:r>
                  </w:p>
                  <w:p>
                    <w:pPr>
                      <w:ind w:firstLine="227"/>
                      <w:jc w:val="both"/>
                      <w:rPr>
                        <w:color w:val="000000"/>
                        <w:sz w:val="27"/>
                        <w:szCs w:val="27"/>
                      </w:rPr>
                    </w:pPr>
                    <w:r>
                      <w:rPr>
                        <w:color w:val="000000"/>
                        <w:sz w:val="22"/>
                        <w:szCs w:val="22"/>
                      </w:rPr>
                      <w:t>1. Pakeisti Įstatymo 2 priedo 1 punktą ir jį išdėstyti taip:</w:t>
                    </w:r>
                  </w:p>
                  <w:p>
                    <w:pPr>
                      <w:ind w:firstLine="57"/>
                      <w:jc w:val="both"/>
                      <w:rPr>
                        <w:color w:val="000000"/>
                        <w:sz w:val="27"/>
                        <w:szCs w:val="27"/>
                      </w:rPr>
                    </w:pPr>
                  </w:p>
                  <w:p>
                    <w:pPr>
                      <w:ind w:firstLine="720"/>
                      <w:jc w:val="both"/>
                      <w:rPr>
                        <w:color w:val="000000"/>
                        <w:sz w:val="27"/>
                        <w:szCs w:val="27"/>
                      </w:rPr>
                    </w:pPr>
                    <w:r>
                      <w:rPr>
                        <w:color w:val="000000"/>
                        <w:sz w:val="22"/>
                        <w:szCs w:val="22"/>
                      </w:rPr>
                      <w:t>1. Šiame skyriuje nurodytų darbuotojų pareiginės algos koeficientai:</w:t>
                    </w:r>
                  </w:p>
                  <w:p>
                    <w:pPr>
                      <w:ind w:firstLine="57"/>
                      <w:rPr>
                        <w:color w:val="000000"/>
                        <w:sz w:val="27"/>
                        <w:szCs w:val="27"/>
                      </w:rPr>
                    </w:pPr>
                  </w:p>
                  <w:p>
                    <w:pPr>
                      <w:ind w:firstLine="4593"/>
                      <w:rPr>
                        <w:color w:val="000000"/>
                        <w:sz w:val="27"/>
                        <w:szCs w:val="27"/>
                      </w:rPr>
                    </w:pPr>
                  </w:p>
                  <w:p>
                    <w:pPr>
                      <w:ind w:firstLine="4536"/>
                      <w:rPr>
                        <w:color w:val="000000"/>
                        <w:sz w:val="27"/>
                        <w:szCs w:val="27"/>
                      </w:rPr>
                    </w:pPr>
                    <w:r>
                      <w:rPr>
                        <w:color w:val="000000"/>
                        <w:sz w:val="22"/>
                        <w:szCs w:val="22"/>
                      </w:rPr>
                      <w:t>(pareiginės algos (atlyginimo) baziniais dydžiais)</w:t>
                    </w:r>
                  </w:p>
                  <w:tbl>
                    <w:tblPr>
                      <w:tblW w:w="7963" w:type="dxa"/>
                      <w:tblLayout w:type="fixed"/>
                      <w:tblCellMar>
                        <w:left w:w="0" w:type="dxa"/>
                        <w:right w:w="0" w:type="dxa"/>
                      </w:tblCellMar>
                      <w:tblLook w:val="04A0" w:firstRow="1" w:lastRow="0" w:firstColumn="1" w:lastColumn="0" w:noHBand="0" w:noVBand="1"/>
                    </w:tblPr>
                    <w:tblGrid>
                      <w:gridCol w:w="1256"/>
                      <w:gridCol w:w="895"/>
                      <w:gridCol w:w="992"/>
                      <w:gridCol w:w="992"/>
                      <w:gridCol w:w="993"/>
                      <w:gridCol w:w="992"/>
                      <w:gridCol w:w="992"/>
                      <w:gridCol w:w="851"/>
                    </w:tblGrid>
                    <w:tr>
                      <w:trPr>
                        <w:trHeight w:val="256"/>
                        <w:tblHeader/>
                      </w:trPr>
                      <w:tc>
                        <w:tcPr>
                          <w:tcW w:w="1256"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z w:val="22"/>
                              <w:szCs w:val="22"/>
                            </w:rPr>
                            <w:t>Kvalifikacinė kategorija</w:t>
                          </w:r>
                        </w:p>
                      </w:tc>
                      <w:tc>
                        <w:tcPr>
                          <w:tcW w:w="6707" w:type="dxa"/>
                          <w:gridSpan w:val="7"/>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z w:val="22"/>
                              <w:szCs w:val="22"/>
                            </w:rPr>
                            <w:t>Pareiginės algos koeficientai</w:t>
                          </w:r>
                        </w:p>
                      </w:tc>
                    </w:tr>
                    <w:tr>
                      <w:trPr>
                        <w:trHeight w:val="256"/>
                        <w:tblHeader/>
                      </w:trPr>
                      <w:tc>
                        <w:tcPr>
                          <w:tcW w:w="1256"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6707" w:type="dxa"/>
                          <w:gridSpan w:val="7"/>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z w:val="22"/>
                              <w:szCs w:val="22"/>
                            </w:rPr>
                            <w:t>Pedagoginio darbo stažas (metais)</w:t>
                          </w:r>
                        </w:p>
                      </w:tc>
                    </w:tr>
                    <w:tr>
                      <w:trPr>
                        <w:trHeight w:val="1046"/>
                        <w:tblHeader/>
                      </w:trPr>
                      <w:tc>
                        <w:tcPr>
                          <w:tcW w:w="1256"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89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z w:val="22"/>
                              <w:szCs w:val="22"/>
                            </w:rPr>
                            <w:t>iki 2</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z w:val="22"/>
                              <w:szCs w:val="22"/>
                            </w:rPr>
                            <w:t>nuo daugiau kaip 2 iki 5</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z w:val="22"/>
                              <w:szCs w:val="22"/>
                            </w:rPr>
                            <w:t>nuo daugiau kaip 5 iki 10</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z w:val="22"/>
                              <w:szCs w:val="22"/>
                            </w:rPr>
                            <w:t>nuo daugiau kaip 10 iki 15</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z w:val="22"/>
                              <w:szCs w:val="22"/>
                            </w:rPr>
                            <w:t>nuo daugiau kaip 15 iki 20</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hanging="47"/>
                            <w:jc w:val="center"/>
                            <w:textAlignment w:val="baseline"/>
                            <w:rPr>
                              <w:szCs w:val="24"/>
                            </w:rPr>
                          </w:pPr>
                          <w:r>
                            <w:rPr>
                              <w:sz w:val="22"/>
                              <w:szCs w:val="22"/>
                            </w:rPr>
                            <w:t>nuo daugiau kaip 20 iki 25</w:t>
                          </w:r>
                        </w:p>
                      </w:tc>
                      <w:tc>
                        <w:tcPr>
                          <w:tcW w:w="85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hanging="104"/>
                            <w:jc w:val="center"/>
                            <w:textAlignment w:val="baseline"/>
                            <w:rPr>
                              <w:szCs w:val="24"/>
                            </w:rPr>
                          </w:pPr>
                          <w:r>
                            <w:rPr>
                              <w:sz w:val="22"/>
                              <w:szCs w:val="22"/>
                            </w:rPr>
                            <w:t>daugiau kaip 25</w:t>
                          </w:r>
                        </w:p>
                      </w:tc>
                    </w:tr>
                    <w:tr>
                      <w:trPr>
                        <w:trHeight w:val="259"/>
                      </w:trPr>
                      <w:tc>
                        <w:tcPr>
                          <w:tcW w:w="7963" w:type="dxa"/>
                          <w:gridSpan w:val="8"/>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z w:val="22"/>
                              <w:szCs w:val="22"/>
                            </w:rPr>
                            <w:t>Nesuteiktos kvalifikacinės kategorijos</w:t>
                          </w:r>
                        </w:p>
                      </w:tc>
                    </w:tr>
                    <w:tr>
                      <w:trPr>
                        <w:trHeight w:val="286"/>
                      </w:trPr>
                      <w:tc>
                        <w:tcPr>
                          <w:tcW w:w="125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z w:val="22"/>
                              <w:szCs w:val="22"/>
                            </w:rPr>
                            <w:t>Mokytojas</w:t>
                          </w:r>
                        </w:p>
                      </w:tc>
                      <w:tc>
                        <w:tcPr>
                          <w:tcW w:w="89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1,1041</w:t>
                          </w:r>
                        </w:p>
                        <w:p>
                          <w:pPr>
                            <w:ind w:right="38"/>
                            <w:jc w:val="center"/>
                            <w:textAlignment w:val="baseline"/>
                            <w:rPr>
                              <w:szCs w:val="24"/>
                            </w:rPr>
                          </w:pPr>
                          <w:r>
                            <w:rPr>
                              <w:b/>
                              <w:bCs/>
                              <w:color w:val="000000"/>
                              <w:sz w:val="22"/>
                              <w:szCs w:val="22"/>
                            </w:rPr>
                            <w:t>1,1886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trike/>
                              <w:color w:val="000000"/>
                              <w:sz w:val="22"/>
                              <w:szCs w:val="22"/>
                            </w:rPr>
                            <w:t>1,1082</w:t>
                          </w:r>
                        </w:p>
                        <w:p>
                          <w:pPr>
                            <w:ind w:right="38"/>
                            <w:textAlignment w:val="baseline"/>
                            <w:rPr>
                              <w:szCs w:val="24"/>
                            </w:rPr>
                          </w:pPr>
                          <w:r>
                            <w:rPr>
                              <w:b/>
                              <w:bCs/>
                              <w:color w:val="000000"/>
                              <w:sz w:val="22"/>
                              <w:szCs w:val="22"/>
                            </w:rPr>
                            <w:t>1,1930</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1,1177</w:t>
                          </w:r>
                        </w:p>
                        <w:p>
                          <w:pPr>
                            <w:ind w:right="38"/>
                            <w:jc w:val="center"/>
                            <w:textAlignment w:val="baseline"/>
                            <w:rPr>
                              <w:szCs w:val="24"/>
                            </w:rPr>
                          </w:pPr>
                          <w:r>
                            <w:rPr>
                              <w:b/>
                              <w:bCs/>
                              <w:color w:val="000000"/>
                              <w:sz w:val="22"/>
                              <w:szCs w:val="22"/>
                            </w:rPr>
                            <w:t>1,2032</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1,1381</w:t>
                          </w:r>
                        </w:p>
                        <w:p>
                          <w:pPr>
                            <w:ind w:right="38"/>
                            <w:jc w:val="center"/>
                            <w:textAlignment w:val="baseline"/>
                            <w:rPr>
                              <w:szCs w:val="24"/>
                            </w:rPr>
                          </w:pPr>
                          <w:r>
                            <w:rPr>
                              <w:b/>
                              <w:bCs/>
                              <w:color w:val="000000"/>
                              <w:sz w:val="22"/>
                              <w:szCs w:val="22"/>
                            </w:rPr>
                            <w:t>1,2252</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1,1735</w:t>
                          </w:r>
                        </w:p>
                        <w:p>
                          <w:pPr>
                            <w:ind w:right="38"/>
                            <w:jc w:val="center"/>
                            <w:textAlignment w:val="baseline"/>
                            <w:rPr>
                              <w:szCs w:val="24"/>
                            </w:rPr>
                          </w:pPr>
                          <w:r>
                            <w:rPr>
                              <w:b/>
                              <w:bCs/>
                              <w:color w:val="000000"/>
                              <w:sz w:val="22"/>
                              <w:szCs w:val="22"/>
                            </w:rPr>
                            <w:t>1,2633</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1,1775</w:t>
                          </w:r>
                        </w:p>
                        <w:p>
                          <w:pPr>
                            <w:ind w:right="38"/>
                            <w:jc w:val="center"/>
                            <w:textAlignment w:val="baseline"/>
                            <w:rPr>
                              <w:szCs w:val="24"/>
                            </w:rPr>
                          </w:pPr>
                          <w:r>
                            <w:rPr>
                              <w:b/>
                              <w:bCs/>
                              <w:color w:val="000000"/>
                              <w:sz w:val="22"/>
                              <w:szCs w:val="22"/>
                            </w:rPr>
                            <w:t>1,2676</w:t>
                          </w:r>
                        </w:p>
                      </w:tc>
                      <w:tc>
                        <w:tcPr>
                          <w:tcW w:w="85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1,1844</w:t>
                          </w:r>
                        </w:p>
                        <w:p>
                          <w:pPr>
                            <w:ind w:right="38"/>
                            <w:jc w:val="center"/>
                            <w:textAlignment w:val="baseline"/>
                            <w:rPr>
                              <w:szCs w:val="24"/>
                            </w:rPr>
                          </w:pPr>
                          <w:r>
                            <w:rPr>
                              <w:b/>
                              <w:bCs/>
                              <w:color w:val="000000"/>
                              <w:sz w:val="22"/>
                              <w:szCs w:val="22"/>
                            </w:rPr>
                            <w:t>1,2750</w:t>
                          </w:r>
                        </w:p>
                      </w:tc>
                    </w:tr>
                    <w:tr>
                      <w:trPr>
                        <w:trHeight w:val="259"/>
                      </w:trPr>
                      <w:tc>
                        <w:tcPr>
                          <w:tcW w:w="7963" w:type="dxa"/>
                          <w:gridSpan w:val="8"/>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color w:val="000000"/>
                              <w:sz w:val="22"/>
                              <w:szCs w:val="22"/>
                            </w:rPr>
                            <w:t>Suteiktos kvalifikacinės kategorijos</w:t>
                          </w:r>
                        </w:p>
                      </w:tc>
                    </w:tr>
                    <w:tr>
                      <w:trPr>
                        <w:trHeight w:val="514"/>
                      </w:trPr>
                      <w:tc>
                        <w:tcPr>
                          <w:tcW w:w="125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z w:val="22"/>
                              <w:szCs w:val="22"/>
                            </w:rPr>
                            <w:t>Mokytojas</w:t>
                          </w:r>
                        </w:p>
                      </w:tc>
                      <w:tc>
                        <w:tcPr>
                          <w:tcW w:w="89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1,1857</w:t>
                          </w:r>
                        </w:p>
                        <w:p>
                          <w:pPr>
                            <w:jc w:val="center"/>
                            <w:rPr>
                              <w:szCs w:val="24"/>
                            </w:rPr>
                          </w:pPr>
                          <w:r>
                            <w:rPr>
                              <w:b/>
                              <w:bCs/>
                              <w:color w:val="000000"/>
                              <w:sz w:val="22"/>
                              <w:szCs w:val="22"/>
                            </w:rPr>
                            <w:t>1,2764</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left="-110" w:right="38"/>
                            <w:jc w:val="center"/>
                            <w:textAlignment w:val="baseline"/>
                            <w:rPr>
                              <w:szCs w:val="24"/>
                            </w:rPr>
                          </w:pPr>
                          <w:r>
                            <w:rPr>
                              <w:strike/>
                              <w:color w:val="000000"/>
                              <w:sz w:val="22"/>
                              <w:szCs w:val="22"/>
                            </w:rPr>
                            <w:t>1,1886</w:t>
                          </w:r>
                        </w:p>
                        <w:p>
                          <w:pPr>
                            <w:ind w:left="-110" w:right="38"/>
                            <w:jc w:val="center"/>
                            <w:textAlignment w:val="baseline"/>
                            <w:rPr>
                              <w:szCs w:val="24"/>
                            </w:rPr>
                          </w:pPr>
                          <w:r>
                            <w:rPr>
                              <w:b/>
                              <w:bCs/>
                              <w:color w:val="000000"/>
                              <w:sz w:val="22"/>
                              <w:szCs w:val="22"/>
                            </w:rPr>
                            <w:t>1,2795</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1,1899</w:t>
                          </w:r>
                        </w:p>
                        <w:p>
                          <w:pPr>
                            <w:ind w:right="38"/>
                            <w:jc w:val="center"/>
                            <w:textAlignment w:val="baseline"/>
                            <w:rPr>
                              <w:szCs w:val="24"/>
                            </w:rPr>
                          </w:pPr>
                          <w:r>
                            <w:rPr>
                              <w:b/>
                              <w:bCs/>
                              <w:color w:val="000000"/>
                              <w:sz w:val="22"/>
                              <w:szCs w:val="22"/>
                            </w:rPr>
                            <w:t>1,2809</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1,1966</w:t>
                          </w:r>
                        </w:p>
                        <w:p>
                          <w:pPr>
                            <w:ind w:right="38"/>
                            <w:jc w:val="center"/>
                            <w:textAlignment w:val="baseline"/>
                            <w:rPr>
                              <w:szCs w:val="24"/>
                            </w:rPr>
                          </w:pPr>
                          <w:r>
                            <w:rPr>
                              <w:b/>
                              <w:bCs/>
                              <w:color w:val="000000"/>
                              <w:sz w:val="22"/>
                              <w:szCs w:val="22"/>
                            </w:rPr>
                            <w:t>1,2881</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1,1994</w:t>
                          </w:r>
                        </w:p>
                        <w:p>
                          <w:pPr>
                            <w:ind w:right="38"/>
                            <w:jc w:val="center"/>
                            <w:textAlignment w:val="baseline"/>
                            <w:rPr>
                              <w:szCs w:val="24"/>
                            </w:rPr>
                          </w:pPr>
                          <w:r>
                            <w:rPr>
                              <w:b/>
                              <w:bCs/>
                              <w:color w:val="000000"/>
                              <w:sz w:val="22"/>
                              <w:szCs w:val="22"/>
                            </w:rPr>
                            <w:t>1,2912</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1,2034</w:t>
                          </w:r>
                        </w:p>
                        <w:p>
                          <w:pPr>
                            <w:ind w:right="38"/>
                            <w:jc w:val="center"/>
                            <w:textAlignment w:val="baseline"/>
                            <w:rPr>
                              <w:szCs w:val="24"/>
                            </w:rPr>
                          </w:pPr>
                          <w:r>
                            <w:rPr>
                              <w:b/>
                              <w:bCs/>
                              <w:color w:val="000000"/>
                              <w:sz w:val="22"/>
                              <w:szCs w:val="22"/>
                            </w:rPr>
                            <w:t>1,2955</w:t>
                          </w:r>
                        </w:p>
                      </w:tc>
                      <w:tc>
                        <w:tcPr>
                          <w:tcW w:w="85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1,2129</w:t>
                          </w:r>
                        </w:p>
                        <w:p>
                          <w:pPr>
                            <w:ind w:right="38"/>
                            <w:jc w:val="center"/>
                            <w:textAlignment w:val="baseline"/>
                            <w:rPr>
                              <w:szCs w:val="24"/>
                            </w:rPr>
                          </w:pPr>
                          <w:r>
                            <w:rPr>
                              <w:b/>
                              <w:bCs/>
                              <w:color w:val="000000"/>
                              <w:sz w:val="22"/>
                              <w:szCs w:val="22"/>
                            </w:rPr>
                            <w:t>1,3057</w:t>
                          </w:r>
                        </w:p>
                      </w:tc>
                    </w:tr>
                    <w:tr>
                      <w:trPr>
                        <w:trHeight w:val="514"/>
                      </w:trPr>
                      <w:tc>
                        <w:tcPr>
                          <w:tcW w:w="125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z w:val="22"/>
                              <w:szCs w:val="22"/>
                            </w:rPr>
                            <w:t>Vyresnysis mokytojas</w:t>
                          </w:r>
                        </w:p>
                      </w:tc>
                      <w:tc>
                        <w:tcPr>
                          <w:tcW w:w="89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jc w:val="center"/>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1,2144</w:t>
                          </w:r>
                        </w:p>
                        <w:p>
                          <w:pPr>
                            <w:ind w:right="38"/>
                            <w:jc w:val="center"/>
                            <w:textAlignment w:val="baseline"/>
                            <w:rPr>
                              <w:szCs w:val="24"/>
                            </w:rPr>
                          </w:pPr>
                          <w:r>
                            <w:rPr>
                              <w:b/>
                              <w:bCs/>
                              <w:color w:val="000000"/>
                              <w:sz w:val="22"/>
                              <w:szCs w:val="22"/>
                            </w:rPr>
                            <w:t>1,3073</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1,2185</w:t>
                          </w:r>
                        </w:p>
                        <w:p>
                          <w:pPr>
                            <w:ind w:right="38"/>
                            <w:jc w:val="center"/>
                            <w:textAlignment w:val="baseline"/>
                            <w:rPr>
                              <w:szCs w:val="24"/>
                            </w:rPr>
                          </w:pPr>
                          <w:r>
                            <w:rPr>
                              <w:b/>
                              <w:bCs/>
                              <w:color w:val="000000"/>
                              <w:sz w:val="22"/>
                              <w:szCs w:val="22"/>
                            </w:rPr>
                            <w:t>1,3117</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1,2240</w:t>
                          </w:r>
                        </w:p>
                        <w:p>
                          <w:pPr>
                            <w:ind w:right="38"/>
                            <w:jc w:val="center"/>
                            <w:textAlignment w:val="baseline"/>
                            <w:rPr>
                              <w:szCs w:val="24"/>
                            </w:rPr>
                          </w:pPr>
                          <w:r>
                            <w:rPr>
                              <w:b/>
                              <w:bCs/>
                              <w:color w:val="000000"/>
                              <w:sz w:val="22"/>
                              <w:szCs w:val="22"/>
                            </w:rPr>
                            <w:t>1,3176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1,2730</w:t>
                          </w:r>
                        </w:p>
                        <w:p>
                          <w:pPr>
                            <w:ind w:right="38"/>
                            <w:jc w:val="center"/>
                            <w:textAlignment w:val="baseline"/>
                            <w:rPr>
                              <w:szCs w:val="24"/>
                            </w:rPr>
                          </w:pPr>
                          <w:r>
                            <w:rPr>
                              <w:b/>
                              <w:bCs/>
                              <w:color w:val="000000"/>
                              <w:sz w:val="22"/>
                              <w:szCs w:val="22"/>
                            </w:rPr>
                            <w:t>1,3704</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1,2797</w:t>
                          </w:r>
                        </w:p>
                        <w:p>
                          <w:pPr>
                            <w:ind w:right="38"/>
                            <w:jc w:val="center"/>
                            <w:textAlignment w:val="baseline"/>
                            <w:rPr>
                              <w:szCs w:val="24"/>
                            </w:rPr>
                          </w:pPr>
                          <w:r>
                            <w:rPr>
                              <w:b/>
                              <w:bCs/>
                              <w:color w:val="000000"/>
                              <w:sz w:val="22"/>
                              <w:szCs w:val="22"/>
                            </w:rPr>
                            <w:t>1,3776</w:t>
                          </w:r>
                        </w:p>
                      </w:tc>
                      <w:tc>
                        <w:tcPr>
                          <w:tcW w:w="85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1,2851</w:t>
                          </w:r>
                        </w:p>
                        <w:p>
                          <w:pPr>
                            <w:ind w:right="38"/>
                            <w:jc w:val="center"/>
                            <w:textAlignment w:val="baseline"/>
                            <w:rPr>
                              <w:szCs w:val="24"/>
                            </w:rPr>
                          </w:pPr>
                          <w:r>
                            <w:rPr>
                              <w:b/>
                              <w:bCs/>
                              <w:color w:val="000000"/>
                              <w:sz w:val="22"/>
                              <w:szCs w:val="22"/>
                            </w:rPr>
                            <w:t>1,3834</w:t>
                          </w:r>
                        </w:p>
                      </w:tc>
                    </w:tr>
                    <w:tr>
                      <w:trPr>
                        <w:trHeight w:val="500"/>
                      </w:trPr>
                      <w:tc>
                        <w:tcPr>
                          <w:tcW w:w="125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z w:val="22"/>
                              <w:szCs w:val="22"/>
                            </w:rPr>
                            <w:t>Mokytojas metodininkas</w:t>
                          </w:r>
                        </w:p>
                      </w:tc>
                      <w:tc>
                        <w:tcPr>
                          <w:tcW w:w="89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1,2974</w:t>
                          </w:r>
                        </w:p>
                        <w:p>
                          <w:pPr>
                            <w:ind w:right="38"/>
                            <w:jc w:val="center"/>
                            <w:textAlignment w:val="baseline"/>
                            <w:rPr>
                              <w:szCs w:val="24"/>
                            </w:rPr>
                          </w:pPr>
                          <w:r>
                            <w:rPr>
                              <w:b/>
                              <w:bCs/>
                              <w:color w:val="000000"/>
                              <w:sz w:val="22"/>
                              <w:szCs w:val="22"/>
                            </w:rPr>
                            <w:t>1,3967</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1,3206</w:t>
                          </w:r>
                        </w:p>
                        <w:p>
                          <w:pPr>
                            <w:ind w:right="38"/>
                            <w:jc w:val="center"/>
                            <w:textAlignment w:val="baseline"/>
                            <w:rPr>
                              <w:szCs w:val="24"/>
                            </w:rPr>
                          </w:pPr>
                          <w:r>
                            <w:rPr>
                              <w:b/>
                              <w:bCs/>
                              <w:color w:val="000000"/>
                              <w:sz w:val="22"/>
                              <w:szCs w:val="22"/>
                            </w:rPr>
                            <w:t>1,4216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1,3627</w:t>
                          </w:r>
                        </w:p>
                        <w:p>
                          <w:pPr>
                            <w:ind w:right="38"/>
                            <w:jc w:val="center"/>
                            <w:textAlignment w:val="baseline"/>
                            <w:rPr>
                              <w:szCs w:val="24"/>
                            </w:rPr>
                          </w:pPr>
                          <w:r>
                            <w:rPr>
                              <w:b/>
                              <w:bCs/>
                              <w:color w:val="000000"/>
                              <w:sz w:val="22"/>
                              <w:szCs w:val="22"/>
                            </w:rPr>
                            <w:t>1,4669</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1,3683</w:t>
                          </w:r>
                        </w:p>
                        <w:p>
                          <w:pPr>
                            <w:ind w:right="38"/>
                            <w:jc w:val="center"/>
                            <w:textAlignment w:val="baseline"/>
                            <w:rPr>
                              <w:szCs w:val="24"/>
                            </w:rPr>
                          </w:pPr>
                          <w:r>
                            <w:rPr>
                              <w:b/>
                              <w:bCs/>
                              <w:color w:val="000000"/>
                              <w:sz w:val="22"/>
                              <w:szCs w:val="22"/>
                            </w:rPr>
                            <w:t>1,4730</w:t>
                          </w:r>
                        </w:p>
                      </w:tc>
                      <w:tc>
                        <w:tcPr>
                          <w:tcW w:w="85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1,3778</w:t>
                          </w:r>
                        </w:p>
                        <w:p>
                          <w:pPr>
                            <w:ind w:right="38"/>
                            <w:jc w:val="center"/>
                            <w:textAlignment w:val="baseline"/>
                            <w:rPr>
                              <w:szCs w:val="24"/>
                            </w:rPr>
                          </w:pPr>
                          <w:r>
                            <w:rPr>
                              <w:b/>
                              <w:bCs/>
                              <w:color w:val="000000"/>
                              <w:sz w:val="22"/>
                              <w:szCs w:val="22"/>
                            </w:rPr>
                            <w:t>1,4832</w:t>
                          </w:r>
                        </w:p>
                      </w:tc>
                    </w:tr>
                    <w:tr>
                      <w:trPr>
                        <w:trHeight w:val="514"/>
                      </w:trPr>
                      <w:tc>
                        <w:tcPr>
                          <w:tcW w:w="125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z w:val="22"/>
                              <w:szCs w:val="22"/>
                            </w:rPr>
                            <w:t>Mokytojas ekspertas</w:t>
                          </w:r>
                        </w:p>
                      </w:tc>
                      <w:tc>
                        <w:tcPr>
                          <w:tcW w:w="89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1,4744</w:t>
                          </w:r>
                        </w:p>
                        <w:p>
                          <w:pPr>
                            <w:ind w:right="38"/>
                            <w:jc w:val="center"/>
                            <w:textAlignment w:val="baseline"/>
                            <w:rPr>
                              <w:szCs w:val="24"/>
                            </w:rPr>
                          </w:pPr>
                          <w:r>
                            <w:rPr>
                              <w:b/>
                              <w:bCs/>
                              <w:color w:val="000000"/>
                              <w:sz w:val="22"/>
                              <w:szCs w:val="22"/>
                            </w:rPr>
                            <w:t>1,5872</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1,4989</w:t>
                          </w:r>
                        </w:p>
                        <w:p>
                          <w:pPr>
                            <w:ind w:right="38"/>
                            <w:jc w:val="center"/>
                            <w:textAlignment w:val="baseline"/>
                            <w:rPr>
                              <w:szCs w:val="24"/>
                            </w:rPr>
                          </w:pPr>
                          <w:r>
                            <w:rPr>
                              <w:b/>
                              <w:bCs/>
                              <w:color w:val="000000"/>
                              <w:sz w:val="22"/>
                              <w:szCs w:val="22"/>
                            </w:rPr>
                            <w:t>1,6136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1,5371</w:t>
                          </w:r>
                        </w:p>
                        <w:p>
                          <w:pPr>
                            <w:ind w:right="38"/>
                            <w:jc w:val="center"/>
                            <w:textAlignment w:val="baseline"/>
                            <w:rPr>
                              <w:szCs w:val="24"/>
                            </w:rPr>
                          </w:pPr>
                          <w:r>
                            <w:rPr>
                              <w:b/>
                              <w:bCs/>
                              <w:color w:val="000000"/>
                              <w:sz w:val="22"/>
                              <w:szCs w:val="22"/>
                            </w:rPr>
                            <w:t>1,6547</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1,5439</w:t>
                          </w:r>
                        </w:p>
                        <w:p>
                          <w:pPr>
                            <w:ind w:right="38"/>
                            <w:jc w:val="center"/>
                            <w:textAlignment w:val="baseline"/>
                            <w:rPr>
                              <w:szCs w:val="24"/>
                            </w:rPr>
                          </w:pPr>
                          <w:r>
                            <w:rPr>
                              <w:b/>
                              <w:bCs/>
                              <w:color w:val="000000"/>
                              <w:sz w:val="22"/>
                              <w:szCs w:val="22"/>
                            </w:rPr>
                            <w:t>1,6620</w:t>
                          </w:r>
                        </w:p>
                      </w:tc>
                      <w:tc>
                        <w:tcPr>
                          <w:tcW w:w="85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hanging="104"/>
                            <w:jc w:val="center"/>
                            <w:textAlignment w:val="baseline"/>
                            <w:rPr>
                              <w:szCs w:val="24"/>
                            </w:rPr>
                          </w:pPr>
                          <w:r>
                            <w:rPr>
                              <w:strike/>
                              <w:color w:val="000000"/>
                              <w:sz w:val="22"/>
                              <w:szCs w:val="22"/>
                            </w:rPr>
                            <w:t>1,5507</w:t>
                          </w:r>
                        </w:p>
                        <w:p>
                          <w:pPr>
                            <w:ind w:right="38" w:hanging="108"/>
                            <w:jc w:val="center"/>
                            <w:textAlignment w:val="baseline"/>
                            <w:rPr>
                              <w:szCs w:val="24"/>
                            </w:rPr>
                          </w:pPr>
                          <w:r>
                            <w:rPr>
                              <w:b/>
                              <w:bCs/>
                              <w:color w:val="000000"/>
                              <w:sz w:val="22"/>
                              <w:szCs w:val="22"/>
                            </w:rPr>
                            <w:t>1,6693</w:t>
                          </w:r>
                          <w:r>
                            <w:rPr>
                              <w:color w:val="000000"/>
                              <w:sz w:val="22"/>
                              <w:szCs w:val="22"/>
                            </w:rPr>
                            <w:t>“.</w:t>
                          </w:r>
                        </w:p>
                      </w:tc>
                    </w:tr>
                  </w:tbl>
                  <w:p>
                    <w:pPr>
                      <w:ind w:firstLine="777"/>
                      <w:jc w:val="right"/>
                      <w:rPr>
                        <w:color w:val="000000"/>
                        <w:sz w:val="27"/>
                        <w:szCs w:val="27"/>
                      </w:rPr>
                    </w:pPr>
                  </w:p>
                  <w:p>
                    <w:pPr>
                      <w:ind w:firstLine="284"/>
                      <w:jc w:val="both"/>
                      <w:rPr>
                        <w:color w:val="000000"/>
                        <w:sz w:val="27"/>
                        <w:szCs w:val="27"/>
                      </w:rPr>
                    </w:pPr>
                    <w:r>
                      <w:rPr>
                        <w:color w:val="000000"/>
                        <w:sz w:val="22"/>
                        <w:szCs w:val="22"/>
                      </w:rPr>
                      <w:t>2. Pakeisti Įstatymo 2 priedo 12 punktą ir jį išdėstyti taip:</w:t>
                    </w:r>
                  </w:p>
                  <w:p>
                    <w:pPr>
                      <w:rPr>
                        <w:color w:val="000000"/>
                        <w:sz w:val="27"/>
                        <w:szCs w:val="27"/>
                      </w:rPr>
                    </w:pPr>
                    <w:r>
                      <w:rPr>
                        <w:color w:val="000000"/>
                        <w:sz w:val="22"/>
                        <w:szCs w:val="22"/>
                      </w:rPr>
                      <w:t>„12. Šiame skyriuje nurodytų darbuotojų pareiginės algos koeficientai:</w:t>
                    </w:r>
                  </w:p>
                  <w:p>
                    <w:pPr>
                      <w:ind w:firstLine="57"/>
                      <w:rPr>
                        <w:color w:val="000000"/>
                        <w:sz w:val="27"/>
                        <w:szCs w:val="27"/>
                      </w:rPr>
                    </w:pPr>
                  </w:p>
                  <w:p>
                    <w:pPr>
                      <w:jc w:val="right"/>
                      <w:rPr>
                        <w:color w:val="000000"/>
                        <w:sz w:val="27"/>
                        <w:szCs w:val="27"/>
                      </w:rPr>
                    </w:pPr>
                    <w:r>
                      <w:rPr>
                        <w:color w:val="000000"/>
                        <w:sz w:val="22"/>
                        <w:szCs w:val="22"/>
                      </w:rPr>
                      <w:t>(pareiginės algos (atlyginimo) baziniais dydžiais)</w:t>
                    </w:r>
                  </w:p>
                  <w:tbl>
                    <w:tblPr>
                      <w:tblW w:w="8246" w:type="dxa"/>
                      <w:tblLayout w:type="fixed"/>
                      <w:tblCellMar>
                        <w:left w:w="0" w:type="dxa"/>
                        <w:right w:w="0" w:type="dxa"/>
                      </w:tblCellMar>
                      <w:tblLook w:val="04A0" w:firstRow="1" w:lastRow="0" w:firstColumn="1" w:lastColumn="0" w:noHBand="0" w:noVBand="1"/>
                    </w:tblPr>
                    <w:tblGrid>
                      <w:gridCol w:w="1307"/>
                      <w:gridCol w:w="986"/>
                      <w:gridCol w:w="992"/>
                      <w:gridCol w:w="992"/>
                      <w:gridCol w:w="992"/>
                      <w:gridCol w:w="993"/>
                      <w:gridCol w:w="992"/>
                      <w:gridCol w:w="992"/>
                    </w:tblGrid>
                    <w:tr>
                      <w:trPr>
                        <w:trHeight w:val="196"/>
                        <w:tblHeader/>
                      </w:trPr>
                      <w:tc>
                        <w:tcPr>
                          <w:tcW w:w="1307"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z w:val="22"/>
                              <w:szCs w:val="22"/>
                            </w:rPr>
                            <w:t>Kvalifikacinė kategorija</w:t>
                          </w:r>
                        </w:p>
                      </w:tc>
                      <w:tc>
                        <w:tcPr>
                          <w:tcW w:w="6939" w:type="dxa"/>
                          <w:gridSpan w:val="7"/>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z w:val="22"/>
                              <w:szCs w:val="22"/>
                            </w:rPr>
                            <w:t>Pareiginės algos koeficientai</w:t>
                          </w:r>
                        </w:p>
                      </w:tc>
                    </w:tr>
                    <w:tr>
                      <w:trPr>
                        <w:trHeight w:val="196"/>
                        <w:tblHeader/>
                      </w:trPr>
                      <w:tc>
                        <w:tcPr>
                          <w:tcW w:w="1307"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6939" w:type="dxa"/>
                          <w:gridSpan w:val="7"/>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z w:val="22"/>
                              <w:szCs w:val="22"/>
                            </w:rPr>
                            <w:t>Pedagoginio darbo stažas (metais)</w:t>
                          </w:r>
                        </w:p>
                      </w:tc>
                    </w:tr>
                    <w:tr>
                      <w:trPr>
                        <w:trHeight w:val="806"/>
                        <w:tblHeader/>
                      </w:trPr>
                      <w:tc>
                        <w:tcPr>
                          <w:tcW w:w="1307"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98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z w:val="22"/>
                              <w:szCs w:val="22"/>
                            </w:rPr>
                            <w:t>iki 2</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z w:val="22"/>
                              <w:szCs w:val="22"/>
                            </w:rPr>
                            <w:t>nuo daugiau kaip 2 iki 5</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z w:val="22"/>
                              <w:szCs w:val="22"/>
                            </w:rPr>
                            <w:t>nuo daugiau kaip 5 iki 10</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z w:val="22"/>
                              <w:szCs w:val="22"/>
                            </w:rPr>
                            <w:t>nuo daugiau kaip 10 iki 15</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z w:val="22"/>
                              <w:szCs w:val="22"/>
                            </w:rPr>
                            <w:t>nuo daugiau kaip 15 iki 20</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hanging="47"/>
                            <w:jc w:val="center"/>
                            <w:textAlignment w:val="baseline"/>
                            <w:rPr>
                              <w:szCs w:val="24"/>
                            </w:rPr>
                          </w:pPr>
                          <w:r>
                            <w:rPr>
                              <w:sz w:val="22"/>
                              <w:szCs w:val="22"/>
                            </w:rPr>
                            <w:t>nuo daugiau kaip 20 iki 25</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hanging="104"/>
                            <w:jc w:val="center"/>
                            <w:textAlignment w:val="baseline"/>
                            <w:rPr>
                              <w:szCs w:val="24"/>
                            </w:rPr>
                          </w:pPr>
                          <w:r>
                            <w:rPr>
                              <w:sz w:val="22"/>
                              <w:szCs w:val="22"/>
                            </w:rPr>
                            <w:t>daugiau kaip 25</w:t>
                          </w:r>
                        </w:p>
                      </w:tc>
                    </w:tr>
                    <w:tr>
                      <w:trPr>
                        <w:trHeight w:val="199"/>
                      </w:trPr>
                      <w:tc>
                        <w:tcPr>
                          <w:tcW w:w="8246" w:type="dxa"/>
                          <w:gridSpan w:val="8"/>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z w:val="22"/>
                              <w:szCs w:val="22"/>
                            </w:rPr>
                            <w:t>Nesuteiktos kvalifikacinės kategorijos</w:t>
                          </w:r>
                        </w:p>
                      </w:tc>
                    </w:tr>
                    <w:tr>
                      <w:trPr>
                        <w:trHeight w:val="220"/>
                      </w:trPr>
                      <w:tc>
                        <w:tcPr>
                          <w:tcW w:w="130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z w:val="22"/>
                              <w:szCs w:val="22"/>
                            </w:rPr>
                            <w:t>Mokytojas</w:t>
                          </w:r>
                        </w:p>
                      </w:tc>
                      <w:tc>
                        <w:tcPr>
                          <w:tcW w:w="98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1,1041</w:t>
                          </w:r>
                        </w:p>
                        <w:p>
                          <w:pPr>
                            <w:ind w:right="38"/>
                            <w:jc w:val="center"/>
                            <w:textAlignment w:val="baseline"/>
                            <w:rPr>
                              <w:szCs w:val="24"/>
                            </w:rPr>
                          </w:pPr>
                          <w:r>
                            <w:rPr>
                              <w:b/>
                              <w:bCs/>
                              <w:color w:val="000000"/>
                              <w:sz w:val="22"/>
                              <w:szCs w:val="22"/>
                            </w:rPr>
                            <w:t>1,1886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trike/>
                              <w:color w:val="000000"/>
                              <w:sz w:val="22"/>
                              <w:szCs w:val="22"/>
                            </w:rPr>
                            <w:t>1,1082</w:t>
                          </w:r>
                        </w:p>
                        <w:p>
                          <w:pPr>
                            <w:ind w:right="38"/>
                            <w:textAlignment w:val="baseline"/>
                            <w:rPr>
                              <w:szCs w:val="24"/>
                            </w:rPr>
                          </w:pPr>
                          <w:r>
                            <w:rPr>
                              <w:b/>
                              <w:bCs/>
                              <w:color w:val="000000"/>
                              <w:sz w:val="22"/>
                              <w:szCs w:val="22"/>
                            </w:rPr>
                            <w:t>1,1930</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1,1177</w:t>
                          </w:r>
                        </w:p>
                        <w:p>
                          <w:pPr>
                            <w:ind w:right="38"/>
                            <w:jc w:val="center"/>
                            <w:textAlignment w:val="baseline"/>
                            <w:rPr>
                              <w:szCs w:val="24"/>
                            </w:rPr>
                          </w:pPr>
                          <w:r>
                            <w:rPr>
                              <w:b/>
                              <w:bCs/>
                              <w:color w:val="000000"/>
                              <w:sz w:val="22"/>
                              <w:szCs w:val="22"/>
                            </w:rPr>
                            <w:t>1,2032</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1,1381</w:t>
                          </w:r>
                        </w:p>
                        <w:p>
                          <w:pPr>
                            <w:ind w:right="38"/>
                            <w:jc w:val="center"/>
                            <w:textAlignment w:val="baseline"/>
                            <w:rPr>
                              <w:szCs w:val="24"/>
                            </w:rPr>
                          </w:pPr>
                          <w:r>
                            <w:rPr>
                              <w:b/>
                              <w:bCs/>
                              <w:color w:val="000000"/>
                              <w:sz w:val="22"/>
                              <w:szCs w:val="22"/>
                            </w:rPr>
                            <w:t>1,2252</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1,1735</w:t>
                          </w:r>
                        </w:p>
                        <w:p>
                          <w:pPr>
                            <w:ind w:right="38"/>
                            <w:jc w:val="center"/>
                            <w:textAlignment w:val="baseline"/>
                            <w:rPr>
                              <w:szCs w:val="24"/>
                            </w:rPr>
                          </w:pPr>
                          <w:r>
                            <w:rPr>
                              <w:b/>
                              <w:bCs/>
                              <w:color w:val="000000"/>
                              <w:sz w:val="22"/>
                              <w:szCs w:val="22"/>
                            </w:rPr>
                            <w:t>1,2633</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1,1775</w:t>
                          </w:r>
                        </w:p>
                        <w:p>
                          <w:pPr>
                            <w:ind w:right="38"/>
                            <w:jc w:val="center"/>
                            <w:textAlignment w:val="baseline"/>
                            <w:rPr>
                              <w:szCs w:val="24"/>
                            </w:rPr>
                          </w:pPr>
                          <w:r>
                            <w:rPr>
                              <w:b/>
                              <w:bCs/>
                              <w:color w:val="000000"/>
                              <w:sz w:val="22"/>
                              <w:szCs w:val="22"/>
                            </w:rPr>
                            <w:t>1,2676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1,1844</w:t>
                          </w:r>
                        </w:p>
                        <w:p>
                          <w:pPr>
                            <w:ind w:right="38"/>
                            <w:jc w:val="center"/>
                            <w:textAlignment w:val="baseline"/>
                            <w:rPr>
                              <w:szCs w:val="24"/>
                            </w:rPr>
                          </w:pPr>
                          <w:r>
                            <w:rPr>
                              <w:b/>
                              <w:bCs/>
                              <w:color w:val="000000"/>
                              <w:sz w:val="22"/>
                              <w:szCs w:val="22"/>
                            </w:rPr>
                            <w:t>1,2750</w:t>
                          </w:r>
                        </w:p>
                      </w:tc>
                    </w:tr>
                    <w:tr>
                      <w:trPr>
                        <w:trHeight w:val="199"/>
                      </w:trPr>
                      <w:tc>
                        <w:tcPr>
                          <w:tcW w:w="8246" w:type="dxa"/>
                          <w:gridSpan w:val="8"/>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color w:val="000000"/>
                              <w:sz w:val="22"/>
                              <w:szCs w:val="22"/>
                            </w:rPr>
                            <w:t>Suteiktos kvalifikacinės kategorijos</w:t>
                          </w:r>
                        </w:p>
                      </w:tc>
                    </w:tr>
                    <w:tr>
                      <w:trPr>
                        <w:trHeight w:val="395"/>
                      </w:trPr>
                      <w:tc>
                        <w:tcPr>
                          <w:tcW w:w="130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z w:val="22"/>
                              <w:szCs w:val="22"/>
                            </w:rPr>
                            <w:t>Mokytojas</w:t>
                          </w:r>
                        </w:p>
                      </w:tc>
                      <w:tc>
                        <w:tcPr>
                          <w:tcW w:w="98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1,1857</w:t>
                          </w:r>
                        </w:p>
                        <w:p>
                          <w:pPr>
                            <w:ind w:right="38"/>
                            <w:jc w:val="center"/>
                            <w:textAlignment w:val="baseline"/>
                            <w:rPr>
                              <w:szCs w:val="24"/>
                            </w:rPr>
                          </w:pPr>
                          <w:r>
                            <w:rPr>
                              <w:b/>
                              <w:bCs/>
                              <w:color w:val="000000"/>
                              <w:sz w:val="22"/>
                              <w:szCs w:val="22"/>
                            </w:rPr>
                            <w:t>1,2764</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left="-110" w:right="38"/>
                            <w:jc w:val="center"/>
                            <w:textAlignment w:val="baseline"/>
                            <w:rPr>
                              <w:szCs w:val="24"/>
                            </w:rPr>
                          </w:pPr>
                          <w:r>
                            <w:rPr>
                              <w:strike/>
                              <w:color w:val="000000"/>
                              <w:sz w:val="22"/>
                              <w:szCs w:val="22"/>
                            </w:rPr>
                            <w:t>1,1886</w:t>
                          </w:r>
                        </w:p>
                        <w:p>
                          <w:pPr>
                            <w:ind w:left="-110" w:right="38"/>
                            <w:jc w:val="center"/>
                            <w:textAlignment w:val="baseline"/>
                            <w:rPr>
                              <w:szCs w:val="24"/>
                            </w:rPr>
                          </w:pPr>
                          <w:r>
                            <w:rPr>
                              <w:b/>
                              <w:bCs/>
                              <w:color w:val="000000"/>
                              <w:sz w:val="22"/>
                              <w:szCs w:val="22"/>
                            </w:rPr>
                            <w:t>1,2795</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1,1899</w:t>
                          </w:r>
                        </w:p>
                        <w:p>
                          <w:pPr>
                            <w:ind w:right="38"/>
                            <w:jc w:val="center"/>
                            <w:textAlignment w:val="baseline"/>
                            <w:rPr>
                              <w:szCs w:val="24"/>
                            </w:rPr>
                          </w:pPr>
                          <w:r>
                            <w:rPr>
                              <w:b/>
                              <w:bCs/>
                              <w:color w:val="000000"/>
                              <w:sz w:val="22"/>
                              <w:szCs w:val="22"/>
                            </w:rPr>
                            <w:t>1,2809</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1,1966</w:t>
                          </w:r>
                        </w:p>
                        <w:p>
                          <w:pPr>
                            <w:ind w:right="38"/>
                            <w:jc w:val="center"/>
                            <w:textAlignment w:val="baseline"/>
                            <w:rPr>
                              <w:szCs w:val="24"/>
                            </w:rPr>
                          </w:pPr>
                          <w:r>
                            <w:rPr>
                              <w:b/>
                              <w:bCs/>
                              <w:color w:val="000000"/>
                              <w:sz w:val="22"/>
                              <w:szCs w:val="22"/>
                            </w:rPr>
                            <w:t>1,2881</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1,1994</w:t>
                          </w:r>
                        </w:p>
                        <w:p>
                          <w:pPr>
                            <w:ind w:right="38"/>
                            <w:jc w:val="center"/>
                            <w:textAlignment w:val="baseline"/>
                            <w:rPr>
                              <w:szCs w:val="24"/>
                            </w:rPr>
                          </w:pPr>
                          <w:r>
                            <w:rPr>
                              <w:b/>
                              <w:bCs/>
                              <w:color w:val="000000"/>
                              <w:sz w:val="22"/>
                              <w:szCs w:val="22"/>
                            </w:rPr>
                            <w:t>1,2912</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1,2034</w:t>
                          </w:r>
                        </w:p>
                        <w:p>
                          <w:pPr>
                            <w:ind w:right="38"/>
                            <w:jc w:val="center"/>
                            <w:textAlignment w:val="baseline"/>
                            <w:rPr>
                              <w:szCs w:val="24"/>
                            </w:rPr>
                          </w:pPr>
                          <w:r>
                            <w:rPr>
                              <w:b/>
                              <w:bCs/>
                              <w:color w:val="000000"/>
                              <w:sz w:val="22"/>
                              <w:szCs w:val="22"/>
                            </w:rPr>
                            <w:t>1,2955</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1,2129</w:t>
                          </w:r>
                        </w:p>
                        <w:p>
                          <w:pPr>
                            <w:ind w:right="38"/>
                            <w:jc w:val="center"/>
                            <w:textAlignment w:val="baseline"/>
                            <w:rPr>
                              <w:szCs w:val="24"/>
                            </w:rPr>
                          </w:pPr>
                          <w:r>
                            <w:rPr>
                              <w:b/>
                              <w:bCs/>
                              <w:color w:val="000000"/>
                              <w:sz w:val="22"/>
                              <w:szCs w:val="22"/>
                            </w:rPr>
                            <w:t>1,3057</w:t>
                          </w:r>
                        </w:p>
                      </w:tc>
                    </w:tr>
                    <w:tr>
                      <w:trPr>
                        <w:trHeight w:val="395"/>
                      </w:trPr>
                      <w:tc>
                        <w:tcPr>
                          <w:tcW w:w="130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z w:val="22"/>
                              <w:szCs w:val="22"/>
                            </w:rPr>
                            <w:t>Vyresnysis mokytojas</w:t>
                          </w:r>
                        </w:p>
                      </w:tc>
                      <w:tc>
                        <w:tcPr>
                          <w:tcW w:w="98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jc w:val="center"/>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1,2144</w:t>
                          </w:r>
                        </w:p>
                        <w:p>
                          <w:pPr>
                            <w:ind w:right="38"/>
                            <w:jc w:val="center"/>
                            <w:textAlignment w:val="baseline"/>
                            <w:rPr>
                              <w:szCs w:val="24"/>
                            </w:rPr>
                          </w:pPr>
                          <w:r>
                            <w:rPr>
                              <w:b/>
                              <w:bCs/>
                              <w:color w:val="000000"/>
                              <w:sz w:val="22"/>
                              <w:szCs w:val="22"/>
                            </w:rPr>
                            <w:t>1,3073</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1,2185</w:t>
                          </w:r>
                        </w:p>
                        <w:p>
                          <w:pPr>
                            <w:ind w:right="38"/>
                            <w:jc w:val="center"/>
                            <w:textAlignment w:val="baseline"/>
                            <w:rPr>
                              <w:szCs w:val="24"/>
                            </w:rPr>
                          </w:pPr>
                          <w:r>
                            <w:rPr>
                              <w:b/>
                              <w:bCs/>
                              <w:color w:val="000000"/>
                              <w:sz w:val="22"/>
                              <w:szCs w:val="22"/>
                            </w:rPr>
                            <w:t>1,3117</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1,2240</w:t>
                          </w:r>
                        </w:p>
                        <w:p>
                          <w:pPr>
                            <w:ind w:right="38"/>
                            <w:jc w:val="center"/>
                            <w:textAlignment w:val="baseline"/>
                            <w:rPr>
                              <w:szCs w:val="24"/>
                            </w:rPr>
                          </w:pPr>
                          <w:r>
                            <w:rPr>
                              <w:b/>
                              <w:bCs/>
                              <w:color w:val="000000"/>
                              <w:sz w:val="22"/>
                              <w:szCs w:val="22"/>
                            </w:rPr>
                            <w:t>1,3176</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1,2730</w:t>
                          </w:r>
                        </w:p>
                        <w:p>
                          <w:pPr>
                            <w:ind w:right="38"/>
                            <w:jc w:val="center"/>
                            <w:textAlignment w:val="baseline"/>
                            <w:rPr>
                              <w:szCs w:val="24"/>
                            </w:rPr>
                          </w:pPr>
                          <w:r>
                            <w:rPr>
                              <w:b/>
                              <w:bCs/>
                              <w:color w:val="000000"/>
                              <w:sz w:val="22"/>
                              <w:szCs w:val="22"/>
                            </w:rPr>
                            <w:t>1,3704</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1,2797</w:t>
                          </w:r>
                        </w:p>
                        <w:p>
                          <w:pPr>
                            <w:ind w:right="38"/>
                            <w:jc w:val="center"/>
                            <w:textAlignment w:val="baseline"/>
                            <w:rPr>
                              <w:szCs w:val="24"/>
                            </w:rPr>
                          </w:pPr>
                          <w:r>
                            <w:rPr>
                              <w:b/>
                              <w:bCs/>
                              <w:color w:val="000000"/>
                              <w:sz w:val="22"/>
                              <w:szCs w:val="22"/>
                            </w:rPr>
                            <w:t>1,3776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1,2851</w:t>
                          </w:r>
                        </w:p>
                        <w:p>
                          <w:pPr>
                            <w:ind w:right="38"/>
                            <w:jc w:val="center"/>
                            <w:textAlignment w:val="baseline"/>
                            <w:rPr>
                              <w:szCs w:val="24"/>
                            </w:rPr>
                          </w:pPr>
                          <w:r>
                            <w:rPr>
                              <w:b/>
                              <w:bCs/>
                              <w:color w:val="000000"/>
                              <w:sz w:val="22"/>
                              <w:szCs w:val="22"/>
                            </w:rPr>
                            <w:t>1,3834</w:t>
                          </w:r>
                        </w:p>
                      </w:tc>
                    </w:tr>
                    <w:tr>
                      <w:trPr>
                        <w:trHeight w:val="384"/>
                      </w:trPr>
                      <w:tc>
                        <w:tcPr>
                          <w:tcW w:w="130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z w:val="22"/>
                              <w:szCs w:val="22"/>
                            </w:rPr>
                            <w:t>Mokytojas metodininkas</w:t>
                          </w:r>
                        </w:p>
                      </w:tc>
                      <w:tc>
                        <w:tcPr>
                          <w:tcW w:w="98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1,2974</w:t>
                          </w:r>
                        </w:p>
                        <w:p>
                          <w:pPr>
                            <w:ind w:right="38"/>
                            <w:jc w:val="center"/>
                            <w:textAlignment w:val="baseline"/>
                            <w:rPr>
                              <w:szCs w:val="24"/>
                            </w:rPr>
                          </w:pPr>
                          <w:r>
                            <w:rPr>
                              <w:b/>
                              <w:bCs/>
                              <w:color w:val="000000"/>
                              <w:sz w:val="22"/>
                              <w:szCs w:val="22"/>
                            </w:rPr>
                            <w:t>1,3967</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1,3206</w:t>
                          </w:r>
                        </w:p>
                        <w:p>
                          <w:pPr>
                            <w:ind w:right="38"/>
                            <w:jc w:val="center"/>
                            <w:textAlignment w:val="baseline"/>
                            <w:rPr>
                              <w:szCs w:val="24"/>
                            </w:rPr>
                          </w:pPr>
                          <w:r>
                            <w:rPr>
                              <w:b/>
                              <w:bCs/>
                              <w:color w:val="000000"/>
                              <w:sz w:val="22"/>
                              <w:szCs w:val="22"/>
                            </w:rPr>
                            <w:t>1,4216</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1,3627</w:t>
                          </w:r>
                        </w:p>
                        <w:p>
                          <w:pPr>
                            <w:ind w:right="38"/>
                            <w:jc w:val="center"/>
                            <w:textAlignment w:val="baseline"/>
                            <w:rPr>
                              <w:szCs w:val="24"/>
                            </w:rPr>
                          </w:pPr>
                          <w:r>
                            <w:rPr>
                              <w:b/>
                              <w:bCs/>
                              <w:color w:val="000000"/>
                              <w:sz w:val="22"/>
                              <w:szCs w:val="22"/>
                            </w:rPr>
                            <w:t>1,4669</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1,3683</w:t>
                          </w:r>
                        </w:p>
                        <w:p>
                          <w:pPr>
                            <w:ind w:right="38"/>
                            <w:jc w:val="center"/>
                            <w:textAlignment w:val="baseline"/>
                            <w:rPr>
                              <w:szCs w:val="24"/>
                            </w:rPr>
                          </w:pPr>
                          <w:r>
                            <w:rPr>
                              <w:b/>
                              <w:bCs/>
                              <w:color w:val="000000"/>
                              <w:sz w:val="22"/>
                              <w:szCs w:val="22"/>
                            </w:rPr>
                            <w:t>1,4730</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1,3778</w:t>
                          </w:r>
                        </w:p>
                        <w:p>
                          <w:pPr>
                            <w:ind w:right="38"/>
                            <w:jc w:val="center"/>
                            <w:textAlignment w:val="baseline"/>
                            <w:rPr>
                              <w:szCs w:val="24"/>
                            </w:rPr>
                          </w:pPr>
                          <w:r>
                            <w:rPr>
                              <w:b/>
                              <w:bCs/>
                              <w:color w:val="000000"/>
                              <w:sz w:val="22"/>
                              <w:szCs w:val="22"/>
                            </w:rPr>
                            <w:t>1,4832</w:t>
                          </w:r>
                        </w:p>
                      </w:tc>
                    </w:tr>
                    <w:tr>
                      <w:trPr>
                        <w:trHeight w:val="395"/>
                      </w:trPr>
                      <w:tc>
                        <w:tcPr>
                          <w:tcW w:w="130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z w:val="22"/>
                              <w:szCs w:val="22"/>
                            </w:rPr>
                            <w:t>Mokytojas ekspertas</w:t>
                          </w:r>
                        </w:p>
                      </w:tc>
                      <w:tc>
                        <w:tcPr>
                          <w:tcW w:w="98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1,4744</w:t>
                          </w:r>
                        </w:p>
                        <w:p>
                          <w:pPr>
                            <w:ind w:right="38"/>
                            <w:jc w:val="center"/>
                            <w:textAlignment w:val="baseline"/>
                            <w:rPr>
                              <w:szCs w:val="24"/>
                            </w:rPr>
                          </w:pPr>
                          <w:r>
                            <w:rPr>
                              <w:b/>
                              <w:bCs/>
                              <w:color w:val="000000"/>
                              <w:sz w:val="22"/>
                              <w:szCs w:val="22"/>
                            </w:rPr>
                            <w:t>1,5872</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1,4989</w:t>
                          </w:r>
                        </w:p>
                        <w:p>
                          <w:pPr>
                            <w:ind w:right="38"/>
                            <w:jc w:val="center"/>
                            <w:textAlignment w:val="baseline"/>
                            <w:rPr>
                              <w:szCs w:val="24"/>
                            </w:rPr>
                          </w:pPr>
                          <w:r>
                            <w:rPr>
                              <w:b/>
                              <w:bCs/>
                              <w:color w:val="000000"/>
                              <w:sz w:val="22"/>
                              <w:szCs w:val="22"/>
                            </w:rPr>
                            <w:t>1,6136</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1,5371</w:t>
                          </w:r>
                        </w:p>
                        <w:p>
                          <w:pPr>
                            <w:ind w:right="38"/>
                            <w:jc w:val="center"/>
                            <w:textAlignment w:val="baseline"/>
                            <w:rPr>
                              <w:szCs w:val="24"/>
                            </w:rPr>
                          </w:pPr>
                          <w:r>
                            <w:rPr>
                              <w:b/>
                              <w:bCs/>
                              <w:color w:val="000000"/>
                              <w:sz w:val="22"/>
                              <w:szCs w:val="22"/>
                            </w:rPr>
                            <w:t>1,6547</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1,5439</w:t>
                          </w:r>
                        </w:p>
                        <w:p>
                          <w:pPr>
                            <w:ind w:right="38"/>
                            <w:jc w:val="center"/>
                            <w:textAlignment w:val="baseline"/>
                            <w:rPr>
                              <w:szCs w:val="24"/>
                            </w:rPr>
                          </w:pPr>
                          <w:r>
                            <w:rPr>
                              <w:b/>
                              <w:bCs/>
                              <w:color w:val="000000"/>
                              <w:sz w:val="22"/>
                              <w:szCs w:val="22"/>
                            </w:rPr>
                            <w:t>1,6620</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hanging="104"/>
                            <w:jc w:val="center"/>
                            <w:textAlignment w:val="baseline"/>
                            <w:rPr>
                              <w:szCs w:val="24"/>
                            </w:rPr>
                          </w:pPr>
                          <w:r>
                            <w:rPr>
                              <w:strike/>
                              <w:color w:val="000000"/>
                              <w:sz w:val="22"/>
                              <w:szCs w:val="22"/>
                            </w:rPr>
                            <w:t>1,5507</w:t>
                          </w:r>
                        </w:p>
                        <w:p>
                          <w:pPr>
                            <w:ind w:right="38" w:hanging="104"/>
                            <w:jc w:val="center"/>
                            <w:textAlignment w:val="baseline"/>
                            <w:rPr>
                              <w:szCs w:val="24"/>
                            </w:rPr>
                          </w:pPr>
                          <w:r>
                            <w:rPr>
                              <w:b/>
                              <w:bCs/>
                              <w:color w:val="000000"/>
                              <w:sz w:val="22"/>
                              <w:szCs w:val="22"/>
                            </w:rPr>
                            <w:t>1,6693</w:t>
                          </w:r>
                          <w:r>
                            <w:rPr>
                              <w:color w:val="000000"/>
                              <w:sz w:val="22"/>
                              <w:szCs w:val="22"/>
                            </w:rPr>
                            <w:t>“.</w:t>
                          </w:r>
                        </w:p>
                      </w:tc>
                    </w:tr>
                  </w:tbl>
                  <w:p>
                    <w:pPr>
                      <w:ind w:firstLine="284"/>
                      <w:jc w:val="both"/>
                      <w:rPr>
                        <w:color w:val="000000"/>
                        <w:sz w:val="27"/>
                        <w:szCs w:val="27"/>
                      </w:rPr>
                    </w:pPr>
                  </w:p>
                  <w:p>
                    <w:pPr>
                      <w:ind w:firstLine="227"/>
                      <w:jc w:val="both"/>
                      <w:rPr>
                        <w:color w:val="000000"/>
                        <w:sz w:val="27"/>
                        <w:szCs w:val="27"/>
                      </w:rPr>
                    </w:pPr>
                    <w:r>
                      <w:rPr>
                        <w:color w:val="000000"/>
                        <w:sz w:val="22"/>
                        <w:szCs w:val="22"/>
                      </w:rPr>
                      <w:t>3. Pakeisti Įstatymo 2 priedo 18 punktą ir jį išdėstyti taip:</w:t>
                    </w:r>
                  </w:p>
                  <w:p>
                    <w:pPr>
                      <w:ind w:firstLine="227"/>
                      <w:jc w:val="both"/>
                      <w:rPr>
                        <w:color w:val="000000"/>
                        <w:sz w:val="27"/>
                        <w:szCs w:val="27"/>
                      </w:rPr>
                    </w:pPr>
                    <w:r>
                      <w:rPr>
                        <w:color w:val="000000"/>
                        <w:sz w:val="22"/>
                        <w:szCs w:val="22"/>
                      </w:rPr>
                      <w:t>„18. Šiame skyriuje nurodytų darbuotojų pareiginės algos koeficientai:</w:t>
                    </w:r>
                  </w:p>
                  <w:p>
                    <w:pPr>
                      <w:jc w:val="right"/>
                      <w:rPr>
                        <w:color w:val="000000"/>
                        <w:sz w:val="27"/>
                        <w:szCs w:val="27"/>
                      </w:rPr>
                    </w:pPr>
                    <w:r>
                      <w:rPr>
                        <w:color w:val="000000"/>
                        <w:sz w:val="22"/>
                        <w:szCs w:val="22"/>
                      </w:rPr>
                      <w:t>(pareiginės algos (atlyginimo) baziniais dydžiais)</w:t>
                    </w:r>
                  </w:p>
                  <w:tbl>
                    <w:tblPr>
                      <w:tblW w:w="8104" w:type="dxa"/>
                      <w:tblLayout w:type="fixed"/>
                      <w:tblCellMar>
                        <w:left w:w="0" w:type="dxa"/>
                        <w:right w:w="0" w:type="dxa"/>
                      </w:tblCellMar>
                      <w:tblLook w:val="04A0" w:firstRow="1" w:lastRow="0" w:firstColumn="1" w:lastColumn="0" w:noHBand="0" w:noVBand="1"/>
                    </w:tblPr>
                    <w:tblGrid>
                      <w:gridCol w:w="1233"/>
                      <w:gridCol w:w="918"/>
                      <w:gridCol w:w="992"/>
                      <w:gridCol w:w="992"/>
                      <w:gridCol w:w="993"/>
                      <w:gridCol w:w="992"/>
                      <w:gridCol w:w="689"/>
                      <w:gridCol w:w="303"/>
                      <w:gridCol w:w="992"/>
                    </w:tblGrid>
                    <w:tr>
                      <w:trPr>
                        <w:gridAfter w:val="2"/>
                        <w:wAfter w:w="1295" w:type="dxa"/>
                        <w:trHeight w:val="214"/>
                        <w:tblHeader/>
                      </w:trPr>
                      <w:tc>
                        <w:tcPr>
                          <w:tcW w:w="1233"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color w:val="000000"/>
                              <w:sz w:val="22"/>
                              <w:szCs w:val="22"/>
                            </w:rPr>
                            <w:t>Kvalifikacinė kategorija</w:t>
                          </w:r>
                        </w:p>
                      </w:tc>
                      <w:tc>
                        <w:tcPr>
                          <w:tcW w:w="5576" w:type="dxa"/>
                          <w:gridSpan w:val="6"/>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color w:val="000000"/>
                              <w:sz w:val="22"/>
                              <w:szCs w:val="22"/>
                            </w:rPr>
                            <w:t>Pareiginės algos koeficientai</w:t>
                          </w:r>
                        </w:p>
                      </w:tc>
                    </w:tr>
                    <w:tr>
                      <w:trPr>
                        <w:gridAfter w:val="2"/>
                        <w:wAfter w:w="1295" w:type="dxa"/>
                        <w:trHeight w:val="214"/>
                        <w:tblHeader/>
                      </w:trPr>
                      <w:tc>
                        <w:tcPr>
                          <w:tcW w:w="1233"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5576" w:type="dxa"/>
                          <w:gridSpan w:val="6"/>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Pedagoginio darbo stažas (metais)</w:t>
                          </w:r>
                        </w:p>
                      </w:tc>
                    </w:tr>
                    <w:tr>
                      <w:trPr>
                        <w:trHeight w:val="879"/>
                        <w:tblHeader/>
                      </w:trPr>
                      <w:tc>
                        <w:tcPr>
                          <w:tcW w:w="1233"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9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color w:val="000000"/>
                              <w:sz w:val="22"/>
                              <w:szCs w:val="22"/>
                            </w:rPr>
                            <w:t>iki 2</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color w:val="000000"/>
                              <w:sz w:val="22"/>
                              <w:szCs w:val="22"/>
                            </w:rPr>
                            <w:t>nuo daugiau kaip 2 iki 5</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5 iki 10</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color w:val="000000"/>
                              <w:sz w:val="22"/>
                              <w:szCs w:val="22"/>
                            </w:rPr>
                            <w:t>nuo daugiau kaip 10 iki 15</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color w:val="000000"/>
                              <w:sz w:val="22"/>
                              <w:szCs w:val="22"/>
                            </w:rPr>
                            <w:t>nuo daugiau kaip 15 iki 20</w:t>
                          </w:r>
                        </w:p>
                      </w:tc>
                      <w:tc>
                        <w:tcPr>
                          <w:tcW w:w="992"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hanging="47"/>
                            <w:jc w:val="center"/>
                            <w:textAlignment w:val="baseline"/>
                            <w:rPr>
                              <w:szCs w:val="24"/>
                            </w:rPr>
                          </w:pPr>
                          <w:r>
                            <w:rPr>
                              <w:color w:val="000000"/>
                              <w:sz w:val="22"/>
                              <w:szCs w:val="22"/>
                            </w:rPr>
                            <w:t>nuo daugiau kaip 20 iki 25</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hanging="104"/>
                            <w:jc w:val="center"/>
                            <w:textAlignment w:val="baseline"/>
                            <w:rPr>
                              <w:szCs w:val="24"/>
                            </w:rPr>
                          </w:pPr>
                          <w:r>
                            <w:rPr>
                              <w:color w:val="000000"/>
                              <w:sz w:val="22"/>
                              <w:szCs w:val="22"/>
                            </w:rPr>
                            <w:t>daugiau kaip 25</w:t>
                          </w:r>
                        </w:p>
                      </w:tc>
                    </w:tr>
                    <w:tr>
                      <w:trPr>
                        <w:gridAfter w:val="2"/>
                        <w:wAfter w:w="1295" w:type="dxa"/>
                        <w:trHeight w:val="216"/>
                      </w:trPr>
                      <w:tc>
                        <w:tcPr>
                          <w:tcW w:w="6809" w:type="dxa"/>
                          <w:gridSpan w:val="7"/>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color w:val="000000"/>
                              <w:sz w:val="22"/>
                              <w:szCs w:val="22"/>
                            </w:rPr>
                            <w:t>Nesuteiktos kvalifikacinės kategorijos</w:t>
                          </w:r>
                        </w:p>
                      </w:tc>
                    </w:tr>
                    <w:tr>
                      <w:trPr>
                        <w:trHeight w:val="239"/>
                      </w:trPr>
                      <w:tc>
                        <w:tcPr>
                          <w:tcW w:w="123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color w:val="000000"/>
                              <w:sz w:val="22"/>
                              <w:szCs w:val="22"/>
                            </w:rPr>
                            <w:t>Mokytojas</w:t>
                          </w:r>
                        </w:p>
                      </w:tc>
                      <w:tc>
                        <w:tcPr>
                          <w:tcW w:w="9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1,1041</w:t>
                          </w:r>
                        </w:p>
                        <w:p>
                          <w:pPr>
                            <w:ind w:right="38"/>
                            <w:jc w:val="center"/>
                            <w:textAlignment w:val="baseline"/>
                            <w:rPr>
                              <w:szCs w:val="24"/>
                            </w:rPr>
                          </w:pPr>
                          <w:r>
                            <w:rPr>
                              <w:b/>
                              <w:bCs/>
                              <w:color w:val="000000"/>
                              <w:sz w:val="22"/>
                              <w:szCs w:val="22"/>
                            </w:rPr>
                            <w:t>1,1886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strike/>
                              <w:color w:val="000000"/>
                              <w:sz w:val="22"/>
                              <w:szCs w:val="22"/>
                            </w:rPr>
                            <w:t>1,1082</w:t>
                          </w:r>
                        </w:p>
                        <w:p>
                          <w:pPr>
                            <w:ind w:right="38"/>
                            <w:jc w:val="center"/>
                            <w:textAlignment w:val="baseline"/>
                            <w:rPr>
                              <w:szCs w:val="24"/>
                            </w:rPr>
                          </w:pPr>
                          <w:r>
                            <w:rPr>
                              <w:b/>
                              <w:bCs/>
                              <w:color w:val="000000"/>
                              <w:sz w:val="22"/>
                              <w:szCs w:val="22"/>
                            </w:rPr>
                            <w:t>1,1930</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1,1177</w:t>
                          </w:r>
                        </w:p>
                        <w:p>
                          <w:pPr>
                            <w:ind w:right="38"/>
                            <w:jc w:val="center"/>
                            <w:textAlignment w:val="baseline"/>
                            <w:rPr>
                              <w:szCs w:val="24"/>
                            </w:rPr>
                          </w:pPr>
                          <w:r>
                            <w:rPr>
                              <w:b/>
                              <w:bCs/>
                              <w:color w:val="000000"/>
                              <w:sz w:val="22"/>
                              <w:szCs w:val="22"/>
                            </w:rPr>
                            <w:t>1,2032</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1,1381</w:t>
                          </w:r>
                        </w:p>
                        <w:p>
                          <w:pPr>
                            <w:ind w:right="38"/>
                            <w:jc w:val="center"/>
                            <w:textAlignment w:val="baseline"/>
                            <w:rPr>
                              <w:szCs w:val="24"/>
                            </w:rPr>
                          </w:pPr>
                          <w:r>
                            <w:rPr>
                              <w:b/>
                              <w:bCs/>
                              <w:color w:val="000000"/>
                              <w:sz w:val="22"/>
                              <w:szCs w:val="22"/>
                            </w:rPr>
                            <w:t>1,2252</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1,1735</w:t>
                          </w:r>
                        </w:p>
                        <w:p>
                          <w:pPr>
                            <w:ind w:right="38"/>
                            <w:jc w:val="center"/>
                            <w:textAlignment w:val="baseline"/>
                            <w:rPr>
                              <w:szCs w:val="24"/>
                            </w:rPr>
                          </w:pPr>
                          <w:r>
                            <w:rPr>
                              <w:b/>
                              <w:bCs/>
                              <w:color w:val="000000"/>
                              <w:sz w:val="22"/>
                              <w:szCs w:val="22"/>
                            </w:rPr>
                            <w:t>1,2633</w:t>
                          </w:r>
                        </w:p>
                      </w:tc>
                      <w:tc>
                        <w:tcPr>
                          <w:tcW w:w="992"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1,1775</w:t>
                          </w:r>
                        </w:p>
                        <w:p>
                          <w:pPr>
                            <w:ind w:right="38"/>
                            <w:jc w:val="center"/>
                            <w:textAlignment w:val="baseline"/>
                            <w:rPr>
                              <w:szCs w:val="24"/>
                            </w:rPr>
                          </w:pPr>
                          <w:r>
                            <w:rPr>
                              <w:b/>
                              <w:bCs/>
                              <w:color w:val="000000"/>
                              <w:sz w:val="22"/>
                              <w:szCs w:val="22"/>
                            </w:rPr>
                            <w:t>1,2676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1,1844</w:t>
                          </w:r>
                        </w:p>
                        <w:p>
                          <w:pPr>
                            <w:ind w:right="38"/>
                            <w:jc w:val="center"/>
                            <w:textAlignment w:val="baseline"/>
                            <w:rPr>
                              <w:szCs w:val="24"/>
                            </w:rPr>
                          </w:pPr>
                          <w:r>
                            <w:rPr>
                              <w:b/>
                              <w:bCs/>
                              <w:color w:val="000000"/>
                              <w:sz w:val="22"/>
                              <w:szCs w:val="22"/>
                            </w:rPr>
                            <w:t>1,2750</w:t>
                          </w:r>
                        </w:p>
                      </w:tc>
                    </w:tr>
                    <w:tr>
                      <w:trPr>
                        <w:gridAfter w:val="2"/>
                        <w:wAfter w:w="1295" w:type="dxa"/>
                        <w:trHeight w:val="216"/>
                      </w:trPr>
                      <w:tc>
                        <w:tcPr>
                          <w:tcW w:w="6809" w:type="dxa"/>
                          <w:gridSpan w:val="7"/>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color w:val="000000"/>
                              <w:sz w:val="22"/>
                              <w:szCs w:val="22"/>
                            </w:rPr>
                            <w:t>Suteiktos kvalifikacinės kategorijos</w:t>
                          </w:r>
                        </w:p>
                      </w:tc>
                    </w:tr>
                    <w:tr>
                      <w:trPr>
                        <w:trHeight w:val="396"/>
                      </w:trPr>
                      <w:tc>
                        <w:tcPr>
                          <w:tcW w:w="123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color w:val="000000"/>
                              <w:sz w:val="22"/>
                              <w:szCs w:val="22"/>
                            </w:rPr>
                            <w:t>Mokytojas</w:t>
                          </w:r>
                        </w:p>
                      </w:tc>
                      <w:tc>
                        <w:tcPr>
                          <w:tcW w:w="9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1,1857</w:t>
                          </w:r>
                        </w:p>
                        <w:p>
                          <w:pPr>
                            <w:ind w:right="38"/>
                            <w:jc w:val="center"/>
                            <w:textAlignment w:val="baseline"/>
                            <w:rPr>
                              <w:szCs w:val="24"/>
                            </w:rPr>
                          </w:pPr>
                          <w:r>
                            <w:rPr>
                              <w:b/>
                              <w:bCs/>
                              <w:color w:val="000000"/>
                              <w:sz w:val="22"/>
                              <w:szCs w:val="22"/>
                            </w:rPr>
                            <w:t>1,2764</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left="-110" w:right="38"/>
                            <w:jc w:val="center"/>
                            <w:textAlignment w:val="baseline"/>
                            <w:rPr>
                              <w:szCs w:val="24"/>
                            </w:rPr>
                          </w:pPr>
                          <w:r>
                            <w:rPr>
                              <w:strike/>
                              <w:color w:val="000000"/>
                              <w:sz w:val="22"/>
                              <w:szCs w:val="22"/>
                            </w:rPr>
                            <w:t>1,1886</w:t>
                          </w:r>
                        </w:p>
                        <w:p>
                          <w:pPr>
                            <w:ind w:left="-110" w:right="38"/>
                            <w:jc w:val="center"/>
                            <w:textAlignment w:val="baseline"/>
                            <w:rPr>
                              <w:szCs w:val="24"/>
                            </w:rPr>
                          </w:pPr>
                          <w:r>
                            <w:rPr>
                              <w:b/>
                              <w:bCs/>
                              <w:color w:val="000000"/>
                              <w:sz w:val="22"/>
                              <w:szCs w:val="22"/>
                            </w:rPr>
                            <w:t>1,2795</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1,1899</w:t>
                          </w:r>
                        </w:p>
                        <w:p>
                          <w:pPr>
                            <w:ind w:right="38"/>
                            <w:jc w:val="center"/>
                            <w:textAlignment w:val="baseline"/>
                            <w:rPr>
                              <w:szCs w:val="24"/>
                            </w:rPr>
                          </w:pPr>
                          <w:r>
                            <w:rPr>
                              <w:b/>
                              <w:bCs/>
                              <w:color w:val="000000"/>
                              <w:sz w:val="22"/>
                              <w:szCs w:val="22"/>
                            </w:rPr>
                            <w:t>1,2809</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1,1966</w:t>
                          </w:r>
                        </w:p>
                        <w:p>
                          <w:pPr>
                            <w:ind w:right="38"/>
                            <w:jc w:val="center"/>
                            <w:textAlignment w:val="baseline"/>
                            <w:rPr>
                              <w:szCs w:val="24"/>
                            </w:rPr>
                          </w:pPr>
                          <w:r>
                            <w:rPr>
                              <w:b/>
                              <w:bCs/>
                              <w:color w:val="000000"/>
                              <w:sz w:val="22"/>
                              <w:szCs w:val="22"/>
                            </w:rPr>
                            <w:t>1,2881</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1,1994</w:t>
                          </w:r>
                        </w:p>
                        <w:p>
                          <w:pPr>
                            <w:ind w:right="38"/>
                            <w:jc w:val="center"/>
                            <w:textAlignment w:val="baseline"/>
                            <w:rPr>
                              <w:szCs w:val="24"/>
                            </w:rPr>
                          </w:pPr>
                          <w:r>
                            <w:rPr>
                              <w:b/>
                              <w:bCs/>
                              <w:color w:val="000000"/>
                              <w:sz w:val="22"/>
                              <w:szCs w:val="22"/>
                            </w:rPr>
                            <w:t>1,2912</w:t>
                          </w:r>
                        </w:p>
                      </w:tc>
                      <w:tc>
                        <w:tcPr>
                          <w:tcW w:w="992"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1,2034</w:t>
                          </w:r>
                        </w:p>
                        <w:p>
                          <w:pPr>
                            <w:ind w:right="38"/>
                            <w:jc w:val="center"/>
                            <w:textAlignment w:val="baseline"/>
                            <w:rPr>
                              <w:szCs w:val="24"/>
                            </w:rPr>
                          </w:pPr>
                          <w:r>
                            <w:rPr>
                              <w:b/>
                              <w:bCs/>
                              <w:color w:val="000000"/>
                              <w:sz w:val="22"/>
                              <w:szCs w:val="22"/>
                            </w:rPr>
                            <w:t>1,2955</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1,2129</w:t>
                          </w:r>
                        </w:p>
                        <w:p>
                          <w:pPr>
                            <w:ind w:right="38"/>
                            <w:jc w:val="center"/>
                            <w:textAlignment w:val="baseline"/>
                            <w:rPr>
                              <w:szCs w:val="24"/>
                            </w:rPr>
                          </w:pPr>
                          <w:r>
                            <w:rPr>
                              <w:b/>
                              <w:bCs/>
                              <w:color w:val="000000"/>
                              <w:sz w:val="22"/>
                              <w:szCs w:val="22"/>
                            </w:rPr>
                            <w:t>1,3057</w:t>
                          </w:r>
                        </w:p>
                      </w:tc>
                    </w:tr>
                    <w:tr>
                      <w:trPr>
                        <w:trHeight w:val="396"/>
                      </w:trPr>
                      <w:tc>
                        <w:tcPr>
                          <w:tcW w:w="123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color w:val="000000"/>
                              <w:sz w:val="22"/>
                              <w:szCs w:val="22"/>
                            </w:rPr>
                            <w:t>Vyresnysis mokytojas</w:t>
                          </w:r>
                        </w:p>
                      </w:tc>
                      <w:tc>
                        <w:tcPr>
                          <w:tcW w:w="9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jc w:val="center"/>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1,2144</w:t>
                          </w:r>
                        </w:p>
                        <w:p>
                          <w:pPr>
                            <w:ind w:right="38"/>
                            <w:jc w:val="center"/>
                            <w:textAlignment w:val="baseline"/>
                            <w:rPr>
                              <w:szCs w:val="24"/>
                            </w:rPr>
                          </w:pPr>
                          <w:r>
                            <w:rPr>
                              <w:b/>
                              <w:bCs/>
                              <w:color w:val="000000"/>
                              <w:sz w:val="22"/>
                              <w:szCs w:val="22"/>
                            </w:rPr>
                            <w:t>1,3073</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1,2185</w:t>
                          </w:r>
                        </w:p>
                        <w:p>
                          <w:pPr>
                            <w:ind w:right="38"/>
                            <w:jc w:val="center"/>
                            <w:textAlignment w:val="baseline"/>
                            <w:rPr>
                              <w:szCs w:val="24"/>
                            </w:rPr>
                          </w:pPr>
                          <w:r>
                            <w:rPr>
                              <w:b/>
                              <w:bCs/>
                              <w:color w:val="000000"/>
                              <w:sz w:val="22"/>
                              <w:szCs w:val="22"/>
                            </w:rPr>
                            <w:t>1,3117</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1,2240</w:t>
                          </w:r>
                        </w:p>
                        <w:p>
                          <w:pPr>
                            <w:ind w:right="38"/>
                            <w:jc w:val="center"/>
                            <w:textAlignment w:val="baseline"/>
                            <w:rPr>
                              <w:szCs w:val="24"/>
                            </w:rPr>
                          </w:pPr>
                          <w:r>
                            <w:rPr>
                              <w:b/>
                              <w:bCs/>
                              <w:color w:val="000000"/>
                              <w:sz w:val="22"/>
                              <w:szCs w:val="22"/>
                            </w:rPr>
                            <w:t>1,3176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1,2730</w:t>
                          </w:r>
                        </w:p>
                        <w:p>
                          <w:pPr>
                            <w:ind w:right="38"/>
                            <w:jc w:val="center"/>
                            <w:textAlignment w:val="baseline"/>
                            <w:rPr>
                              <w:szCs w:val="24"/>
                            </w:rPr>
                          </w:pPr>
                          <w:r>
                            <w:rPr>
                              <w:b/>
                              <w:bCs/>
                              <w:color w:val="000000"/>
                              <w:sz w:val="22"/>
                              <w:szCs w:val="22"/>
                            </w:rPr>
                            <w:t>1,3704</w:t>
                          </w:r>
                        </w:p>
                      </w:tc>
                      <w:tc>
                        <w:tcPr>
                          <w:tcW w:w="992"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1,2797</w:t>
                          </w:r>
                        </w:p>
                        <w:p>
                          <w:pPr>
                            <w:ind w:right="38"/>
                            <w:jc w:val="center"/>
                            <w:textAlignment w:val="baseline"/>
                            <w:rPr>
                              <w:szCs w:val="24"/>
                            </w:rPr>
                          </w:pPr>
                          <w:r>
                            <w:rPr>
                              <w:b/>
                              <w:bCs/>
                              <w:color w:val="000000"/>
                              <w:sz w:val="22"/>
                              <w:szCs w:val="22"/>
                            </w:rPr>
                            <w:t>1,3776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1,2851</w:t>
                          </w:r>
                        </w:p>
                        <w:p>
                          <w:pPr>
                            <w:ind w:right="38"/>
                            <w:jc w:val="center"/>
                            <w:textAlignment w:val="baseline"/>
                            <w:rPr>
                              <w:szCs w:val="24"/>
                            </w:rPr>
                          </w:pPr>
                          <w:r>
                            <w:rPr>
                              <w:b/>
                              <w:bCs/>
                              <w:color w:val="000000"/>
                              <w:sz w:val="22"/>
                              <w:szCs w:val="22"/>
                            </w:rPr>
                            <w:t>1,3834</w:t>
                          </w:r>
                        </w:p>
                      </w:tc>
                    </w:tr>
                    <w:tr>
                      <w:trPr>
                        <w:trHeight w:val="383"/>
                      </w:trPr>
                      <w:tc>
                        <w:tcPr>
                          <w:tcW w:w="123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color w:val="000000"/>
                              <w:sz w:val="22"/>
                              <w:szCs w:val="22"/>
                            </w:rPr>
                            <w:t>Mokytojas metodininkas</w:t>
                          </w:r>
                        </w:p>
                      </w:tc>
                      <w:tc>
                        <w:tcPr>
                          <w:tcW w:w="9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1,2974</w:t>
                          </w:r>
                        </w:p>
                        <w:p>
                          <w:pPr>
                            <w:ind w:right="38"/>
                            <w:jc w:val="center"/>
                            <w:textAlignment w:val="baseline"/>
                            <w:rPr>
                              <w:szCs w:val="24"/>
                            </w:rPr>
                          </w:pPr>
                          <w:r>
                            <w:rPr>
                              <w:b/>
                              <w:bCs/>
                              <w:color w:val="000000"/>
                              <w:sz w:val="22"/>
                              <w:szCs w:val="22"/>
                            </w:rPr>
                            <w:t>1,3967</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1,3206</w:t>
                          </w:r>
                        </w:p>
                        <w:p>
                          <w:pPr>
                            <w:ind w:right="38"/>
                            <w:jc w:val="center"/>
                            <w:textAlignment w:val="baseline"/>
                            <w:rPr>
                              <w:szCs w:val="24"/>
                            </w:rPr>
                          </w:pPr>
                          <w:r>
                            <w:rPr>
                              <w:b/>
                              <w:bCs/>
                              <w:color w:val="000000"/>
                              <w:sz w:val="22"/>
                              <w:szCs w:val="22"/>
                            </w:rPr>
                            <w:t>1,4216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1,3627</w:t>
                          </w:r>
                        </w:p>
                        <w:p>
                          <w:pPr>
                            <w:ind w:right="38"/>
                            <w:jc w:val="center"/>
                            <w:textAlignment w:val="baseline"/>
                            <w:rPr>
                              <w:szCs w:val="24"/>
                            </w:rPr>
                          </w:pPr>
                          <w:r>
                            <w:rPr>
                              <w:b/>
                              <w:bCs/>
                              <w:color w:val="000000"/>
                              <w:sz w:val="22"/>
                              <w:szCs w:val="22"/>
                            </w:rPr>
                            <w:t>1,4669</w:t>
                          </w:r>
                        </w:p>
                      </w:tc>
                      <w:tc>
                        <w:tcPr>
                          <w:tcW w:w="992"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1,3683</w:t>
                          </w:r>
                        </w:p>
                        <w:p>
                          <w:pPr>
                            <w:ind w:right="38"/>
                            <w:jc w:val="center"/>
                            <w:textAlignment w:val="baseline"/>
                            <w:rPr>
                              <w:szCs w:val="24"/>
                            </w:rPr>
                          </w:pPr>
                          <w:r>
                            <w:rPr>
                              <w:b/>
                              <w:bCs/>
                              <w:color w:val="000000"/>
                              <w:sz w:val="22"/>
                              <w:szCs w:val="22"/>
                            </w:rPr>
                            <w:t>1,4730</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1,3778</w:t>
                          </w:r>
                        </w:p>
                        <w:p>
                          <w:pPr>
                            <w:ind w:right="38"/>
                            <w:jc w:val="center"/>
                            <w:textAlignment w:val="baseline"/>
                            <w:rPr>
                              <w:szCs w:val="24"/>
                            </w:rPr>
                          </w:pPr>
                          <w:r>
                            <w:rPr>
                              <w:b/>
                              <w:bCs/>
                              <w:color w:val="000000"/>
                              <w:sz w:val="22"/>
                              <w:szCs w:val="22"/>
                            </w:rPr>
                            <w:t>1,4832</w:t>
                          </w:r>
                        </w:p>
                      </w:tc>
                    </w:tr>
                    <w:tr>
                      <w:trPr>
                        <w:trHeight w:val="396"/>
                      </w:trPr>
                      <w:tc>
                        <w:tcPr>
                          <w:tcW w:w="123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38"/>
                            <w:textAlignment w:val="baseline"/>
                            <w:rPr>
                              <w:szCs w:val="24"/>
                            </w:rPr>
                          </w:pPr>
                          <w:r>
                            <w:rPr>
                              <w:color w:val="000000"/>
                              <w:sz w:val="22"/>
                              <w:szCs w:val="22"/>
                            </w:rPr>
                            <w:t>Mokytojas ekspertas</w:t>
                          </w:r>
                        </w:p>
                      </w:tc>
                      <w:tc>
                        <w:tcPr>
                          <w:tcW w:w="9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1,4744</w:t>
                          </w:r>
                        </w:p>
                        <w:p>
                          <w:pPr>
                            <w:ind w:right="38"/>
                            <w:jc w:val="center"/>
                            <w:textAlignment w:val="baseline"/>
                            <w:rPr>
                              <w:szCs w:val="24"/>
                            </w:rPr>
                          </w:pPr>
                          <w:r>
                            <w:rPr>
                              <w:b/>
                              <w:bCs/>
                              <w:color w:val="000000"/>
                              <w:sz w:val="22"/>
                              <w:szCs w:val="22"/>
                            </w:rPr>
                            <w:t>1,5872</w:t>
                          </w:r>
                        </w:p>
                      </w:tc>
                      <w:tc>
                        <w:tcPr>
                          <w:tcW w:w="99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1,4989</w:t>
                          </w:r>
                        </w:p>
                        <w:p>
                          <w:pPr>
                            <w:ind w:right="38"/>
                            <w:jc w:val="center"/>
                            <w:textAlignment w:val="baseline"/>
                            <w:rPr>
                              <w:szCs w:val="24"/>
                            </w:rPr>
                          </w:pPr>
                          <w:r>
                            <w:rPr>
                              <w:b/>
                              <w:bCs/>
                              <w:color w:val="000000"/>
                              <w:sz w:val="22"/>
                              <w:szCs w:val="22"/>
                            </w:rPr>
                            <w:t>1,6136</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1,5371</w:t>
                          </w:r>
                        </w:p>
                        <w:p>
                          <w:pPr>
                            <w:ind w:right="38"/>
                            <w:jc w:val="center"/>
                            <w:textAlignment w:val="baseline"/>
                            <w:rPr>
                              <w:szCs w:val="24"/>
                            </w:rPr>
                          </w:pPr>
                          <w:r>
                            <w:rPr>
                              <w:b/>
                              <w:bCs/>
                              <w:color w:val="000000"/>
                              <w:sz w:val="22"/>
                              <w:szCs w:val="22"/>
                            </w:rPr>
                            <w:t>1,6547</w:t>
                          </w:r>
                        </w:p>
                      </w:tc>
                      <w:tc>
                        <w:tcPr>
                          <w:tcW w:w="992"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1,5439</w:t>
                          </w:r>
                        </w:p>
                        <w:p>
                          <w:pPr>
                            <w:ind w:right="38"/>
                            <w:jc w:val="center"/>
                            <w:textAlignment w:val="baseline"/>
                            <w:rPr>
                              <w:szCs w:val="24"/>
                            </w:rPr>
                          </w:pPr>
                          <w:r>
                            <w:rPr>
                              <w:b/>
                              <w:bCs/>
                              <w:color w:val="000000"/>
                              <w:sz w:val="22"/>
                              <w:szCs w:val="22"/>
                            </w:rPr>
                            <w:t>1,6620</w:t>
                          </w:r>
                        </w:p>
                      </w:tc>
                      <w:tc>
                        <w:tcPr>
                          <w:tcW w:w="99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8" w:hanging="104"/>
                            <w:jc w:val="center"/>
                            <w:textAlignment w:val="baseline"/>
                            <w:rPr>
                              <w:szCs w:val="24"/>
                            </w:rPr>
                          </w:pPr>
                          <w:r>
                            <w:rPr>
                              <w:strike/>
                              <w:color w:val="000000"/>
                              <w:sz w:val="22"/>
                              <w:szCs w:val="22"/>
                            </w:rPr>
                            <w:t>1,5507</w:t>
                          </w:r>
                        </w:p>
                        <w:p>
                          <w:pPr>
                            <w:ind w:right="38" w:hanging="104"/>
                            <w:jc w:val="center"/>
                            <w:textAlignment w:val="baseline"/>
                            <w:rPr>
                              <w:szCs w:val="24"/>
                            </w:rPr>
                          </w:pPr>
                          <w:r>
                            <w:rPr>
                              <w:b/>
                              <w:bCs/>
                              <w:color w:val="000000"/>
                              <w:sz w:val="22"/>
                              <w:szCs w:val="22"/>
                            </w:rPr>
                            <w:t>1,6693</w:t>
                          </w:r>
                          <w:r>
                            <w:rPr>
                              <w:color w:val="000000"/>
                              <w:sz w:val="22"/>
                              <w:szCs w:val="22"/>
                            </w:rPr>
                            <w:t>“.</w:t>
                          </w:r>
                        </w:p>
                      </w:tc>
                    </w:tr>
                  </w:tbl>
                  <w:p>
                    <w:pPr>
                      <w:ind w:firstLine="284"/>
                      <w:jc w:val="both"/>
                      <w:rPr>
                        <w:color w:val="000000"/>
                        <w:sz w:val="27"/>
                        <w:szCs w:val="27"/>
                      </w:rPr>
                    </w:pPr>
                  </w:p>
                  <w:p>
                    <w:pPr>
                      <w:ind w:firstLine="227"/>
                      <w:jc w:val="both"/>
                      <w:rPr>
                        <w:color w:val="000000"/>
                        <w:sz w:val="27"/>
                        <w:szCs w:val="27"/>
                      </w:rPr>
                    </w:pPr>
                    <w:r>
                      <w:rPr>
                        <w:color w:val="000000"/>
                        <w:sz w:val="22"/>
                        <w:szCs w:val="22"/>
                      </w:rPr>
                      <w:t>4. Pakeisti Įstatymo 2 priedo 23 punktą ir jį išdėstyti taip:</w:t>
                    </w:r>
                  </w:p>
                  <w:p>
                    <w:pPr>
                      <w:rPr>
                        <w:color w:val="000000"/>
                        <w:sz w:val="27"/>
                        <w:szCs w:val="27"/>
                      </w:rPr>
                    </w:pPr>
                    <w:r>
                      <w:rPr>
                        <w:color w:val="000000"/>
                        <w:sz w:val="22"/>
                        <w:szCs w:val="22"/>
                      </w:rPr>
                      <w:t>„23. Šiame skyriuje nurodytų darbuotojų pareiginės algos koeficientai:</w:t>
                    </w:r>
                  </w:p>
                  <w:p>
                    <w:pPr>
                      <w:ind w:firstLine="57"/>
                      <w:rPr>
                        <w:color w:val="000000"/>
                        <w:sz w:val="27"/>
                        <w:szCs w:val="27"/>
                      </w:rPr>
                    </w:pPr>
                  </w:p>
                  <w:p>
                    <w:pPr>
                      <w:rPr>
                        <w:color w:val="000000"/>
                        <w:sz w:val="27"/>
                        <w:szCs w:val="27"/>
                      </w:rPr>
                    </w:pPr>
                    <w:r>
                      <w:rPr>
                        <w:color w:val="000000"/>
                        <w:sz w:val="22"/>
                        <w:szCs w:val="22"/>
                      </w:rPr>
                      <w:t>(pareiginės algos (atlyginimo) baziniais dydžiais)</w:t>
                    </w:r>
                  </w:p>
                  <w:tbl>
                    <w:tblPr>
                      <w:tblW w:w="7821" w:type="dxa"/>
                      <w:tblLayout w:type="fixed"/>
                      <w:tblCellMar>
                        <w:left w:w="0" w:type="dxa"/>
                        <w:right w:w="0" w:type="dxa"/>
                      </w:tblCellMar>
                      <w:tblLook w:val="04A0" w:firstRow="1" w:lastRow="0" w:firstColumn="1" w:lastColumn="0" w:noHBand="0" w:noVBand="1"/>
                    </w:tblPr>
                    <w:tblGrid>
                      <w:gridCol w:w="875"/>
                      <w:gridCol w:w="992"/>
                      <w:gridCol w:w="993"/>
                      <w:gridCol w:w="992"/>
                      <w:gridCol w:w="992"/>
                      <w:gridCol w:w="992"/>
                      <w:gridCol w:w="1134"/>
                      <w:gridCol w:w="851"/>
                    </w:tblGrid>
                    <w:tr>
                      <w:trPr>
                        <w:trHeight w:val="275"/>
                      </w:trPr>
                      <w:tc>
                        <w:tcPr>
                          <w:tcW w:w="875"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color w:val="000000"/>
                              <w:sz w:val="22"/>
                              <w:szCs w:val="22"/>
                            </w:rPr>
                            <w:t>Kvalifikacinė</w:t>
                          </w:r>
                        </w:p>
                        <w:p>
                          <w:pPr>
                            <w:jc w:val="center"/>
                            <w:textAlignment w:val="baseline"/>
                            <w:rPr>
                              <w:szCs w:val="24"/>
                            </w:rPr>
                          </w:pPr>
                          <w:r>
                            <w:rPr>
                              <w:color w:val="000000"/>
                              <w:sz w:val="22"/>
                              <w:szCs w:val="22"/>
                            </w:rPr>
                            <w:t>kategorija</w:t>
                          </w:r>
                        </w:p>
                      </w:tc>
                      <w:tc>
                        <w:tcPr>
                          <w:tcW w:w="6946" w:type="dxa"/>
                          <w:gridSpan w:val="7"/>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color w:val="000000"/>
                              <w:sz w:val="22"/>
                              <w:szCs w:val="22"/>
                            </w:rPr>
                            <w:t>Pareiginės algos koeficientai</w:t>
                          </w:r>
                        </w:p>
                      </w:tc>
                    </w:tr>
                    <w:tr>
                      <w:trPr>
                        <w:trHeight w:val="275"/>
                      </w:trPr>
                      <w:tc>
                        <w:tcPr>
                          <w:tcW w:w="875"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6946" w:type="dxa"/>
                          <w:gridSpan w:val="7"/>
                          <w:tcBorders>
                            <w:top w:val="nil"/>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color w:val="000000"/>
                              <w:sz w:val="22"/>
                              <w:szCs w:val="22"/>
                            </w:rPr>
                            <w:t>Pedagoginio darbo stažas (metais)</w:t>
                          </w:r>
                        </w:p>
                      </w:tc>
                    </w:tr>
                    <w:tr>
                      <w:trPr>
                        <w:trHeight w:val="1121"/>
                      </w:trPr>
                      <w:tc>
                        <w:tcPr>
                          <w:tcW w:w="875"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color w:val="000000"/>
                              <w:sz w:val="22"/>
                              <w:szCs w:val="22"/>
                            </w:rPr>
                            <w:t>iki 2</w:t>
                          </w:r>
                        </w:p>
                      </w:tc>
                      <w:tc>
                        <w:tcPr>
                          <w:tcW w:w="993" w:type="dxa"/>
                          <w:tcBorders>
                            <w:top w:val="nil"/>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color w:val="000000"/>
                              <w:sz w:val="22"/>
                              <w:szCs w:val="22"/>
                            </w:rPr>
                            <w:t>nuo daugiau kaip 2</w:t>
                          </w:r>
                        </w:p>
                        <w:p>
                          <w:pPr>
                            <w:jc w:val="center"/>
                            <w:textAlignment w:val="baseline"/>
                            <w:rPr>
                              <w:szCs w:val="24"/>
                            </w:rPr>
                          </w:pPr>
                          <w:r>
                            <w:rPr>
                              <w:color w:val="000000"/>
                              <w:sz w:val="22"/>
                              <w:szCs w:val="22"/>
                            </w:rPr>
                            <w:t>iki 5</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color w:val="000000"/>
                              <w:sz w:val="22"/>
                              <w:szCs w:val="22"/>
                            </w:rPr>
                            <w:t>nuo daugiau kaip 5</w:t>
                          </w:r>
                        </w:p>
                        <w:p>
                          <w:pPr>
                            <w:jc w:val="center"/>
                            <w:textAlignment w:val="baseline"/>
                            <w:rPr>
                              <w:szCs w:val="24"/>
                            </w:rPr>
                          </w:pPr>
                          <w:r>
                            <w:rPr>
                              <w:color w:val="000000"/>
                              <w:sz w:val="22"/>
                              <w:szCs w:val="22"/>
                            </w:rPr>
                            <w:t>iki 10</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color w:val="000000"/>
                              <w:sz w:val="22"/>
                              <w:szCs w:val="22"/>
                            </w:rPr>
                            <w:t>nuo daugiau kaip 10 iki 15</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color w:val="000000"/>
                              <w:sz w:val="22"/>
                              <w:szCs w:val="22"/>
                            </w:rPr>
                            <w:t>nuo daugiau kaip 15 iki 20</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color w:val="000000"/>
                              <w:sz w:val="22"/>
                              <w:szCs w:val="22"/>
                            </w:rPr>
                            <w:t>nuo daugiau kaip 20 iki 25</w:t>
                          </w:r>
                        </w:p>
                      </w:tc>
                      <w:tc>
                        <w:tcPr>
                          <w:tcW w:w="851" w:type="dxa"/>
                          <w:tcBorders>
                            <w:top w:val="nil"/>
                            <w:left w:val="nil"/>
                            <w:bottom w:val="single" w:sz="8" w:space="0" w:color="000000"/>
                            <w:right w:val="single" w:sz="8" w:space="0" w:color="000000"/>
                          </w:tcBorders>
                          <w:tcMar>
                            <w:top w:w="0" w:type="dxa"/>
                            <w:left w:w="108" w:type="dxa"/>
                            <w:bottom w:w="0" w:type="dxa"/>
                            <w:right w:w="108" w:type="dxa"/>
                          </w:tcMar>
                          <w:hideMark/>
                        </w:tcPr>
                        <w:p>
                          <w:pPr>
                            <w:textAlignment w:val="baseline"/>
                            <w:rPr>
                              <w:color w:val="000000"/>
                              <w:sz w:val="22"/>
                              <w:szCs w:val="22"/>
                            </w:rPr>
                          </w:pPr>
                          <w:r>
                            <w:rPr>
                              <w:color w:val="000000"/>
                              <w:sz w:val="22"/>
                              <w:szCs w:val="22"/>
                            </w:rPr>
                            <w:t xml:space="preserve">daugiau </w:t>
                          </w:r>
                        </w:p>
                        <w:p>
                          <w:pPr>
                            <w:textAlignment w:val="baseline"/>
                            <w:rPr>
                              <w:szCs w:val="24"/>
                            </w:rPr>
                          </w:pPr>
                          <w:r>
                            <w:rPr>
                              <w:color w:val="000000"/>
                              <w:sz w:val="22"/>
                              <w:szCs w:val="22"/>
                            </w:rPr>
                            <w:t>kaip 25</w:t>
                          </w:r>
                        </w:p>
                      </w:tc>
                    </w:tr>
                    <w:tr>
                      <w:trPr>
                        <w:trHeight w:val="278"/>
                      </w:trPr>
                      <w:tc>
                        <w:tcPr>
                          <w:tcW w:w="7821" w:type="dxa"/>
                          <w:gridSpan w:val="8"/>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right="38"/>
                            <w:textAlignment w:val="baseline"/>
                            <w:rPr>
                              <w:szCs w:val="24"/>
                            </w:rPr>
                          </w:pPr>
                          <w:r>
                            <w:rPr>
                              <w:color w:val="000000"/>
                              <w:sz w:val="22"/>
                              <w:szCs w:val="22"/>
                            </w:rPr>
                            <w:t>Nesuteiktos kvalifikacinės kategorijos</w:t>
                          </w:r>
                        </w:p>
                      </w:tc>
                    </w:tr>
                    <w:tr>
                      <w:trPr>
                        <w:trHeight w:val="307"/>
                      </w:trPr>
                      <w:tc>
                        <w:tcPr>
                          <w:tcW w:w="87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right="38"/>
                            <w:textAlignment w:val="baseline"/>
                            <w:rPr>
                              <w:szCs w:val="24"/>
                            </w:rPr>
                          </w:pPr>
                          <w:r>
                            <w:rPr>
                              <w:color w:val="000000"/>
                              <w:sz w:val="22"/>
                              <w:szCs w:val="22"/>
                            </w:rPr>
                            <w:t>Specialusis pedagogas, logopedas, surdopedagogas, tiflopedagogas, judesio korekcijos specialistas, karjeros specialistas</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1,1041</w:t>
                          </w:r>
                        </w:p>
                        <w:p>
                          <w:pPr>
                            <w:ind w:right="38"/>
                            <w:jc w:val="center"/>
                            <w:textAlignment w:val="baseline"/>
                            <w:rPr>
                              <w:szCs w:val="24"/>
                            </w:rPr>
                          </w:pPr>
                          <w:r>
                            <w:rPr>
                              <w:b/>
                              <w:bCs/>
                              <w:color w:val="000000"/>
                              <w:sz w:val="22"/>
                              <w:szCs w:val="22"/>
                            </w:rPr>
                            <w:t>1,1886</w:t>
                          </w:r>
                        </w:p>
                      </w:tc>
                      <w:tc>
                        <w:tcPr>
                          <w:tcW w:w="993"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textAlignment w:val="baseline"/>
                            <w:rPr>
                              <w:szCs w:val="24"/>
                            </w:rPr>
                          </w:pPr>
                          <w:r>
                            <w:rPr>
                              <w:strike/>
                              <w:color w:val="000000"/>
                              <w:sz w:val="22"/>
                              <w:szCs w:val="22"/>
                            </w:rPr>
                            <w:t>1,1082</w:t>
                          </w:r>
                        </w:p>
                        <w:p>
                          <w:pPr>
                            <w:ind w:right="38"/>
                            <w:jc w:val="center"/>
                            <w:textAlignment w:val="baseline"/>
                            <w:rPr>
                              <w:szCs w:val="24"/>
                            </w:rPr>
                          </w:pPr>
                          <w:r>
                            <w:rPr>
                              <w:b/>
                              <w:bCs/>
                              <w:color w:val="000000"/>
                              <w:sz w:val="22"/>
                              <w:szCs w:val="22"/>
                            </w:rPr>
                            <w:t>1,1930</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1,1177</w:t>
                          </w:r>
                        </w:p>
                        <w:p>
                          <w:pPr>
                            <w:ind w:right="38"/>
                            <w:jc w:val="center"/>
                            <w:textAlignment w:val="baseline"/>
                            <w:rPr>
                              <w:szCs w:val="24"/>
                            </w:rPr>
                          </w:pPr>
                          <w:r>
                            <w:rPr>
                              <w:b/>
                              <w:bCs/>
                              <w:color w:val="000000"/>
                              <w:sz w:val="22"/>
                              <w:szCs w:val="22"/>
                            </w:rPr>
                            <w:t>1,2032</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1,1381</w:t>
                          </w:r>
                        </w:p>
                        <w:p>
                          <w:pPr>
                            <w:ind w:right="38"/>
                            <w:jc w:val="center"/>
                            <w:textAlignment w:val="baseline"/>
                            <w:rPr>
                              <w:szCs w:val="24"/>
                            </w:rPr>
                          </w:pPr>
                          <w:r>
                            <w:rPr>
                              <w:b/>
                              <w:bCs/>
                              <w:color w:val="000000"/>
                              <w:sz w:val="22"/>
                              <w:szCs w:val="22"/>
                            </w:rPr>
                            <w:t>1,2252</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1,1735</w:t>
                          </w:r>
                        </w:p>
                        <w:p>
                          <w:pPr>
                            <w:ind w:right="38"/>
                            <w:jc w:val="center"/>
                            <w:textAlignment w:val="baseline"/>
                            <w:rPr>
                              <w:szCs w:val="24"/>
                            </w:rPr>
                          </w:pPr>
                          <w:r>
                            <w:rPr>
                              <w:b/>
                              <w:bCs/>
                              <w:color w:val="000000"/>
                              <w:sz w:val="22"/>
                              <w:szCs w:val="22"/>
                            </w:rPr>
                            <w:t>1,2633</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1,1775</w:t>
                          </w:r>
                        </w:p>
                        <w:p>
                          <w:pPr>
                            <w:ind w:right="38"/>
                            <w:jc w:val="center"/>
                            <w:textAlignment w:val="baseline"/>
                            <w:rPr>
                              <w:szCs w:val="24"/>
                            </w:rPr>
                          </w:pPr>
                          <w:r>
                            <w:rPr>
                              <w:b/>
                              <w:bCs/>
                              <w:color w:val="000000"/>
                              <w:sz w:val="22"/>
                              <w:szCs w:val="22"/>
                            </w:rPr>
                            <w:t>1,2676</w:t>
                          </w:r>
                        </w:p>
                      </w:tc>
                      <w:tc>
                        <w:tcPr>
                          <w:tcW w:w="851" w:type="dxa"/>
                          <w:tcBorders>
                            <w:top w:val="nil"/>
                            <w:left w:val="nil"/>
                            <w:bottom w:val="single" w:sz="8" w:space="0" w:color="000000"/>
                            <w:right w:val="single" w:sz="8" w:space="0" w:color="000000"/>
                          </w:tcBorders>
                          <w:tcMar>
                            <w:top w:w="0" w:type="dxa"/>
                            <w:left w:w="28" w:type="dxa"/>
                            <w:bottom w:w="0" w:type="dxa"/>
                            <w:right w:w="28" w:type="dxa"/>
                          </w:tcMar>
                          <w:hideMark/>
                        </w:tcPr>
                        <w:p>
                          <w:pPr>
                            <w:ind w:right="38"/>
                            <w:textAlignment w:val="baseline"/>
                            <w:rPr>
                              <w:szCs w:val="24"/>
                            </w:rPr>
                          </w:pPr>
                          <w:r>
                            <w:rPr>
                              <w:strike/>
                              <w:color w:val="000000"/>
                              <w:sz w:val="22"/>
                              <w:szCs w:val="22"/>
                            </w:rPr>
                            <w:t>1,1844</w:t>
                          </w:r>
                        </w:p>
                        <w:p>
                          <w:pPr>
                            <w:ind w:right="38"/>
                            <w:textAlignment w:val="baseline"/>
                            <w:rPr>
                              <w:szCs w:val="24"/>
                            </w:rPr>
                          </w:pPr>
                          <w:r>
                            <w:rPr>
                              <w:b/>
                              <w:bCs/>
                              <w:color w:val="000000"/>
                              <w:sz w:val="22"/>
                              <w:szCs w:val="22"/>
                            </w:rPr>
                            <w:t>1,2750</w:t>
                          </w:r>
                        </w:p>
                      </w:tc>
                    </w:tr>
                    <w:tr>
                      <w:trPr>
                        <w:trHeight w:val="278"/>
                      </w:trPr>
                      <w:tc>
                        <w:tcPr>
                          <w:tcW w:w="7821" w:type="dxa"/>
                          <w:gridSpan w:val="8"/>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color w:val="000000"/>
                              <w:sz w:val="22"/>
                              <w:szCs w:val="22"/>
                            </w:rPr>
                            <w:t>Suteiktos kvalifikacinės kategorijos</w:t>
                          </w:r>
                        </w:p>
                      </w:tc>
                    </w:tr>
                    <w:tr>
                      <w:trPr>
                        <w:trHeight w:val="1331"/>
                      </w:trPr>
                      <w:tc>
                        <w:tcPr>
                          <w:tcW w:w="87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right="38"/>
                            <w:textAlignment w:val="baseline"/>
                            <w:rPr>
                              <w:szCs w:val="24"/>
                            </w:rPr>
                          </w:pPr>
                          <w:r>
                            <w:rPr>
                              <w:color w:val="000000"/>
                              <w:sz w:val="22"/>
                              <w:szCs w:val="22"/>
                            </w:rPr>
                            <w:t>Specialusis pedagogas, logopedas, surdopedagogas, tiflopedagogas</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1,1857</w:t>
                          </w:r>
                        </w:p>
                        <w:p>
                          <w:pPr>
                            <w:ind w:right="38"/>
                            <w:jc w:val="center"/>
                            <w:textAlignment w:val="baseline"/>
                            <w:rPr>
                              <w:szCs w:val="24"/>
                            </w:rPr>
                          </w:pPr>
                          <w:r>
                            <w:rPr>
                              <w:b/>
                              <w:bCs/>
                              <w:color w:val="000000"/>
                              <w:sz w:val="22"/>
                              <w:szCs w:val="22"/>
                            </w:rPr>
                            <w:t>1,2764</w:t>
                          </w:r>
                        </w:p>
                      </w:tc>
                      <w:tc>
                        <w:tcPr>
                          <w:tcW w:w="993" w:type="dxa"/>
                          <w:tcBorders>
                            <w:top w:val="nil"/>
                            <w:left w:val="nil"/>
                            <w:bottom w:val="single" w:sz="8" w:space="0" w:color="000000"/>
                            <w:right w:val="single" w:sz="8" w:space="0" w:color="000000"/>
                          </w:tcBorders>
                          <w:tcMar>
                            <w:top w:w="0" w:type="dxa"/>
                            <w:left w:w="108" w:type="dxa"/>
                            <w:bottom w:w="0" w:type="dxa"/>
                            <w:right w:w="108" w:type="dxa"/>
                          </w:tcMar>
                          <w:hideMark/>
                        </w:tcPr>
                        <w:p>
                          <w:pPr>
                            <w:ind w:left="-110" w:right="38"/>
                            <w:jc w:val="center"/>
                            <w:textAlignment w:val="baseline"/>
                            <w:rPr>
                              <w:szCs w:val="24"/>
                            </w:rPr>
                          </w:pPr>
                          <w:r>
                            <w:rPr>
                              <w:strike/>
                              <w:color w:val="000000"/>
                              <w:sz w:val="22"/>
                              <w:szCs w:val="22"/>
                            </w:rPr>
                            <w:t>1,1886</w:t>
                          </w:r>
                        </w:p>
                        <w:p>
                          <w:pPr>
                            <w:ind w:left="-110" w:right="38"/>
                            <w:jc w:val="center"/>
                            <w:textAlignment w:val="baseline"/>
                            <w:rPr>
                              <w:szCs w:val="24"/>
                            </w:rPr>
                          </w:pPr>
                          <w:r>
                            <w:rPr>
                              <w:b/>
                              <w:bCs/>
                              <w:color w:val="000000"/>
                              <w:sz w:val="22"/>
                              <w:szCs w:val="22"/>
                            </w:rPr>
                            <w:t>1,2795</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1,1899</w:t>
                          </w:r>
                        </w:p>
                        <w:p>
                          <w:pPr>
                            <w:ind w:right="38"/>
                            <w:jc w:val="center"/>
                            <w:textAlignment w:val="baseline"/>
                            <w:rPr>
                              <w:szCs w:val="24"/>
                            </w:rPr>
                          </w:pPr>
                          <w:r>
                            <w:rPr>
                              <w:b/>
                              <w:bCs/>
                              <w:color w:val="000000"/>
                              <w:sz w:val="22"/>
                              <w:szCs w:val="22"/>
                            </w:rPr>
                            <w:t>1,2809</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1,1966</w:t>
                          </w:r>
                        </w:p>
                        <w:p>
                          <w:pPr>
                            <w:ind w:right="38"/>
                            <w:jc w:val="center"/>
                            <w:textAlignment w:val="baseline"/>
                            <w:rPr>
                              <w:szCs w:val="24"/>
                            </w:rPr>
                          </w:pPr>
                          <w:r>
                            <w:rPr>
                              <w:b/>
                              <w:bCs/>
                              <w:color w:val="000000"/>
                              <w:sz w:val="22"/>
                              <w:szCs w:val="22"/>
                            </w:rPr>
                            <w:t>1,2881</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1,1994</w:t>
                          </w:r>
                        </w:p>
                        <w:p>
                          <w:pPr>
                            <w:ind w:right="38"/>
                            <w:jc w:val="center"/>
                            <w:textAlignment w:val="baseline"/>
                            <w:rPr>
                              <w:szCs w:val="24"/>
                            </w:rPr>
                          </w:pPr>
                          <w:r>
                            <w:rPr>
                              <w:b/>
                              <w:bCs/>
                              <w:color w:val="000000"/>
                              <w:sz w:val="22"/>
                              <w:szCs w:val="22"/>
                            </w:rPr>
                            <w:t>1,2912</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1,2034</w:t>
                          </w:r>
                        </w:p>
                        <w:p>
                          <w:pPr>
                            <w:ind w:right="38"/>
                            <w:jc w:val="center"/>
                            <w:textAlignment w:val="baseline"/>
                            <w:rPr>
                              <w:szCs w:val="24"/>
                            </w:rPr>
                          </w:pPr>
                          <w:r>
                            <w:rPr>
                              <w:b/>
                              <w:bCs/>
                              <w:color w:val="000000"/>
                              <w:sz w:val="22"/>
                              <w:szCs w:val="22"/>
                            </w:rPr>
                            <w:t>1,2955</w:t>
                          </w:r>
                        </w:p>
                      </w:tc>
                      <w:tc>
                        <w:tcPr>
                          <w:tcW w:w="851"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1,2129</w:t>
                          </w:r>
                        </w:p>
                        <w:p>
                          <w:pPr>
                            <w:ind w:right="38"/>
                            <w:jc w:val="center"/>
                            <w:textAlignment w:val="baseline"/>
                            <w:rPr>
                              <w:szCs w:val="24"/>
                            </w:rPr>
                          </w:pPr>
                          <w:r>
                            <w:rPr>
                              <w:b/>
                              <w:bCs/>
                              <w:color w:val="000000"/>
                              <w:sz w:val="22"/>
                              <w:szCs w:val="22"/>
                            </w:rPr>
                            <w:t>1,3057</w:t>
                          </w:r>
                        </w:p>
                      </w:tc>
                    </w:tr>
                    <w:tr>
                      <w:tc>
                        <w:tcPr>
                          <w:tcW w:w="87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right="38"/>
                            <w:textAlignment w:val="baseline"/>
                            <w:rPr>
                              <w:szCs w:val="24"/>
                            </w:rPr>
                          </w:pPr>
                          <w:r>
                            <w:rPr>
                              <w:color w:val="000000"/>
                              <w:sz w:val="22"/>
                              <w:szCs w:val="22"/>
                            </w:rPr>
                            <w:t>Vyresnysis specialusis pedagogas, vyresnysis logopedas, vyresnysis surdopedagogas, vyresnysis tiflopedagogas</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firstLine="119"/>
                            <w:jc w:val="center"/>
                            <w:textAlignment w:val="baseline"/>
                            <w:rPr>
                              <w:szCs w:val="24"/>
                            </w:rPr>
                          </w:pPr>
                        </w:p>
                      </w:tc>
                      <w:tc>
                        <w:tcPr>
                          <w:tcW w:w="993"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1,2144</w:t>
                          </w:r>
                        </w:p>
                        <w:p>
                          <w:pPr>
                            <w:ind w:right="38"/>
                            <w:jc w:val="center"/>
                            <w:textAlignment w:val="baseline"/>
                            <w:rPr>
                              <w:szCs w:val="24"/>
                            </w:rPr>
                          </w:pPr>
                          <w:r>
                            <w:rPr>
                              <w:b/>
                              <w:bCs/>
                              <w:color w:val="000000"/>
                              <w:sz w:val="22"/>
                              <w:szCs w:val="22"/>
                            </w:rPr>
                            <w:t>1,3073</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1,2185</w:t>
                          </w:r>
                        </w:p>
                        <w:p>
                          <w:pPr>
                            <w:ind w:right="38"/>
                            <w:jc w:val="center"/>
                            <w:textAlignment w:val="baseline"/>
                            <w:rPr>
                              <w:szCs w:val="24"/>
                            </w:rPr>
                          </w:pPr>
                          <w:r>
                            <w:rPr>
                              <w:b/>
                              <w:bCs/>
                              <w:color w:val="000000"/>
                              <w:sz w:val="22"/>
                              <w:szCs w:val="22"/>
                            </w:rPr>
                            <w:t>1,3117</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1,2240</w:t>
                          </w:r>
                        </w:p>
                        <w:p>
                          <w:pPr>
                            <w:ind w:right="38"/>
                            <w:jc w:val="center"/>
                            <w:textAlignment w:val="baseline"/>
                            <w:rPr>
                              <w:szCs w:val="24"/>
                            </w:rPr>
                          </w:pPr>
                          <w:r>
                            <w:rPr>
                              <w:b/>
                              <w:bCs/>
                              <w:color w:val="000000"/>
                              <w:sz w:val="22"/>
                              <w:szCs w:val="22"/>
                            </w:rPr>
                            <w:t>1,3176</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1,2730</w:t>
                          </w:r>
                        </w:p>
                        <w:p>
                          <w:pPr>
                            <w:ind w:right="38"/>
                            <w:jc w:val="center"/>
                            <w:textAlignment w:val="baseline"/>
                            <w:rPr>
                              <w:szCs w:val="24"/>
                            </w:rPr>
                          </w:pPr>
                          <w:r>
                            <w:rPr>
                              <w:b/>
                              <w:bCs/>
                              <w:color w:val="000000"/>
                              <w:sz w:val="22"/>
                              <w:szCs w:val="22"/>
                            </w:rPr>
                            <w:t>1,3704</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1,2797</w:t>
                          </w:r>
                        </w:p>
                        <w:p>
                          <w:pPr>
                            <w:ind w:right="38"/>
                            <w:jc w:val="center"/>
                            <w:textAlignment w:val="baseline"/>
                            <w:rPr>
                              <w:szCs w:val="24"/>
                            </w:rPr>
                          </w:pPr>
                          <w:r>
                            <w:rPr>
                              <w:b/>
                              <w:bCs/>
                              <w:color w:val="000000"/>
                              <w:sz w:val="22"/>
                              <w:szCs w:val="22"/>
                            </w:rPr>
                            <w:t>1,3776</w:t>
                          </w:r>
                        </w:p>
                      </w:tc>
                      <w:tc>
                        <w:tcPr>
                          <w:tcW w:w="851"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1,2851</w:t>
                          </w:r>
                        </w:p>
                        <w:p>
                          <w:pPr>
                            <w:ind w:right="38"/>
                            <w:jc w:val="center"/>
                            <w:textAlignment w:val="baseline"/>
                            <w:rPr>
                              <w:szCs w:val="24"/>
                            </w:rPr>
                          </w:pPr>
                          <w:r>
                            <w:rPr>
                              <w:b/>
                              <w:bCs/>
                              <w:color w:val="000000"/>
                              <w:sz w:val="22"/>
                              <w:szCs w:val="22"/>
                            </w:rPr>
                            <w:t>1,3834</w:t>
                          </w:r>
                        </w:p>
                      </w:tc>
                    </w:tr>
                    <w:tr>
                      <w:tc>
                        <w:tcPr>
                          <w:tcW w:w="87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right="38"/>
                            <w:textAlignment w:val="baseline"/>
                            <w:rPr>
                              <w:szCs w:val="24"/>
                            </w:rPr>
                          </w:pPr>
                          <w:r>
                            <w:rPr>
                              <w:color w:val="000000"/>
                              <w:sz w:val="22"/>
                              <w:szCs w:val="22"/>
                            </w:rPr>
                            <w:t>Specialusis pedagogas metodininkas, logopedas metodininkas, surdopedagogas metodininkas, tiflopedagogas metodininkas</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firstLine="119"/>
                            <w:textAlignment w:val="baseline"/>
                            <w:rPr>
                              <w:szCs w:val="24"/>
                            </w:rPr>
                          </w:pPr>
                        </w:p>
                      </w:tc>
                      <w:tc>
                        <w:tcPr>
                          <w:tcW w:w="993"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1,2974</w:t>
                          </w:r>
                        </w:p>
                        <w:p>
                          <w:pPr>
                            <w:ind w:right="38"/>
                            <w:jc w:val="center"/>
                            <w:textAlignment w:val="baseline"/>
                            <w:rPr>
                              <w:szCs w:val="24"/>
                            </w:rPr>
                          </w:pPr>
                          <w:r>
                            <w:rPr>
                              <w:b/>
                              <w:bCs/>
                              <w:color w:val="000000"/>
                              <w:sz w:val="22"/>
                              <w:szCs w:val="22"/>
                            </w:rPr>
                            <w:t>1,3967</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1,3206</w:t>
                          </w:r>
                        </w:p>
                        <w:p>
                          <w:pPr>
                            <w:ind w:right="38"/>
                            <w:jc w:val="center"/>
                            <w:textAlignment w:val="baseline"/>
                            <w:rPr>
                              <w:szCs w:val="24"/>
                            </w:rPr>
                          </w:pPr>
                          <w:r>
                            <w:rPr>
                              <w:b/>
                              <w:bCs/>
                              <w:color w:val="000000"/>
                              <w:sz w:val="22"/>
                              <w:szCs w:val="22"/>
                            </w:rPr>
                            <w:t>1,4216</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1,3627</w:t>
                          </w:r>
                        </w:p>
                        <w:p>
                          <w:pPr>
                            <w:ind w:right="38"/>
                            <w:jc w:val="center"/>
                            <w:textAlignment w:val="baseline"/>
                            <w:rPr>
                              <w:szCs w:val="24"/>
                            </w:rPr>
                          </w:pPr>
                          <w:r>
                            <w:rPr>
                              <w:b/>
                              <w:bCs/>
                              <w:color w:val="000000"/>
                              <w:sz w:val="22"/>
                              <w:szCs w:val="22"/>
                            </w:rPr>
                            <w:t>1,4669</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1,3683</w:t>
                          </w:r>
                        </w:p>
                        <w:p>
                          <w:pPr>
                            <w:ind w:right="38"/>
                            <w:jc w:val="center"/>
                            <w:textAlignment w:val="baseline"/>
                            <w:rPr>
                              <w:szCs w:val="24"/>
                            </w:rPr>
                          </w:pPr>
                          <w:r>
                            <w:rPr>
                              <w:b/>
                              <w:bCs/>
                              <w:color w:val="000000"/>
                              <w:sz w:val="22"/>
                              <w:szCs w:val="22"/>
                            </w:rPr>
                            <w:t>1,4730</w:t>
                          </w:r>
                        </w:p>
                      </w:tc>
                      <w:tc>
                        <w:tcPr>
                          <w:tcW w:w="851"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1,3778</w:t>
                          </w:r>
                        </w:p>
                        <w:p>
                          <w:pPr>
                            <w:ind w:right="38"/>
                            <w:jc w:val="center"/>
                            <w:textAlignment w:val="baseline"/>
                            <w:rPr>
                              <w:szCs w:val="24"/>
                            </w:rPr>
                          </w:pPr>
                          <w:r>
                            <w:rPr>
                              <w:b/>
                              <w:bCs/>
                              <w:color w:val="000000"/>
                              <w:sz w:val="22"/>
                              <w:szCs w:val="22"/>
                            </w:rPr>
                            <w:t>1,4832</w:t>
                          </w:r>
                        </w:p>
                      </w:tc>
                    </w:tr>
                    <w:tr>
                      <w:trPr>
                        <w:trHeight w:val="1783"/>
                      </w:trPr>
                      <w:tc>
                        <w:tcPr>
                          <w:tcW w:w="875"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right="38"/>
                            <w:textAlignment w:val="baseline"/>
                            <w:rPr>
                              <w:szCs w:val="24"/>
                            </w:rPr>
                          </w:pPr>
                          <w:r>
                            <w:rPr>
                              <w:color w:val="000000"/>
                              <w:sz w:val="22"/>
                              <w:szCs w:val="22"/>
                            </w:rPr>
                            <w:t>Specialusis pedagogas ekspertas, logopedas ekspertas, surdopedagogas ekspertas, tiflopedagogas ekspertas</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firstLine="119"/>
                            <w:textAlignment w:val="baseline"/>
                            <w:rPr>
                              <w:szCs w:val="24"/>
                            </w:rPr>
                          </w:pPr>
                        </w:p>
                      </w:tc>
                      <w:tc>
                        <w:tcPr>
                          <w:tcW w:w="993"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firstLine="119"/>
                            <w:textAlignment w:val="baseline"/>
                            <w:rPr>
                              <w:szCs w:val="24"/>
                            </w:rPr>
                          </w:pP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1,4744</w:t>
                          </w:r>
                        </w:p>
                        <w:p>
                          <w:pPr>
                            <w:ind w:right="38"/>
                            <w:jc w:val="center"/>
                            <w:textAlignment w:val="baseline"/>
                            <w:rPr>
                              <w:szCs w:val="24"/>
                            </w:rPr>
                          </w:pPr>
                          <w:r>
                            <w:rPr>
                              <w:b/>
                              <w:bCs/>
                              <w:color w:val="000000"/>
                              <w:sz w:val="22"/>
                              <w:szCs w:val="22"/>
                            </w:rPr>
                            <w:t>1,5872</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1,4989</w:t>
                          </w:r>
                        </w:p>
                        <w:p>
                          <w:pPr>
                            <w:ind w:right="38"/>
                            <w:jc w:val="center"/>
                            <w:textAlignment w:val="baseline"/>
                            <w:rPr>
                              <w:szCs w:val="24"/>
                            </w:rPr>
                          </w:pPr>
                          <w:r>
                            <w:rPr>
                              <w:b/>
                              <w:bCs/>
                              <w:color w:val="000000"/>
                              <w:sz w:val="22"/>
                              <w:szCs w:val="22"/>
                            </w:rPr>
                            <w:t>1,6136</w:t>
                          </w:r>
                        </w:p>
                      </w:tc>
                      <w:tc>
                        <w:tcPr>
                          <w:tcW w:w="992"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1,5371</w:t>
                          </w:r>
                        </w:p>
                        <w:p>
                          <w:pPr>
                            <w:ind w:right="38"/>
                            <w:jc w:val="center"/>
                            <w:textAlignment w:val="baseline"/>
                            <w:rPr>
                              <w:szCs w:val="24"/>
                            </w:rPr>
                          </w:pPr>
                          <w:r>
                            <w:rPr>
                              <w:b/>
                              <w:bCs/>
                              <w:color w:val="000000"/>
                              <w:sz w:val="22"/>
                              <w:szCs w:val="22"/>
                            </w:rPr>
                            <w:t>1,6547</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jc w:val="center"/>
                            <w:textAlignment w:val="baseline"/>
                            <w:rPr>
                              <w:szCs w:val="24"/>
                            </w:rPr>
                          </w:pPr>
                          <w:r>
                            <w:rPr>
                              <w:strike/>
                              <w:color w:val="000000"/>
                              <w:sz w:val="22"/>
                              <w:szCs w:val="22"/>
                            </w:rPr>
                            <w:t>1,5439</w:t>
                          </w:r>
                        </w:p>
                        <w:p>
                          <w:pPr>
                            <w:ind w:right="38"/>
                            <w:jc w:val="center"/>
                            <w:textAlignment w:val="baseline"/>
                            <w:rPr>
                              <w:szCs w:val="24"/>
                            </w:rPr>
                          </w:pPr>
                          <w:r>
                            <w:rPr>
                              <w:b/>
                              <w:bCs/>
                              <w:color w:val="000000"/>
                              <w:sz w:val="22"/>
                              <w:szCs w:val="22"/>
                            </w:rPr>
                            <w:t>1,6620</w:t>
                          </w:r>
                        </w:p>
                      </w:tc>
                      <w:tc>
                        <w:tcPr>
                          <w:tcW w:w="851" w:type="dxa"/>
                          <w:tcBorders>
                            <w:top w:val="nil"/>
                            <w:left w:val="nil"/>
                            <w:bottom w:val="single" w:sz="8" w:space="0" w:color="000000"/>
                            <w:right w:val="single" w:sz="8" w:space="0" w:color="000000"/>
                          </w:tcBorders>
                          <w:tcMar>
                            <w:top w:w="0" w:type="dxa"/>
                            <w:left w:w="108" w:type="dxa"/>
                            <w:bottom w:w="0" w:type="dxa"/>
                            <w:right w:w="108" w:type="dxa"/>
                          </w:tcMar>
                          <w:hideMark/>
                        </w:tcPr>
                        <w:p>
                          <w:pPr>
                            <w:ind w:right="38" w:hanging="104"/>
                            <w:jc w:val="center"/>
                            <w:textAlignment w:val="baseline"/>
                            <w:rPr>
                              <w:szCs w:val="24"/>
                            </w:rPr>
                          </w:pPr>
                          <w:r>
                            <w:rPr>
                              <w:strike/>
                              <w:color w:val="000000"/>
                              <w:sz w:val="22"/>
                              <w:szCs w:val="22"/>
                            </w:rPr>
                            <w:t>1,5507</w:t>
                          </w:r>
                        </w:p>
                        <w:p>
                          <w:pPr>
                            <w:ind w:right="38" w:hanging="112"/>
                            <w:jc w:val="center"/>
                            <w:textAlignment w:val="baseline"/>
                            <w:rPr>
                              <w:szCs w:val="24"/>
                            </w:rPr>
                          </w:pPr>
                          <w:r>
                            <w:rPr>
                              <w:b/>
                              <w:bCs/>
                              <w:color w:val="000000"/>
                              <w:sz w:val="22"/>
                              <w:szCs w:val="22"/>
                            </w:rPr>
                            <w:t>1,6693</w:t>
                          </w:r>
                          <w:r>
                            <w:rPr>
                              <w:color w:val="000000"/>
                              <w:sz w:val="22"/>
                              <w:szCs w:val="22"/>
                            </w:rPr>
                            <w:t>“.</w:t>
                          </w:r>
                        </w:p>
                      </w:tc>
                    </w:tr>
                  </w:tbl>
                  <w:p>
                    <w:pPr>
                      <w:ind w:firstLine="57"/>
                      <w:rPr>
                        <w:color w:val="000000"/>
                        <w:sz w:val="27"/>
                        <w:szCs w:val="27"/>
                      </w:rPr>
                    </w:pPr>
                  </w:p>
                  <w:p>
                    <w:pPr>
                      <w:rPr>
                        <w:color w:val="000000"/>
                        <w:sz w:val="27"/>
                        <w:szCs w:val="27"/>
                      </w:rPr>
                    </w:pPr>
                    <w:r>
                      <w:rPr>
                        <w:color w:val="000000"/>
                        <w:sz w:val="22"/>
                        <w:szCs w:val="22"/>
                      </w:rPr>
                      <w:t>5. Pakeisti Įstatymo 2 priedo 28 punktą ir jį išdėstyti taip:</w:t>
                    </w:r>
                  </w:p>
                  <w:p>
                    <w:pPr>
                      <w:rPr>
                        <w:color w:val="000000"/>
                        <w:sz w:val="27"/>
                        <w:szCs w:val="27"/>
                      </w:rPr>
                    </w:pPr>
                    <w:r>
                      <w:rPr>
                        <w:color w:val="000000"/>
                        <w:sz w:val="22"/>
                        <w:szCs w:val="22"/>
                      </w:rPr>
                      <w:t>„28. Šiame skyriuje nurodytų darbuotojų pareiginės algos koeficientai:</w:t>
                    </w:r>
                  </w:p>
                  <w:p>
                    <w:pPr>
                      <w:ind w:firstLine="57"/>
                      <w:jc w:val="both"/>
                      <w:rPr>
                        <w:color w:val="000000"/>
                        <w:sz w:val="27"/>
                        <w:szCs w:val="27"/>
                      </w:rPr>
                    </w:pPr>
                  </w:p>
                  <w:p>
                    <w:pPr>
                      <w:rPr>
                        <w:color w:val="000000"/>
                        <w:sz w:val="27"/>
                        <w:szCs w:val="27"/>
                      </w:rPr>
                    </w:pPr>
                    <w:r>
                      <w:rPr>
                        <w:color w:val="000000"/>
                        <w:sz w:val="22"/>
                        <w:szCs w:val="22"/>
                      </w:rPr>
                      <w:t>(pareiginės algos (atlyginimo) baziniais dydžiais)</w:t>
                    </w:r>
                  </w:p>
                  <w:tbl>
                    <w:tblPr>
                      <w:tblW w:w="8671" w:type="dxa"/>
                      <w:tblLayout w:type="fixed"/>
                      <w:tblCellMar>
                        <w:left w:w="0" w:type="dxa"/>
                        <w:right w:w="0" w:type="dxa"/>
                      </w:tblCellMar>
                      <w:tblLook w:val="04A0" w:firstRow="1" w:lastRow="0" w:firstColumn="1" w:lastColumn="0" w:noHBand="0" w:noVBand="1"/>
                    </w:tblPr>
                    <w:tblGrid>
                      <w:gridCol w:w="1631"/>
                      <w:gridCol w:w="945"/>
                      <w:gridCol w:w="992"/>
                      <w:gridCol w:w="993"/>
                      <w:gridCol w:w="992"/>
                      <w:gridCol w:w="977"/>
                      <w:gridCol w:w="672"/>
                      <w:gridCol w:w="194"/>
                      <w:gridCol w:w="1134"/>
                      <w:gridCol w:w="141"/>
                    </w:tblGrid>
                    <w:tr>
                      <w:trPr>
                        <w:gridAfter w:val="3"/>
                        <w:wAfter w:w="1469" w:type="dxa"/>
                        <w:trHeight w:val="242"/>
                        <w:tblHeader/>
                      </w:trPr>
                      <w:tc>
                        <w:tcPr>
                          <w:tcW w:w="1631"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rPr>
                          </w:pPr>
                          <w:r>
                            <w:rPr>
                              <w:color w:val="000000"/>
                              <w:sz w:val="22"/>
                              <w:szCs w:val="22"/>
                            </w:rPr>
                            <w:t>Kvalifikacinė</w:t>
                          </w:r>
                        </w:p>
                        <w:p>
                          <w:pPr>
                            <w:jc w:val="center"/>
                            <w:textAlignment w:val="baseline"/>
                            <w:rPr>
                              <w:szCs w:val="24"/>
                            </w:rPr>
                          </w:pPr>
                          <w:r>
                            <w:rPr>
                              <w:color w:val="000000"/>
                              <w:sz w:val="22"/>
                              <w:szCs w:val="22"/>
                            </w:rPr>
                            <w:t>kategorija</w:t>
                          </w:r>
                        </w:p>
                      </w:tc>
                      <w:tc>
                        <w:tcPr>
                          <w:tcW w:w="5571" w:type="dxa"/>
                          <w:gridSpan w:val="6"/>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Pareiginės algos koeficientai</w:t>
                          </w:r>
                        </w:p>
                      </w:tc>
                    </w:tr>
                    <w:tr>
                      <w:trPr>
                        <w:gridAfter w:val="3"/>
                        <w:wAfter w:w="1469" w:type="dxa"/>
                        <w:trHeight w:val="242"/>
                        <w:tblHeader/>
                      </w:trPr>
                      <w:tc>
                        <w:tcPr>
                          <w:tcW w:w="1631" w:type="dxa"/>
                          <w:vMerge/>
                          <w:tcBorders>
                            <w:top w:val="single" w:sz="8" w:space="0" w:color="auto"/>
                            <w:left w:val="single" w:sz="8" w:space="0" w:color="auto"/>
                            <w:bottom w:val="single" w:sz="8" w:space="0" w:color="auto"/>
                            <w:right w:val="single" w:sz="8" w:space="0" w:color="auto"/>
                          </w:tcBorders>
                          <w:vAlign w:val="center"/>
                          <w:hideMark/>
                        </w:tcPr>
                        <w:p>
                          <w:pPr>
                            <w:rPr>
                              <w:szCs w:val="24"/>
                            </w:rPr>
                          </w:pPr>
                        </w:p>
                      </w:tc>
                      <w:tc>
                        <w:tcPr>
                          <w:tcW w:w="5571" w:type="dxa"/>
                          <w:gridSpan w:val="6"/>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Pedagoginio darbo stažas (metais)</w:t>
                          </w:r>
                        </w:p>
                      </w:tc>
                    </w:tr>
                    <w:tr>
                      <w:trPr>
                        <w:trHeight w:val="989"/>
                        <w:tblHeader/>
                      </w:trPr>
                      <w:tc>
                        <w:tcPr>
                          <w:tcW w:w="1631" w:type="dxa"/>
                          <w:vMerge/>
                          <w:tcBorders>
                            <w:top w:val="single" w:sz="8" w:space="0" w:color="auto"/>
                            <w:left w:val="single" w:sz="8" w:space="0" w:color="auto"/>
                            <w:bottom w:val="single" w:sz="8" w:space="0" w:color="auto"/>
                            <w:right w:val="single" w:sz="8" w:space="0" w:color="auto"/>
                          </w:tcBorders>
                          <w:vAlign w:val="center"/>
                          <w:hideMark/>
                        </w:tcPr>
                        <w:p>
                          <w:pPr>
                            <w:rPr>
                              <w:szCs w:val="24"/>
                            </w:rPr>
                          </w:pPr>
                        </w:p>
                      </w:tc>
                      <w:tc>
                        <w:tcPr>
                          <w:tcW w:w="9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rPr>
                          </w:pPr>
                          <w:r>
                            <w:rPr>
                              <w:color w:val="000000"/>
                              <w:sz w:val="22"/>
                              <w:szCs w:val="22"/>
                            </w:rPr>
                            <w:t>iki 2</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2 iki 5</w:t>
                          </w: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5 iki 10</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10 iki 15</w:t>
                          </w:r>
                        </w:p>
                      </w:tc>
                      <w:tc>
                        <w:tcPr>
                          <w:tcW w:w="97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15 iki 20</w:t>
                          </w:r>
                        </w:p>
                      </w:tc>
                      <w:tc>
                        <w:tcPr>
                          <w:tcW w:w="866"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20 iki 25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hanging="112"/>
                            <w:jc w:val="center"/>
                            <w:textAlignment w:val="baseline"/>
                            <w:rPr>
                              <w:szCs w:val="24"/>
                            </w:rPr>
                          </w:pPr>
                          <w:r>
                            <w:rPr>
                              <w:color w:val="000000"/>
                              <w:sz w:val="22"/>
                              <w:szCs w:val="22"/>
                            </w:rPr>
                            <w:t>daugiau kaip 25</w:t>
                          </w:r>
                        </w:p>
                      </w:tc>
                      <w:tc>
                        <w:tcPr>
                          <w:tcW w:w="141" w:type="dxa"/>
                          <w:tcBorders>
                            <w:top w:val="nil"/>
                            <w:left w:val="nil"/>
                            <w:bottom w:val="single" w:sz="8" w:space="0" w:color="auto"/>
                            <w:right w:val="nil"/>
                          </w:tcBorders>
                          <w:vAlign w:val="center"/>
                          <w:hideMark/>
                        </w:tcPr>
                        <w:p>
                          <w:pPr>
                            <w:ind w:firstLine="62"/>
                            <w:rPr>
                              <w:szCs w:val="24"/>
                            </w:rPr>
                          </w:pPr>
                        </w:p>
                      </w:tc>
                    </w:tr>
                    <w:tr>
                      <w:trPr>
                        <w:gridAfter w:val="3"/>
                        <w:wAfter w:w="1469" w:type="dxa"/>
                        <w:trHeight w:val="245"/>
                      </w:trPr>
                      <w:tc>
                        <w:tcPr>
                          <w:tcW w:w="7202" w:type="dxa"/>
                          <w:gridSpan w:val="7"/>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color w:val="000000"/>
                              <w:sz w:val="22"/>
                              <w:szCs w:val="22"/>
                            </w:rPr>
                            <w:t>Nesuteiktos kvalifikacinės kategorijos</w:t>
                          </w:r>
                        </w:p>
                      </w:tc>
                    </w:tr>
                    <w:tr>
                      <w:trPr>
                        <w:trHeight w:val="271"/>
                      </w:trPr>
                      <w:tc>
                        <w:tcPr>
                          <w:tcW w:w="16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38"/>
                            <w:textAlignment w:val="baseline"/>
                            <w:rPr>
                              <w:szCs w:val="24"/>
                            </w:rPr>
                          </w:pPr>
                          <w:r>
                            <w:rPr>
                              <w:color w:val="000000"/>
                              <w:sz w:val="22"/>
                              <w:szCs w:val="22"/>
                            </w:rPr>
                            <w:t>Psichologo asistentas, specialusis pedagogas, logopedas, surdopedagogas, tiflopedagogas, socialinis pedagogas</w:t>
                          </w:r>
                        </w:p>
                      </w:tc>
                      <w:tc>
                        <w:tcPr>
                          <w:tcW w:w="9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1,1041</w:t>
                          </w:r>
                        </w:p>
                        <w:p>
                          <w:pPr>
                            <w:ind w:right="38"/>
                            <w:jc w:val="center"/>
                            <w:textAlignment w:val="baseline"/>
                            <w:rPr>
                              <w:szCs w:val="24"/>
                            </w:rPr>
                          </w:pPr>
                          <w:r>
                            <w:rPr>
                              <w:b/>
                              <w:bCs/>
                              <w:color w:val="000000"/>
                              <w:sz w:val="22"/>
                              <w:szCs w:val="22"/>
                            </w:rPr>
                            <w:t>1,1886</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textAlignment w:val="baseline"/>
                            <w:rPr>
                              <w:szCs w:val="24"/>
                            </w:rPr>
                          </w:pPr>
                          <w:r>
                            <w:rPr>
                              <w:strike/>
                              <w:color w:val="000000"/>
                              <w:sz w:val="22"/>
                              <w:szCs w:val="22"/>
                            </w:rPr>
                            <w:t>1,1082</w:t>
                          </w:r>
                        </w:p>
                        <w:p>
                          <w:pPr>
                            <w:ind w:right="38"/>
                            <w:jc w:val="center"/>
                            <w:textAlignment w:val="baseline"/>
                            <w:rPr>
                              <w:szCs w:val="24"/>
                            </w:rPr>
                          </w:pPr>
                          <w:r>
                            <w:rPr>
                              <w:b/>
                              <w:bCs/>
                              <w:color w:val="000000"/>
                              <w:sz w:val="22"/>
                              <w:szCs w:val="22"/>
                            </w:rPr>
                            <w:t>1,1930</w:t>
                          </w: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1,1177</w:t>
                          </w:r>
                        </w:p>
                        <w:p>
                          <w:pPr>
                            <w:ind w:right="38"/>
                            <w:jc w:val="center"/>
                            <w:textAlignment w:val="baseline"/>
                            <w:rPr>
                              <w:szCs w:val="24"/>
                            </w:rPr>
                          </w:pPr>
                          <w:r>
                            <w:rPr>
                              <w:b/>
                              <w:bCs/>
                              <w:color w:val="000000"/>
                              <w:sz w:val="22"/>
                              <w:szCs w:val="22"/>
                            </w:rPr>
                            <w:t>1,2032</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1,1381</w:t>
                          </w:r>
                        </w:p>
                        <w:p>
                          <w:pPr>
                            <w:ind w:right="38"/>
                            <w:jc w:val="center"/>
                            <w:textAlignment w:val="baseline"/>
                            <w:rPr>
                              <w:szCs w:val="24"/>
                            </w:rPr>
                          </w:pPr>
                          <w:r>
                            <w:rPr>
                              <w:b/>
                              <w:bCs/>
                              <w:color w:val="000000"/>
                              <w:sz w:val="22"/>
                              <w:szCs w:val="22"/>
                            </w:rPr>
                            <w:t>1,2252</w:t>
                          </w:r>
                        </w:p>
                      </w:tc>
                      <w:tc>
                        <w:tcPr>
                          <w:tcW w:w="97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1,1735</w:t>
                          </w:r>
                        </w:p>
                        <w:p>
                          <w:pPr>
                            <w:ind w:right="38"/>
                            <w:jc w:val="center"/>
                            <w:textAlignment w:val="baseline"/>
                            <w:rPr>
                              <w:szCs w:val="24"/>
                            </w:rPr>
                          </w:pPr>
                          <w:r>
                            <w:rPr>
                              <w:b/>
                              <w:bCs/>
                              <w:color w:val="000000"/>
                              <w:sz w:val="22"/>
                              <w:szCs w:val="22"/>
                            </w:rPr>
                            <w:t>1,2633</w:t>
                          </w:r>
                        </w:p>
                      </w:tc>
                      <w:tc>
                        <w:tcPr>
                          <w:tcW w:w="866"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1,1775</w:t>
                          </w:r>
                        </w:p>
                        <w:p>
                          <w:pPr>
                            <w:ind w:right="38"/>
                            <w:jc w:val="center"/>
                            <w:textAlignment w:val="baseline"/>
                            <w:rPr>
                              <w:szCs w:val="24"/>
                            </w:rPr>
                          </w:pPr>
                          <w:r>
                            <w:rPr>
                              <w:b/>
                              <w:bCs/>
                              <w:color w:val="000000"/>
                              <w:sz w:val="22"/>
                              <w:szCs w:val="22"/>
                            </w:rPr>
                            <w:t>1,2676</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1,1844</w:t>
                          </w:r>
                        </w:p>
                        <w:p>
                          <w:pPr>
                            <w:ind w:right="38"/>
                            <w:jc w:val="center"/>
                            <w:textAlignment w:val="baseline"/>
                            <w:rPr>
                              <w:szCs w:val="24"/>
                            </w:rPr>
                          </w:pPr>
                          <w:r>
                            <w:rPr>
                              <w:b/>
                              <w:bCs/>
                              <w:color w:val="000000"/>
                              <w:sz w:val="22"/>
                              <w:szCs w:val="22"/>
                            </w:rPr>
                            <w:t>1,2750</w:t>
                          </w:r>
                        </w:p>
                      </w:tc>
                      <w:tc>
                        <w:tcPr>
                          <w:tcW w:w="141" w:type="dxa"/>
                          <w:tcBorders>
                            <w:top w:val="nil"/>
                            <w:left w:val="nil"/>
                            <w:bottom w:val="single" w:sz="8" w:space="0" w:color="auto"/>
                            <w:right w:val="nil"/>
                          </w:tcBorders>
                          <w:vAlign w:val="center"/>
                          <w:hideMark/>
                        </w:tcPr>
                        <w:p>
                          <w:pPr>
                            <w:ind w:firstLine="62"/>
                            <w:rPr>
                              <w:szCs w:val="24"/>
                            </w:rPr>
                          </w:pPr>
                        </w:p>
                      </w:tc>
                    </w:tr>
                    <w:tr>
                      <w:trPr>
                        <w:gridAfter w:val="3"/>
                        <w:wAfter w:w="1469" w:type="dxa"/>
                        <w:trHeight w:val="245"/>
                      </w:trPr>
                      <w:tc>
                        <w:tcPr>
                          <w:tcW w:w="7202" w:type="dxa"/>
                          <w:gridSpan w:val="7"/>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color w:val="000000"/>
                              <w:sz w:val="22"/>
                              <w:szCs w:val="22"/>
                            </w:rPr>
                            <w:t>Suteiktos kvalifikacinės kategorijos</w:t>
                          </w:r>
                        </w:p>
                      </w:tc>
                    </w:tr>
                    <w:tr>
                      <w:trPr>
                        <w:trHeight w:val="1786"/>
                      </w:trPr>
                      <w:tc>
                        <w:tcPr>
                          <w:tcW w:w="16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38"/>
                            <w:textAlignment w:val="baseline"/>
                            <w:rPr>
                              <w:szCs w:val="24"/>
                            </w:rPr>
                          </w:pPr>
                          <w:r>
                            <w:rPr>
                              <w:color w:val="000000"/>
                              <w:sz w:val="22"/>
                              <w:szCs w:val="22"/>
                            </w:rPr>
                            <w:t>Specialusis pedagogas, logopedas, surdopedagogas, tiflopedagogas, socialinis pedagogas, ketvirtos kategorijos psichologas</w:t>
                          </w:r>
                        </w:p>
                      </w:tc>
                      <w:tc>
                        <w:tcPr>
                          <w:tcW w:w="9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1,1857</w:t>
                          </w:r>
                        </w:p>
                        <w:p>
                          <w:pPr>
                            <w:ind w:right="38"/>
                            <w:jc w:val="center"/>
                            <w:textAlignment w:val="baseline"/>
                            <w:rPr>
                              <w:szCs w:val="24"/>
                            </w:rPr>
                          </w:pPr>
                          <w:r>
                            <w:rPr>
                              <w:b/>
                              <w:bCs/>
                              <w:color w:val="000000"/>
                              <w:sz w:val="22"/>
                              <w:szCs w:val="22"/>
                            </w:rPr>
                            <w:t>1,2764</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left="-110" w:right="38"/>
                            <w:jc w:val="center"/>
                            <w:textAlignment w:val="baseline"/>
                            <w:rPr>
                              <w:szCs w:val="24"/>
                            </w:rPr>
                          </w:pPr>
                          <w:r>
                            <w:rPr>
                              <w:strike/>
                              <w:color w:val="000000"/>
                              <w:sz w:val="22"/>
                              <w:szCs w:val="22"/>
                            </w:rPr>
                            <w:t>1,1886</w:t>
                          </w:r>
                        </w:p>
                        <w:p>
                          <w:pPr>
                            <w:ind w:left="-110" w:right="38"/>
                            <w:jc w:val="center"/>
                            <w:textAlignment w:val="baseline"/>
                            <w:rPr>
                              <w:szCs w:val="24"/>
                            </w:rPr>
                          </w:pPr>
                          <w:r>
                            <w:rPr>
                              <w:b/>
                              <w:bCs/>
                              <w:color w:val="000000"/>
                              <w:sz w:val="22"/>
                              <w:szCs w:val="22"/>
                            </w:rPr>
                            <w:t>1,2795</w:t>
                          </w: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1,1899</w:t>
                          </w:r>
                        </w:p>
                        <w:p>
                          <w:pPr>
                            <w:ind w:right="38"/>
                            <w:jc w:val="center"/>
                            <w:textAlignment w:val="baseline"/>
                            <w:rPr>
                              <w:szCs w:val="24"/>
                            </w:rPr>
                          </w:pPr>
                          <w:r>
                            <w:rPr>
                              <w:b/>
                              <w:bCs/>
                              <w:color w:val="000000"/>
                              <w:sz w:val="22"/>
                              <w:szCs w:val="22"/>
                            </w:rPr>
                            <w:t>1,2809</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1,1966</w:t>
                          </w:r>
                        </w:p>
                        <w:p>
                          <w:pPr>
                            <w:ind w:right="38"/>
                            <w:jc w:val="center"/>
                            <w:textAlignment w:val="baseline"/>
                            <w:rPr>
                              <w:szCs w:val="24"/>
                            </w:rPr>
                          </w:pPr>
                          <w:r>
                            <w:rPr>
                              <w:b/>
                              <w:bCs/>
                              <w:color w:val="000000"/>
                              <w:sz w:val="22"/>
                              <w:szCs w:val="22"/>
                            </w:rPr>
                            <w:t>1,2881</w:t>
                          </w:r>
                        </w:p>
                      </w:tc>
                      <w:tc>
                        <w:tcPr>
                          <w:tcW w:w="97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1,1994</w:t>
                          </w:r>
                        </w:p>
                        <w:p>
                          <w:pPr>
                            <w:ind w:right="38"/>
                            <w:jc w:val="center"/>
                            <w:textAlignment w:val="baseline"/>
                            <w:rPr>
                              <w:szCs w:val="24"/>
                            </w:rPr>
                          </w:pPr>
                          <w:r>
                            <w:rPr>
                              <w:b/>
                              <w:bCs/>
                              <w:color w:val="000000"/>
                              <w:sz w:val="22"/>
                              <w:szCs w:val="22"/>
                            </w:rPr>
                            <w:t>1,2912</w:t>
                          </w:r>
                        </w:p>
                      </w:tc>
                      <w:tc>
                        <w:tcPr>
                          <w:tcW w:w="866"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1,2034</w:t>
                          </w:r>
                        </w:p>
                        <w:p>
                          <w:pPr>
                            <w:ind w:right="38"/>
                            <w:jc w:val="center"/>
                            <w:textAlignment w:val="baseline"/>
                            <w:rPr>
                              <w:szCs w:val="24"/>
                            </w:rPr>
                          </w:pPr>
                          <w:r>
                            <w:rPr>
                              <w:b/>
                              <w:bCs/>
                              <w:color w:val="000000"/>
                              <w:sz w:val="22"/>
                              <w:szCs w:val="22"/>
                            </w:rPr>
                            <w:t>1,2955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1,2129</w:t>
                          </w:r>
                        </w:p>
                        <w:p>
                          <w:pPr>
                            <w:ind w:right="38"/>
                            <w:jc w:val="center"/>
                            <w:textAlignment w:val="baseline"/>
                            <w:rPr>
                              <w:szCs w:val="24"/>
                            </w:rPr>
                          </w:pPr>
                          <w:r>
                            <w:rPr>
                              <w:b/>
                              <w:bCs/>
                              <w:color w:val="000000"/>
                              <w:sz w:val="22"/>
                              <w:szCs w:val="22"/>
                            </w:rPr>
                            <w:t>1,3057</w:t>
                          </w:r>
                        </w:p>
                      </w:tc>
                      <w:tc>
                        <w:tcPr>
                          <w:tcW w:w="141" w:type="dxa"/>
                          <w:tcBorders>
                            <w:top w:val="nil"/>
                            <w:left w:val="nil"/>
                            <w:bottom w:val="nil"/>
                            <w:right w:val="nil"/>
                          </w:tcBorders>
                          <w:vAlign w:val="center"/>
                          <w:hideMark/>
                        </w:tcPr>
                        <w:p>
                          <w:pPr>
                            <w:ind w:firstLine="62"/>
                            <w:rPr>
                              <w:szCs w:val="24"/>
                            </w:rPr>
                          </w:pPr>
                        </w:p>
                      </w:tc>
                    </w:tr>
                    <w:tr>
                      <w:trPr>
                        <w:trHeight w:val="2896"/>
                      </w:trPr>
                      <w:tc>
                        <w:tcPr>
                          <w:tcW w:w="16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38"/>
                            <w:textAlignment w:val="baseline"/>
                            <w:rPr>
                              <w:szCs w:val="24"/>
                            </w:rPr>
                          </w:pPr>
                          <w:r>
                            <w:rPr>
                              <w:color w:val="000000"/>
                              <w:sz w:val="22"/>
                              <w:szCs w:val="22"/>
                            </w:rPr>
                            <w:t>Vyresnysis specialusis pedagogas, vyresnysis logopedas, vyresnysis surdopedagogas, vyresnysis tiflopedagogas, vyresnysis socialinis pedagogas, trečios kategorijos psichologas</w:t>
                          </w:r>
                        </w:p>
                      </w:tc>
                      <w:tc>
                        <w:tcPr>
                          <w:tcW w:w="9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firstLine="119"/>
                            <w:jc w:val="center"/>
                            <w:textAlignment w:val="baseline"/>
                            <w:rPr>
                              <w:szCs w:val="24"/>
                            </w:rPr>
                          </w:pP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1,2144</w:t>
                          </w:r>
                        </w:p>
                        <w:p>
                          <w:pPr>
                            <w:ind w:right="38"/>
                            <w:jc w:val="center"/>
                            <w:textAlignment w:val="baseline"/>
                            <w:rPr>
                              <w:szCs w:val="24"/>
                            </w:rPr>
                          </w:pPr>
                          <w:r>
                            <w:rPr>
                              <w:b/>
                              <w:bCs/>
                              <w:color w:val="000000"/>
                              <w:sz w:val="22"/>
                              <w:szCs w:val="22"/>
                            </w:rPr>
                            <w:t>1,3073</w:t>
                          </w: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1,2185</w:t>
                          </w:r>
                        </w:p>
                        <w:p>
                          <w:pPr>
                            <w:ind w:right="38"/>
                            <w:jc w:val="center"/>
                            <w:textAlignment w:val="baseline"/>
                            <w:rPr>
                              <w:szCs w:val="24"/>
                            </w:rPr>
                          </w:pPr>
                          <w:r>
                            <w:rPr>
                              <w:b/>
                              <w:bCs/>
                              <w:color w:val="000000"/>
                              <w:sz w:val="22"/>
                              <w:szCs w:val="22"/>
                            </w:rPr>
                            <w:t>1,3117</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1,2240</w:t>
                          </w:r>
                        </w:p>
                        <w:p>
                          <w:pPr>
                            <w:ind w:right="38"/>
                            <w:jc w:val="center"/>
                            <w:textAlignment w:val="baseline"/>
                            <w:rPr>
                              <w:szCs w:val="24"/>
                            </w:rPr>
                          </w:pPr>
                          <w:r>
                            <w:rPr>
                              <w:b/>
                              <w:bCs/>
                              <w:color w:val="000000"/>
                              <w:sz w:val="22"/>
                              <w:szCs w:val="22"/>
                            </w:rPr>
                            <w:t>1,3176</w:t>
                          </w:r>
                        </w:p>
                      </w:tc>
                      <w:tc>
                        <w:tcPr>
                          <w:tcW w:w="97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1,2730</w:t>
                          </w:r>
                        </w:p>
                        <w:p>
                          <w:pPr>
                            <w:ind w:right="38"/>
                            <w:jc w:val="center"/>
                            <w:textAlignment w:val="baseline"/>
                            <w:rPr>
                              <w:szCs w:val="24"/>
                            </w:rPr>
                          </w:pPr>
                          <w:r>
                            <w:rPr>
                              <w:b/>
                              <w:bCs/>
                              <w:color w:val="000000"/>
                              <w:sz w:val="22"/>
                              <w:szCs w:val="22"/>
                            </w:rPr>
                            <w:t>1,3704</w:t>
                          </w:r>
                        </w:p>
                      </w:tc>
                      <w:tc>
                        <w:tcPr>
                          <w:tcW w:w="866"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1,2797</w:t>
                          </w:r>
                        </w:p>
                        <w:p>
                          <w:pPr>
                            <w:ind w:right="38"/>
                            <w:jc w:val="center"/>
                            <w:textAlignment w:val="baseline"/>
                            <w:rPr>
                              <w:szCs w:val="24"/>
                            </w:rPr>
                          </w:pPr>
                          <w:r>
                            <w:rPr>
                              <w:b/>
                              <w:bCs/>
                              <w:color w:val="000000"/>
                              <w:sz w:val="22"/>
                              <w:szCs w:val="22"/>
                            </w:rPr>
                            <w:t>1,3776</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1,2851</w:t>
                          </w:r>
                        </w:p>
                        <w:p>
                          <w:pPr>
                            <w:ind w:right="38"/>
                            <w:jc w:val="center"/>
                            <w:textAlignment w:val="baseline"/>
                            <w:rPr>
                              <w:szCs w:val="24"/>
                            </w:rPr>
                          </w:pPr>
                          <w:r>
                            <w:rPr>
                              <w:b/>
                              <w:bCs/>
                              <w:color w:val="000000"/>
                              <w:sz w:val="22"/>
                              <w:szCs w:val="22"/>
                            </w:rPr>
                            <w:t>1,3834</w:t>
                          </w:r>
                        </w:p>
                      </w:tc>
                      <w:tc>
                        <w:tcPr>
                          <w:tcW w:w="141" w:type="dxa"/>
                          <w:tcBorders>
                            <w:top w:val="nil"/>
                            <w:left w:val="nil"/>
                            <w:bottom w:val="nil"/>
                            <w:right w:val="nil"/>
                          </w:tcBorders>
                          <w:vAlign w:val="center"/>
                          <w:hideMark/>
                        </w:tcPr>
                        <w:p>
                          <w:pPr>
                            <w:ind w:firstLine="62"/>
                            <w:rPr>
                              <w:szCs w:val="24"/>
                            </w:rPr>
                          </w:pPr>
                        </w:p>
                      </w:tc>
                    </w:tr>
                    <w:tr>
                      <w:trPr>
                        <w:trHeight w:val="2896"/>
                      </w:trPr>
                      <w:tc>
                        <w:tcPr>
                          <w:tcW w:w="16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38"/>
                            <w:textAlignment w:val="baseline"/>
                            <w:rPr>
                              <w:szCs w:val="24"/>
                            </w:rPr>
                          </w:pPr>
                          <w:r>
                            <w:rPr>
                              <w:color w:val="000000"/>
                              <w:sz w:val="22"/>
                              <w:szCs w:val="22"/>
                            </w:rPr>
                            <w:t>Specialusis pedagogas metodininkas, logopedas metodininkas, surdopedagogas metodininkas, tiflopedagogas metodininkas, socialinis pedagogas metodininkas, antros kategorijos psichologas</w:t>
                          </w:r>
                        </w:p>
                      </w:tc>
                      <w:tc>
                        <w:tcPr>
                          <w:tcW w:w="9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firstLine="119"/>
                            <w:jc w:val="center"/>
                            <w:textAlignment w:val="baseline"/>
                            <w:rPr>
                              <w:szCs w:val="24"/>
                            </w:rPr>
                          </w:pP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firstLine="119"/>
                            <w:textAlignment w:val="baseline"/>
                            <w:rPr>
                              <w:szCs w:val="24"/>
                            </w:rPr>
                          </w:pP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1,2974</w:t>
                          </w:r>
                        </w:p>
                        <w:p>
                          <w:pPr>
                            <w:ind w:right="38"/>
                            <w:jc w:val="center"/>
                            <w:textAlignment w:val="baseline"/>
                            <w:rPr>
                              <w:szCs w:val="24"/>
                            </w:rPr>
                          </w:pPr>
                          <w:r>
                            <w:rPr>
                              <w:b/>
                              <w:bCs/>
                              <w:color w:val="000000"/>
                              <w:sz w:val="22"/>
                              <w:szCs w:val="22"/>
                            </w:rPr>
                            <w:t>1,3967</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1,3206</w:t>
                          </w:r>
                        </w:p>
                        <w:p>
                          <w:pPr>
                            <w:ind w:right="38"/>
                            <w:jc w:val="center"/>
                            <w:textAlignment w:val="baseline"/>
                            <w:rPr>
                              <w:szCs w:val="24"/>
                            </w:rPr>
                          </w:pPr>
                          <w:r>
                            <w:rPr>
                              <w:b/>
                              <w:bCs/>
                              <w:color w:val="000000"/>
                              <w:sz w:val="22"/>
                              <w:szCs w:val="22"/>
                            </w:rPr>
                            <w:t>1,4216</w:t>
                          </w:r>
                        </w:p>
                      </w:tc>
                      <w:tc>
                        <w:tcPr>
                          <w:tcW w:w="97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1,3627</w:t>
                          </w:r>
                        </w:p>
                        <w:p>
                          <w:pPr>
                            <w:ind w:right="38"/>
                            <w:jc w:val="center"/>
                            <w:textAlignment w:val="baseline"/>
                            <w:rPr>
                              <w:szCs w:val="24"/>
                            </w:rPr>
                          </w:pPr>
                          <w:r>
                            <w:rPr>
                              <w:b/>
                              <w:bCs/>
                              <w:color w:val="000000"/>
                              <w:sz w:val="22"/>
                              <w:szCs w:val="22"/>
                            </w:rPr>
                            <w:t>1,4669</w:t>
                          </w:r>
                        </w:p>
                      </w:tc>
                      <w:tc>
                        <w:tcPr>
                          <w:tcW w:w="866"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1,3683</w:t>
                          </w:r>
                        </w:p>
                        <w:p>
                          <w:pPr>
                            <w:ind w:right="38"/>
                            <w:jc w:val="center"/>
                            <w:textAlignment w:val="baseline"/>
                            <w:rPr>
                              <w:szCs w:val="24"/>
                            </w:rPr>
                          </w:pPr>
                          <w:r>
                            <w:rPr>
                              <w:b/>
                              <w:bCs/>
                              <w:color w:val="000000"/>
                              <w:sz w:val="22"/>
                              <w:szCs w:val="22"/>
                            </w:rPr>
                            <w:t>1,4730</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1,3778</w:t>
                          </w:r>
                        </w:p>
                        <w:p>
                          <w:pPr>
                            <w:ind w:right="38"/>
                            <w:jc w:val="center"/>
                            <w:textAlignment w:val="baseline"/>
                            <w:rPr>
                              <w:szCs w:val="24"/>
                            </w:rPr>
                          </w:pPr>
                          <w:r>
                            <w:rPr>
                              <w:b/>
                              <w:bCs/>
                              <w:color w:val="000000"/>
                              <w:sz w:val="22"/>
                              <w:szCs w:val="22"/>
                            </w:rPr>
                            <w:t>1,4832</w:t>
                          </w:r>
                        </w:p>
                      </w:tc>
                      <w:tc>
                        <w:tcPr>
                          <w:tcW w:w="141" w:type="dxa"/>
                          <w:tcBorders>
                            <w:top w:val="nil"/>
                            <w:left w:val="nil"/>
                            <w:bottom w:val="nil"/>
                            <w:right w:val="nil"/>
                          </w:tcBorders>
                          <w:vAlign w:val="center"/>
                          <w:hideMark/>
                        </w:tcPr>
                        <w:p>
                          <w:pPr>
                            <w:ind w:firstLine="62"/>
                            <w:rPr>
                              <w:szCs w:val="24"/>
                            </w:rPr>
                          </w:pPr>
                        </w:p>
                      </w:tc>
                    </w:tr>
                    <w:tr>
                      <w:trPr>
                        <w:trHeight w:val="2219"/>
                      </w:trPr>
                      <w:tc>
                        <w:tcPr>
                          <w:tcW w:w="163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38"/>
                            <w:textAlignment w:val="baseline"/>
                            <w:rPr>
                              <w:szCs w:val="24"/>
                            </w:rPr>
                          </w:pPr>
                          <w:r>
                            <w:rPr>
                              <w:color w:val="000000"/>
                              <w:sz w:val="22"/>
                              <w:szCs w:val="22"/>
                            </w:rPr>
                            <w:t>Specialusis pedagogas ekspertas, logopedas ekspertas, surdopedagogas ekspertas, tiflopedagogas ekspertas, socialinis pedagogas ekspertas, pirmos kategorijos psichologas</w:t>
                          </w:r>
                        </w:p>
                      </w:tc>
                      <w:tc>
                        <w:tcPr>
                          <w:tcW w:w="945"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firstLine="119"/>
                            <w:jc w:val="center"/>
                            <w:textAlignment w:val="baseline"/>
                            <w:rPr>
                              <w:szCs w:val="24"/>
                            </w:rPr>
                          </w:pP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firstLine="119"/>
                            <w:textAlignment w:val="baseline"/>
                            <w:rPr>
                              <w:szCs w:val="24"/>
                            </w:rPr>
                          </w:pPr>
                        </w:p>
                      </w:tc>
                      <w:tc>
                        <w:tcPr>
                          <w:tcW w:w="99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1,4744</w:t>
                          </w:r>
                        </w:p>
                        <w:p>
                          <w:pPr>
                            <w:ind w:right="38"/>
                            <w:jc w:val="center"/>
                            <w:textAlignment w:val="baseline"/>
                            <w:rPr>
                              <w:szCs w:val="24"/>
                            </w:rPr>
                          </w:pPr>
                          <w:r>
                            <w:rPr>
                              <w:b/>
                              <w:bCs/>
                              <w:color w:val="000000"/>
                              <w:sz w:val="22"/>
                              <w:szCs w:val="22"/>
                            </w:rPr>
                            <w:t>1,5872</w:t>
                          </w:r>
                        </w:p>
                      </w:tc>
                      <w:tc>
                        <w:tcPr>
                          <w:tcW w:w="99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1,4989</w:t>
                          </w:r>
                        </w:p>
                        <w:p>
                          <w:pPr>
                            <w:ind w:right="38"/>
                            <w:jc w:val="center"/>
                            <w:textAlignment w:val="baseline"/>
                            <w:rPr>
                              <w:szCs w:val="24"/>
                            </w:rPr>
                          </w:pPr>
                          <w:r>
                            <w:rPr>
                              <w:b/>
                              <w:bCs/>
                              <w:color w:val="000000"/>
                              <w:sz w:val="22"/>
                              <w:szCs w:val="22"/>
                            </w:rPr>
                            <w:t>1,6136</w:t>
                          </w:r>
                        </w:p>
                      </w:tc>
                      <w:tc>
                        <w:tcPr>
                          <w:tcW w:w="97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1,5371</w:t>
                          </w:r>
                        </w:p>
                        <w:p>
                          <w:pPr>
                            <w:ind w:right="38"/>
                            <w:jc w:val="center"/>
                            <w:textAlignment w:val="baseline"/>
                            <w:rPr>
                              <w:szCs w:val="24"/>
                            </w:rPr>
                          </w:pPr>
                          <w:r>
                            <w:rPr>
                              <w:b/>
                              <w:bCs/>
                              <w:color w:val="000000"/>
                              <w:sz w:val="22"/>
                              <w:szCs w:val="22"/>
                            </w:rPr>
                            <w:t>1,6547</w:t>
                          </w:r>
                        </w:p>
                      </w:tc>
                      <w:tc>
                        <w:tcPr>
                          <w:tcW w:w="866"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jc w:val="center"/>
                            <w:textAlignment w:val="baseline"/>
                            <w:rPr>
                              <w:szCs w:val="24"/>
                            </w:rPr>
                          </w:pPr>
                          <w:r>
                            <w:rPr>
                              <w:strike/>
                              <w:color w:val="000000"/>
                              <w:sz w:val="22"/>
                              <w:szCs w:val="22"/>
                            </w:rPr>
                            <w:t>1,5439</w:t>
                          </w:r>
                        </w:p>
                        <w:p>
                          <w:pPr>
                            <w:ind w:right="38"/>
                            <w:jc w:val="center"/>
                            <w:textAlignment w:val="baseline"/>
                            <w:rPr>
                              <w:szCs w:val="24"/>
                            </w:rPr>
                          </w:pPr>
                          <w:r>
                            <w:rPr>
                              <w:b/>
                              <w:bCs/>
                              <w:color w:val="000000"/>
                              <w:sz w:val="22"/>
                              <w:szCs w:val="22"/>
                            </w:rPr>
                            <w:t>1,6620</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ind w:right="38" w:hanging="104"/>
                            <w:jc w:val="center"/>
                            <w:textAlignment w:val="baseline"/>
                            <w:rPr>
                              <w:szCs w:val="24"/>
                            </w:rPr>
                          </w:pPr>
                          <w:r>
                            <w:rPr>
                              <w:strike/>
                              <w:color w:val="000000"/>
                              <w:sz w:val="22"/>
                              <w:szCs w:val="22"/>
                            </w:rPr>
                            <w:t>1,5507</w:t>
                          </w:r>
                        </w:p>
                        <w:p>
                          <w:pPr>
                            <w:ind w:right="38" w:hanging="104"/>
                            <w:jc w:val="center"/>
                            <w:textAlignment w:val="baseline"/>
                            <w:rPr>
                              <w:szCs w:val="24"/>
                            </w:rPr>
                          </w:pPr>
                          <w:r>
                            <w:rPr>
                              <w:b/>
                              <w:bCs/>
                              <w:color w:val="000000"/>
                              <w:sz w:val="22"/>
                              <w:szCs w:val="22"/>
                            </w:rPr>
                            <w:t>1,6693</w:t>
                          </w:r>
                          <w:r>
                            <w:rPr>
                              <w:color w:val="000000"/>
                              <w:sz w:val="22"/>
                              <w:szCs w:val="22"/>
                            </w:rPr>
                            <w:t>“.</w:t>
                          </w:r>
                        </w:p>
                      </w:tc>
                      <w:tc>
                        <w:tcPr>
                          <w:tcW w:w="141" w:type="dxa"/>
                          <w:tcBorders>
                            <w:top w:val="nil"/>
                            <w:left w:val="nil"/>
                            <w:bottom w:val="nil"/>
                            <w:right w:val="nil"/>
                          </w:tcBorders>
                          <w:vAlign w:val="center"/>
                          <w:hideMark/>
                        </w:tcPr>
                        <w:p>
                          <w:pPr>
                            <w:ind w:firstLine="62"/>
                            <w:rPr>
                              <w:szCs w:val="24"/>
                            </w:rPr>
                          </w:pPr>
                        </w:p>
                      </w:tc>
                    </w:tr>
                  </w:tbl>
                  <w:p>
                    <w:pPr>
                      <w:ind w:firstLine="4593"/>
                      <w:jc w:val="both"/>
                      <w:rPr>
                        <w:color w:val="000000"/>
                        <w:sz w:val="27"/>
                        <w:szCs w:val="27"/>
                      </w:rPr>
                    </w:pPr>
                  </w:p>
                  <w:p>
                    <w:pPr>
                      <w:rPr>
                        <w:color w:val="000000"/>
                        <w:sz w:val="27"/>
                        <w:szCs w:val="27"/>
                      </w:rPr>
                    </w:pPr>
                    <w:r>
                      <w:rPr>
                        <w:color w:val="000000"/>
                        <w:sz w:val="22"/>
                        <w:szCs w:val="22"/>
                      </w:rPr>
                      <w:t>6. Pakeisti Įstatymo 2 priedo 32 punktą ir jį išdėstyti taip:</w:t>
                    </w:r>
                  </w:p>
                  <w:p>
                    <w:pPr>
                      <w:rPr>
                        <w:color w:val="000000"/>
                        <w:sz w:val="27"/>
                        <w:szCs w:val="27"/>
                      </w:rPr>
                    </w:pPr>
                    <w:r>
                      <w:rPr>
                        <w:color w:val="000000"/>
                        <w:sz w:val="22"/>
                        <w:szCs w:val="22"/>
                      </w:rPr>
                      <w:t>„32. Šiame skyriuje nurodytų darbuotojų pareiginės algos koeficientai:</w:t>
                    </w:r>
                  </w:p>
                  <w:p>
                    <w:pPr>
                      <w:ind w:firstLine="57"/>
                      <w:rPr>
                        <w:color w:val="000000"/>
                        <w:sz w:val="27"/>
                        <w:szCs w:val="27"/>
                      </w:rPr>
                    </w:pPr>
                  </w:p>
                  <w:p>
                    <w:pPr>
                      <w:rPr>
                        <w:color w:val="000000"/>
                        <w:sz w:val="27"/>
                        <w:szCs w:val="27"/>
                      </w:rPr>
                    </w:pPr>
                    <w:r>
                      <w:rPr>
                        <w:color w:val="000000"/>
                        <w:sz w:val="22"/>
                        <w:szCs w:val="22"/>
                      </w:rPr>
                      <w:t>(pareiginės algos (atlyginimo) baziniais dydžiais)</w:t>
                    </w:r>
                  </w:p>
                  <w:tbl>
                    <w:tblPr>
                      <w:tblW w:w="0" w:type="dxa"/>
                      <w:tblLayout w:type="fixed"/>
                      <w:tblCellMar>
                        <w:left w:w="0" w:type="dxa"/>
                        <w:right w:w="0" w:type="dxa"/>
                      </w:tblCellMar>
                      <w:tblLook w:val="04A0" w:firstRow="1" w:lastRow="0" w:firstColumn="1" w:lastColumn="0" w:noHBand="0" w:noVBand="1"/>
                    </w:tblPr>
                    <w:tblGrid>
                      <w:gridCol w:w="2976"/>
                      <w:gridCol w:w="958"/>
                      <w:gridCol w:w="1064"/>
                      <w:gridCol w:w="1063"/>
                      <w:gridCol w:w="959"/>
                    </w:tblGrid>
                    <w:tr>
                      <w:trPr>
                        <w:trHeight w:val="253"/>
                      </w:trPr>
                      <w:tc>
                        <w:tcPr>
                          <w:tcW w:w="2976"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Pareigybė</w:t>
                          </w:r>
                        </w:p>
                      </w:tc>
                      <w:tc>
                        <w:tcPr>
                          <w:tcW w:w="4044" w:type="dxa"/>
                          <w:gridSpan w:val="4"/>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Pareiginės algos koeficientai</w:t>
                          </w:r>
                        </w:p>
                      </w:tc>
                    </w:tr>
                    <w:tr>
                      <w:trPr>
                        <w:trHeight w:val="266"/>
                      </w:trPr>
                      <w:tc>
                        <w:tcPr>
                          <w:tcW w:w="2976"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4044" w:type="dxa"/>
                          <w:gridSpan w:val="4"/>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Pedagoginio darbo stažas (metais)</w:t>
                          </w:r>
                        </w:p>
                      </w:tc>
                    </w:tr>
                    <w:tr>
                      <w:trPr>
                        <w:trHeight w:val="241"/>
                      </w:trPr>
                      <w:tc>
                        <w:tcPr>
                          <w:tcW w:w="2976"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iki 3</w:t>
                          </w:r>
                        </w:p>
                      </w:tc>
                      <w:tc>
                        <w:tcPr>
                          <w:tcW w:w="106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3 iki 10</w:t>
                          </w:r>
                        </w:p>
                      </w:tc>
                      <w:tc>
                        <w:tcPr>
                          <w:tcW w:w="106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10 iki 15</w:t>
                          </w: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daugiau kaip 15</w:t>
                          </w:r>
                        </w:p>
                      </w:tc>
                    </w:tr>
                    <w:tr>
                      <w:trPr>
                        <w:trHeight w:val="266"/>
                      </w:trPr>
                      <w:tc>
                        <w:tcPr>
                          <w:tcW w:w="7020" w:type="dxa"/>
                          <w:gridSpan w:val="5"/>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Nesuteiktos kvalifikacinės kategorijos</w:t>
                          </w:r>
                        </w:p>
                      </w:tc>
                    </w:tr>
                    <w:tr>
                      <w:trPr>
                        <w:trHeight w:val="572"/>
                      </w:trPr>
                      <w:tc>
                        <w:tcPr>
                          <w:tcW w:w="297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textAlignment w:val="baseline"/>
                            <w:rPr>
                              <w:szCs w:val="24"/>
                            </w:rPr>
                          </w:pPr>
                          <w:r>
                            <w:rPr>
                              <w:color w:val="000000"/>
                              <w:sz w:val="22"/>
                              <w:szCs w:val="22"/>
                            </w:rPr>
                            <w:t>Auklėtojas, koncertmeisteris, akompaniatorius</w:t>
                          </w: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0,8305</w:t>
                          </w:r>
                        </w:p>
                        <w:p>
                          <w:pPr>
                            <w:jc w:val="center"/>
                            <w:textAlignment w:val="baseline"/>
                            <w:rPr>
                              <w:szCs w:val="24"/>
                            </w:rPr>
                          </w:pPr>
                          <w:r>
                            <w:rPr>
                              <w:b/>
                              <w:bCs/>
                              <w:color w:val="000000"/>
                              <w:sz w:val="22"/>
                              <w:szCs w:val="22"/>
                            </w:rPr>
                            <w:t>0,8940</w:t>
                          </w:r>
                        </w:p>
                      </w:tc>
                      <w:tc>
                        <w:tcPr>
                          <w:tcW w:w="106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0,8454</w:t>
                          </w:r>
                        </w:p>
                        <w:p>
                          <w:pPr>
                            <w:jc w:val="center"/>
                            <w:textAlignment w:val="baseline"/>
                            <w:rPr>
                              <w:szCs w:val="24"/>
                            </w:rPr>
                          </w:pPr>
                          <w:r>
                            <w:rPr>
                              <w:b/>
                              <w:bCs/>
                              <w:color w:val="000000"/>
                              <w:sz w:val="22"/>
                              <w:szCs w:val="22"/>
                            </w:rPr>
                            <w:t>0,9101</w:t>
                          </w:r>
                        </w:p>
                      </w:tc>
                      <w:tc>
                        <w:tcPr>
                          <w:tcW w:w="106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0,8603</w:t>
                          </w:r>
                        </w:p>
                        <w:p>
                          <w:pPr>
                            <w:jc w:val="center"/>
                            <w:textAlignment w:val="baseline"/>
                            <w:rPr>
                              <w:szCs w:val="24"/>
                            </w:rPr>
                          </w:pPr>
                          <w:r>
                            <w:rPr>
                              <w:b/>
                              <w:bCs/>
                              <w:color w:val="000000"/>
                              <w:sz w:val="22"/>
                              <w:szCs w:val="22"/>
                            </w:rPr>
                            <w:t>0,9261</w:t>
                          </w: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0,8686</w:t>
                          </w:r>
                        </w:p>
                        <w:p>
                          <w:pPr>
                            <w:jc w:val="center"/>
                            <w:textAlignment w:val="baseline"/>
                            <w:rPr>
                              <w:szCs w:val="24"/>
                            </w:rPr>
                          </w:pPr>
                          <w:r>
                            <w:rPr>
                              <w:b/>
                              <w:bCs/>
                              <w:color w:val="000000"/>
                              <w:sz w:val="22"/>
                              <w:szCs w:val="22"/>
                            </w:rPr>
                            <w:t>0,9350</w:t>
                          </w:r>
                        </w:p>
                      </w:tc>
                    </w:tr>
                    <w:tr>
                      <w:trPr>
                        <w:trHeight w:val="259"/>
                      </w:trPr>
                      <w:tc>
                        <w:tcPr>
                          <w:tcW w:w="297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firstLine="57"/>
                            <w:textAlignment w:val="baseline"/>
                            <w:rPr>
                              <w:szCs w:val="24"/>
                            </w:rPr>
                          </w:pPr>
                        </w:p>
                      </w:tc>
                      <w:tc>
                        <w:tcPr>
                          <w:tcW w:w="4044" w:type="dxa"/>
                          <w:gridSpan w:val="4"/>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Pedagoginio darbo stažas (metais)</w:t>
                          </w:r>
                        </w:p>
                      </w:tc>
                    </w:tr>
                    <w:tr>
                      <w:trPr>
                        <w:trHeight w:val="194"/>
                      </w:trPr>
                      <w:tc>
                        <w:tcPr>
                          <w:tcW w:w="297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firstLine="57"/>
                            <w:textAlignment w:val="baseline"/>
                            <w:rPr>
                              <w:szCs w:val="24"/>
                            </w:rPr>
                          </w:pPr>
                        </w:p>
                      </w:tc>
                      <w:tc>
                        <w:tcPr>
                          <w:tcW w:w="2022"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iki 10</w:t>
                          </w:r>
                        </w:p>
                      </w:tc>
                      <w:tc>
                        <w:tcPr>
                          <w:tcW w:w="106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10 iki 15</w:t>
                          </w: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daugiau kaip 15</w:t>
                          </w:r>
                        </w:p>
                      </w:tc>
                    </w:tr>
                    <w:tr>
                      <w:trPr>
                        <w:trHeight w:val="266"/>
                      </w:trPr>
                      <w:tc>
                        <w:tcPr>
                          <w:tcW w:w="7020" w:type="dxa"/>
                          <w:gridSpan w:val="5"/>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Suteiktos kvalifikacinės kategorijos</w:t>
                          </w:r>
                        </w:p>
                      </w:tc>
                    </w:tr>
                    <w:tr>
                      <w:trPr>
                        <w:trHeight w:val="495"/>
                      </w:trPr>
                      <w:tc>
                        <w:tcPr>
                          <w:tcW w:w="297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textAlignment w:val="baseline"/>
                            <w:rPr>
                              <w:szCs w:val="24"/>
                            </w:rPr>
                          </w:pPr>
                          <w:r>
                            <w:rPr>
                              <w:color w:val="000000"/>
                              <w:sz w:val="22"/>
                              <w:szCs w:val="22"/>
                            </w:rPr>
                            <w:t>Koncertmeisteris, akompaniatorius</w:t>
                          </w:r>
                        </w:p>
                      </w:tc>
                      <w:tc>
                        <w:tcPr>
                          <w:tcW w:w="2022"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0,8754</w:t>
                          </w:r>
                        </w:p>
                        <w:p>
                          <w:pPr>
                            <w:jc w:val="center"/>
                            <w:textAlignment w:val="baseline"/>
                            <w:rPr>
                              <w:szCs w:val="24"/>
                            </w:rPr>
                          </w:pPr>
                          <w:r>
                            <w:rPr>
                              <w:b/>
                              <w:bCs/>
                              <w:color w:val="000000"/>
                              <w:sz w:val="22"/>
                              <w:szCs w:val="22"/>
                            </w:rPr>
                            <w:t>0,9424</w:t>
                          </w:r>
                        </w:p>
                      </w:tc>
                      <w:tc>
                        <w:tcPr>
                          <w:tcW w:w="106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0,8835</w:t>
                          </w:r>
                        </w:p>
                        <w:p>
                          <w:pPr>
                            <w:jc w:val="center"/>
                            <w:textAlignment w:val="baseline"/>
                            <w:rPr>
                              <w:szCs w:val="24"/>
                            </w:rPr>
                          </w:pPr>
                          <w:r>
                            <w:rPr>
                              <w:b/>
                              <w:bCs/>
                              <w:color w:val="000000"/>
                              <w:sz w:val="22"/>
                              <w:szCs w:val="22"/>
                            </w:rPr>
                            <w:t>0,9511</w:t>
                          </w: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0,8902</w:t>
                          </w:r>
                        </w:p>
                        <w:p>
                          <w:pPr>
                            <w:jc w:val="center"/>
                            <w:textAlignment w:val="baseline"/>
                            <w:rPr>
                              <w:szCs w:val="24"/>
                            </w:rPr>
                          </w:pPr>
                          <w:r>
                            <w:rPr>
                              <w:b/>
                              <w:bCs/>
                              <w:color w:val="000000"/>
                              <w:sz w:val="22"/>
                              <w:szCs w:val="22"/>
                            </w:rPr>
                            <w:t>0,9583</w:t>
                          </w:r>
                        </w:p>
                      </w:tc>
                    </w:tr>
                    <w:tr>
                      <w:trPr>
                        <w:trHeight w:val="402"/>
                      </w:trPr>
                      <w:tc>
                        <w:tcPr>
                          <w:tcW w:w="297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textAlignment w:val="baseline"/>
                            <w:rPr>
                              <w:szCs w:val="24"/>
                            </w:rPr>
                          </w:pPr>
                          <w:r>
                            <w:rPr>
                              <w:color w:val="000000"/>
                              <w:sz w:val="22"/>
                              <w:szCs w:val="22"/>
                            </w:rPr>
                            <w:t>Vyresnysis koncertmeisteris, vyresnysis akompaniatorius</w:t>
                          </w:r>
                        </w:p>
                      </w:tc>
                      <w:tc>
                        <w:tcPr>
                          <w:tcW w:w="2022"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0,8972</w:t>
                          </w:r>
                        </w:p>
                        <w:p>
                          <w:pPr>
                            <w:jc w:val="center"/>
                            <w:textAlignment w:val="baseline"/>
                            <w:rPr>
                              <w:szCs w:val="24"/>
                            </w:rPr>
                          </w:pPr>
                          <w:r>
                            <w:rPr>
                              <w:b/>
                              <w:bCs/>
                              <w:color w:val="000000"/>
                              <w:sz w:val="22"/>
                              <w:szCs w:val="22"/>
                            </w:rPr>
                            <w:t>0,9658</w:t>
                          </w:r>
                        </w:p>
                      </w:tc>
                      <w:tc>
                        <w:tcPr>
                          <w:tcW w:w="106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0,9054</w:t>
                          </w:r>
                        </w:p>
                        <w:p>
                          <w:pPr>
                            <w:jc w:val="center"/>
                            <w:textAlignment w:val="baseline"/>
                            <w:rPr>
                              <w:szCs w:val="24"/>
                            </w:rPr>
                          </w:pPr>
                          <w:r>
                            <w:rPr>
                              <w:b/>
                              <w:bCs/>
                              <w:color w:val="000000"/>
                              <w:sz w:val="22"/>
                              <w:szCs w:val="22"/>
                            </w:rPr>
                            <w:t>0,9747</w:t>
                          </w: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0,9122</w:t>
                          </w:r>
                        </w:p>
                        <w:p>
                          <w:pPr>
                            <w:jc w:val="center"/>
                            <w:textAlignment w:val="baseline"/>
                            <w:rPr>
                              <w:szCs w:val="24"/>
                            </w:rPr>
                          </w:pPr>
                          <w:r>
                            <w:rPr>
                              <w:b/>
                              <w:bCs/>
                              <w:color w:val="000000"/>
                              <w:sz w:val="22"/>
                              <w:szCs w:val="22"/>
                            </w:rPr>
                            <w:t>0,9820</w:t>
                          </w:r>
                        </w:p>
                      </w:tc>
                    </w:tr>
                    <w:tr>
                      <w:trPr>
                        <w:trHeight w:val="497"/>
                      </w:trPr>
                      <w:tc>
                        <w:tcPr>
                          <w:tcW w:w="297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textAlignment w:val="baseline"/>
                            <w:rPr>
                              <w:szCs w:val="24"/>
                            </w:rPr>
                          </w:pPr>
                          <w:r>
                            <w:rPr>
                              <w:color w:val="000000"/>
                              <w:sz w:val="22"/>
                              <w:szCs w:val="22"/>
                            </w:rPr>
                            <w:t>Koncertmeisteris metodininkas, akompaniatorius metodininkas</w:t>
                          </w:r>
                        </w:p>
                      </w:tc>
                      <w:tc>
                        <w:tcPr>
                          <w:tcW w:w="2022"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0,9203</w:t>
                          </w:r>
                        </w:p>
                        <w:p>
                          <w:pPr>
                            <w:jc w:val="center"/>
                            <w:textAlignment w:val="baseline"/>
                            <w:rPr>
                              <w:szCs w:val="24"/>
                            </w:rPr>
                          </w:pPr>
                          <w:r>
                            <w:rPr>
                              <w:b/>
                              <w:bCs/>
                              <w:color w:val="000000"/>
                              <w:sz w:val="22"/>
                              <w:szCs w:val="22"/>
                            </w:rPr>
                            <w:t>0,9907</w:t>
                          </w:r>
                        </w:p>
                      </w:tc>
                      <w:tc>
                        <w:tcPr>
                          <w:tcW w:w="106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0,9273</w:t>
                          </w:r>
                        </w:p>
                        <w:p>
                          <w:pPr>
                            <w:jc w:val="center"/>
                            <w:textAlignment w:val="baseline"/>
                            <w:rPr>
                              <w:szCs w:val="24"/>
                            </w:rPr>
                          </w:pPr>
                          <w:r>
                            <w:rPr>
                              <w:b/>
                              <w:bCs/>
                              <w:color w:val="000000"/>
                              <w:sz w:val="22"/>
                              <w:szCs w:val="22"/>
                            </w:rPr>
                            <w:t>0,9982</w:t>
                          </w: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0,9353</w:t>
                          </w:r>
                        </w:p>
                        <w:p>
                          <w:pPr>
                            <w:jc w:val="center"/>
                            <w:textAlignment w:val="baseline"/>
                            <w:rPr>
                              <w:szCs w:val="24"/>
                            </w:rPr>
                          </w:pPr>
                          <w:r>
                            <w:rPr>
                              <w:b/>
                              <w:bCs/>
                              <w:color w:val="000000"/>
                              <w:sz w:val="22"/>
                              <w:szCs w:val="22"/>
                            </w:rPr>
                            <w:t>1,0069</w:t>
                          </w:r>
                        </w:p>
                      </w:tc>
                    </w:tr>
                    <w:tr>
                      <w:trPr>
                        <w:trHeight w:val="502"/>
                      </w:trPr>
                      <w:tc>
                        <w:tcPr>
                          <w:tcW w:w="2976"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textAlignment w:val="baseline"/>
                            <w:rPr>
                              <w:szCs w:val="24"/>
                            </w:rPr>
                          </w:pPr>
                          <w:r>
                            <w:rPr>
                              <w:color w:val="000000"/>
                              <w:sz w:val="22"/>
                              <w:szCs w:val="22"/>
                            </w:rPr>
                            <w:t>Koncertmeisteris ekspertas, akompaniatorius ekspertas</w:t>
                          </w:r>
                        </w:p>
                      </w:tc>
                      <w:tc>
                        <w:tcPr>
                          <w:tcW w:w="2022" w:type="dxa"/>
                          <w:gridSpan w:val="2"/>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0,9503</w:t>
                          </w:r>
                        </w:p>
                        <w:p>
                          <w:pPr>
                            <w:jc w:val="center"/>
                            <w:textAlignment w:val="baseline"/>
                            <w:rPr>
                              <w:szCs w:val="24"/>
                            </w:rPr>
                          </w:pPr>
                          <w:r>
                            <w:rPr>
                              <w:b/>
                              <w:bCs/>
                              <w:color w:val="000000"/>
                              <w:sz w:val="22"/>
                              <w:szCs w:val="22"/>
                            </w:rPr>
                            <w:t>1,0230</w:t>
                          </w:r>
                        </w:p>
                      </w:tc>
                      <w:tc>
                        <w:tcPr>
                          <w:tcW w:w="1063"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0,9612</w:t>
                          </w:r>
                        </w:p>
                        <w:p>
                          <w:pPr>
                            <w:jc w:val="center"/>
                            <w:textAlignment w:val="baseline"/>
                            <w:rPr>
                              <w:szCs w:val="24"/>
                            </w:rPr>
                          </w:pPr>
                          <w:r>
                            <w:rPr>
                              <w:b/>
                              <w:bCs/>
                              <w:color w:val="000000"/>
                              <w:sz w:val="22"/>
                              <w:szCs w:val="22"/>
                            </w:rPr>
                            <w:t>1,0347</w:t>
                          </w: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hanging="111"/>
                            <w:jc w:val="center"/>
                            <w:textAlignment w:val="baseline"/>
                            <w:rPr>
                              <w:szCs w:val="24"/>
                            </w:rPr>
                          </w:pPr>
                          <w:r>
                            <w:rPr>
                              <w:strike/>
                              <w:color w:val="000000"/>
                              <w:sz w:val="22"/>
                              <w:szCs w:val="22"/>
                            </w:rPr>
                            <w:t>0,9857</w:t>
                          </w:r>
                        </w:p>
                        <w:p>
                          <w:pPr>
                            <w:ind w:hanging="111"/>
                            <w:jc w:val="center"/>
                            <w:textAlignment w:val="baseline"/>
                            <w:rPr>
                              <w:szCs w:val="24"/>
                            </w:rPr>
                          </w:pPr>
                          <w:r>
                            <w:rPr>
                              <w:b/>
                              <w:bCs/>
                              <w:color w:val="000000"/>
                              <w:sz w:val="22"/>
                              <w:szCs w:val="22"/>
                            </w:rPr>
                            <w:t>1,0611</w:t>
                          </w:r>
                          <w:r>
                            <w:rPr>
                              <w:color w:val="000000"/>
                              <w:sz w:val="22"/>
                              <w:szCs w:val="22"/>
                            </w:rPr>
                            <w:t>“.</w:t>
                          </w:r>
                        </w:p>
                      </w:tc>
                    </w:tr>
                  </w:tbl>
                  <w:p>
                    <w:pPr>
                      <w:ind w:firstLine="57"/>
                      <w:rPr>
                        <w:color w:val="000000"/>
                        <w:sz w:val="27"/>
                        <w:szCs w:val="27"/>
                      </w:rPr>
                    </w:pPr>
                  </w:p>
                  <w:p>
                    <w:pPr>
                      <w:rPr>
                        <w:color w:val="000000"/>
                        <w:sz w:val="27"/>
                        <w:szCs w:val="27"/>
                      </w:rPr>
                    </w:pPr>
                    <w:r>
                      <w:rPr>
                        <w:color w:val="000000"/>
                        <w:sz w:val="22"/>
                        <w:szCs w:val="22"/>
                      </w:rPr>
                      <w:t>7. Pakeisti Įstatymo 2 priedo 38 punktą ir jį išdėstyti taip:</w:t>
                    </w:r>
                  </w:p>
                  <w:p>
                    <w:pPr>
                      <w:rPr>
                        <w:color w:val="000000"/>
                        <w:sz w:val="27"/>
                        <w:szCs w:val="27"/>
                      </w:rPr>
                    </w:pPr>
                    <w:r>
                      <w:rPr>
                        <w:color w:val="000000"/>
                        <w:sz w:val="22"/>
                        <w:szCs w:val="22"/>
                      </w:rPr>
                      <w:t>„38. Šiame skyriuje nurodytų pagalbos mokiniui specialistų pareiginės algos koeficientai:</w:t>
                    </w:r>
                  </w:p>
                  <w:p>
                    <w:pPr>
                      <w:ind w:firstLine="57"/>
                      <w:rPr>
                        <w:color w:val="000000"/>
                        <w:sz w:val="27"/>
                        <w:szCs w:val="27"/>
                      </w:rPr>
                    </w:pPr>
                  </w:p>
                  <w:p>
                    <w:pPr>
                      <w:jc w:val="right"/>
                      <w:rPr>
                        <w:color w:val="000000"/>
                        <w:sz w:val="27"/>
                        <w:szCs w:val="27"/>
                      </w:rPr>
                    </w:pPr>
                    <w:r>
                      <w:rPr>
                        <w:color w:val="000000"/>
                        <w:sz w:val="22"/>
                        <w:szCs w:val="22"/>
                      </w:rPr>
                      <w:t>(pareiginės algos (atlyginimo) baziniais dydžiais)</w:t>
                    </w:r>
                  </w:p>
                  <w:tbl>
                    <w:tblPr>
                      <w:tblW w:w="7189" w:type="dxa"/>
                      <w:tblLayout w:type="fixed"/>
                      <w:tblCellMar>
                        <w:left w:w="0" w:type="dxa"/>
                        <w:right w:w="0" w:type="dxa"/>
                      </w:tblCellMar>
                      <w:tblLook w:val="04A0" w:firstRow="1" w:lastRow="0" w:firstColumn="1" w:lastColumn="0" w:noHBand="0" w:noVBand="1"/>
                    </w:tblPr>
                    <w:tblGrid>
                      <w:gridCol w:w="2207"/>
                      <w:gridCol w:w="4982"/>
                    </w:tblGrid>
                    <w:tr>
                      <w:trPr>
                        <w:trHeight w:val="453"/>
                      </w:trPr>
                      <w:tc>
                        <w:tcPr>
                          <w:tcW w:w="2207"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z w:val="22"/>
                              <w:szCs w:val="22"/>
                            </w:rPr>
                            <w:t>Pedagoginio darbo stažas (metais)</w:t>
                          </w:r>
                        </w:p>
                      </w:tc>
                      <w:tc>
                        <w:tcPr>
                          <w:tcW w:w="4982"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z w:val="22"/>
                              <w:szCs w:val="22"/>
                            </w:rPr>
                            <w:t>Pareiginės algos koeficientai</w:t>
                          </w:r>
                        </w:p>
                      </w:tc>
                    </w:tr>
                    <w:tr>
                      <w:trPr>
                        <w:trHeight w:val="306"/>
                      </w:trPr>
                      <w:tc>
                        <w:tcPr>
                          <w:tcW w:w="220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textAlignment w:val="baseline"/>
                            <w:rPr>
                              <w:szCs w:val="24"/>
                            </w:rPr>
                          </w:pPr>
                          <w:r>
                            <w:rPr>
                              <w:sz w:val="22"/>
                              <w:szCs w:val="22"/>
                            </w:rPr>
                            <w:t>iki 10</w:t>
                          </w:r>
                        </w:p>
                      </w:tc>
                      <w:tc>
                        <w:tcPr>
                          <w:tcW w:w="4982" w:type="dxa"/>
                          <w:tcBorders>
                            <w:top w:val="nil"/>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strike/>
                              <w:color w:val="000000"/>
                              <w:sz w:val="22"/>
                              <w:szCs w:val="22"/>
                            </w:rPr>
                            <w:t>0,9503</w:t>
                          </w:r>
                        </w:p>
                        <w:p>
                          <w:pPr>
                            <w:jc w:val="center"/>
                            <w:textAlignment w:val="baseline"/>
                            <w:rPr>
                              <w:szCs w:val="24"/>
                            </w:rPr>
                          </w:pPr>
                          <w:r>
                            <w:rPr>
                              <w:b/>
                              <w:bCs/>
                              <w:color w:val="000000"/>
                              <w:sz w:val="22"/>
                              <w:szCs w:val="22"/>
                            </w:rPr>
                            <w:t>1,0230</w:t>
                          </w:r>
                        </w:p>
                      </w:tc>
                    </w:tr>
                    <w:tr>
                      <w:trPr>
                        <w:trHeight w:val="306"/>
                      </w:trPr>
                      <w:tc>
                        <w:tcPr>
                          <w:tcW w:w="220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textAlignment w:val="baseline"/>
                            <w:rPr>
                              <w:szCs w:val="24"/>
                            </w:rPr>
                          </w:pPr>
                          <w:r>
                            <w:rPr>
                              <w:sz w:val="22"/>
                              <w:szCs w:val="22"/>
                            </w:rPr>
                            <w:t>nuo daugiau kaip 10 iki 15</w:t>
                          </w:r>
                        </w:p>
                      </w:tc>
                      <w:tc>
                        <w:tcPr>
                          <w:tcW w:w="4982" w:type="dxa"/>
                          <w:tcBorders>
                            <w:top w:val="nil"/>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strike/>
                              <w:color w:val="000000"/>
                              <w:sz w:val="22"/>
                              <w:szCs w:val="22"/>
                            </w:rPr>
                            <w:t>1,0620</w:t>
                          </w:r>
                        </w:p>
                        <w:p>
                          <w:pPr>
                            <w:jc w:val="center"/>
                            <w:textAlignment w:val="baseline"/>
                            <w:rPr>
                              <w:szCs w:val="24"/>
                            </w:rPr>
                          </w:pPr>
                          <w:r>
                            <w:rPr>
                              <w:b/>
                              <w:bCs/>
                              <w:color w:val="000000"/>
                              <w:sz w:val="22"/>
                              <w:szCs w:val="22"/>
                            </w:rPr>
                            <w:t>1,1432</w:t>
                          </w:r>
                        </w:p>
                      </w:tc>
                    </w:tr>
                    <w:tr>
                      <w:trPr>
                        <w:trHeight w:val="306"/>
                      </w:trPr>
                      <w:tc>
                        <w:tcPr>
                          <w:tcW w:w="2207"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textAlignment w:val="baseline"/>
                            <w:rPr>
                              <w:szCs w:val="24"/>
                            </w:rPr>
                          </w:pPr>
                          <w:r>
                            <w:rPr>
                              <w:sz w:val="22"/>
                              <w:szCs w:val="22"/>
                            </w:rPr>
                            <w:t>daugiau kaip 15</w:t>
                          </w:r>
                        </w:p>
                      </w:tc>
                      <w:tc>
                        <w:tcPr>
                          <w:tcW w:w="4982" w:type="dxa"/>
                          <w:tcBorders>
                            <w:top w:val="nil"/>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strike/>
                              <w:color w:val="000000"/>
                              <w:sz w:val="22"/>
                              <w:szCs w:val="22"/>
                            </w:rPr>
                            <w:t>1,1735</w:t>
                          </w:r>
                        </w:p>
                        <w:p>
                          <w:pPr>
                            <w:jc w:val="center"/>
                            <w:textAlignment w:val="baseline"/>
                            <w:rPr>
                              <w:szCs w:val="24"/>
                            </w:rPr>
                          </w:pPr>
                          <w:r>
                            <w:rPr>
                              <w:b/>
                              <w:bCs/>
                              <w:color w:val="000000"/>
                              <w:sz w:val="22"/>
                              <w:szCs w:val="22"/>
                            </w:rPr>
                            <w:t>1,2633</w:t>
                          </w:r>
                          <w:r>
                            <w:rPr>
                              <w:color w:val="000000"/>
                              <w:sz w:val="22"/>
                              <w:szCs w:val="22"/>
                            </w:rPr>
                            <w:t>“.</w:t>
                          </w:r>
                        </w:p>
                      </w:tc>
                    </w:tr>
                  </w:tbl>
                  <w:p>
                    <w:pPr>
                      <w:ind w:firstLine="57"/>
                      <w:rPr>
                        <w:color w:val="000000"/>
                        <w:sz w:val="27"/>
                        <w:szCs w:val="27"/>
                      </w:rPr>
                    </w:pPr>
                  </w:p>
                  <w:p>
                    <w:pPr>
                      <w:rPr>
                        <w:color w:val="000000"/>
                        <w:sz w:val="27"/>
                        <w:szCs w:val="27"/>
                      </w:rPr>
                    </w:pPr>
                    <w:r>
                      <w:rPr>
                        <w:color w:val="000000"/>
                        <w:sz w:val="22"/>
                        <w:szCs w:val="22"/>
                      </w:rPr>
                      <w:t>8. Pakeisti Įstatymo 2 priedo 42 punktą ir jį išdėstyti taip:</w:t>
                    </w:r>
                  </w:p>
                  <w:p>
                    <w:pPr>
                      <w:rPr>
                        <w:color w:val="000000"/>
                        <w:sz w:val="27"/>
                        <w:szCs w:val="27"/>
                      </w:rPr>
                    </w:pPr>
                    <w:r>
                      <w:rPr>
                        <w:color w:val="000000"/>
                        <w:sz w:val="22"/>
                        <w:szCs w:val="22"/>
                      </w:rPr>
                      <w:t>„42. Mokyklų vadovų pareiginės algos koeficientai:</w:t>
                    </w:r>
                  </w:p>
                  <w:p>
                    <w:pPr>
                      <w:ind w:firstLine="57"/>
                      <w:rPr>
                        <w:color w:val="000000"/>
                        <w:sz w:val="27"/>
                        <w:szCs w:val="27"/>
                      </w:rPr>
                    </w:pPr>
                  </w:p>
                  <w:p>
                    <w:pPr>
                      <w:ind w:firstLine="4536"/>
                      <w:jc w:val="right"/>
                      <w:rPr>
                        <w:color w:val="000000"/>
                        <w:sz w:val="27"/>
                        <w:szCs w:val="27"/>
                      </w:rPr>
                    </w:pPr>
                    <w:r>
                      <w:rPr>
                        <w:color w:val="000000"/>
                        <w:sz w:val="22"/>
                        <w:szCs w:val="22"/>
                      </w:rPr>
                      <w:t>(pareiginės algos (atlyginimo) baziniais dydžiais)</w:t>
                    </w:r>
                  </w:p>
                  <w:tbl>
                    <w:tblPr>
                      <w:tblW w:w="7189" w:type="dxa"/>
                      <w:tblLayout w:type="fixed"/>
                      <w:tblCellMar>
                        <w:left w:w="0" w:type="dxa"/>
                        <w:right w:w="0" w:type="dxa"/>
                      </w:tblCellMar>
                      <w:tblLook w:val="04A0" w:firstRow="1" w:lastRow="0" w:firstColumn="1" w:lastColumn="0" w:noHBand="0" w:noVBand="1"/>
                    </w:tblPr>
                    <w:tblGrid>
                      <w:gridCol w:w="1763"/>
                      <w:gridCol w:w="1705"/>
                      <w:gridCol w:w="2170"/>
                      <w:gridCol w:w="1521"/>
                      <w:gridCol w:w="30"/>
                    </w:tblGrid>
                    <w:tr>
                      <w:trPr>
                        <w:trHeight w:val="313"/>
                        <w:tblHeader/>
                      </w:trPr>
                      <w:tc>
                        <w:tcPr>
                          <w:tcW w:w="1771"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right="240" w:firstLine="57"/>
                            <w:jc w:val="center"/>
                            <w:textAlignment w:val="baseline"/>
                            <w:rPr>
                              <w:szCs w:val="24"/>
                            </w:rPr>
                          </w:pPr>
                          <w:r>
                            <w:rPr>
                              <w:color w:val="000000"/>
                              <w:sz w:val="22"/>
                              <w:szCs w:val="22"/>
                            </w:rPr>
                            <w:t>Mokinių skaičius</w:t>
                          </w:r>
                        </w:p>
                      </w:tc>
                      <w:tc>
                        <w:tcPr>
                          <w:tcW w:w="5418" w:type="dxa"/>
                          <w:gridSpan w:val="3"/>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ind w:right="240"/>
                            <w:jc w:val="center"/>
                            <w:textAlignment w:val="baseline"/>
                            <w:rPr>
                              <w:szCs w:val="24"/>
                            </w:rPr>
                          </w:pPr>
                          <w:r>
                            <w:rPr>
                              <w:color w:val="000000"/>
                              <w:sz w:val="22"/>
                              <w:szCs w:val="22"/>
                            </w:rPr>
                            <w:t>Pareiginės algos koeficientai</w:t>
                          </w:r>
                        </w:p>
                      </w:tc>
                      <w:tc>
                        <w:tcPr>
                          <w:tcW w:w="6" w:type="dxa"/>
                          <w:tcBorders>
                            <w:top w:val="nil"/>
                            <w:left w:val="nil"/>
                            <w:bottom w:val="nil"/>
                            <w:right w:val="nil"/>
                          </w:tcBorders>
                          <w:vAlign w:val="center"/>
                          <w:hideMark/>
                        </w:tcPr>
                        <w:p>
                          <w:pPr>
                            <w:rPr>
                              <w:szCs w:val="24"/>
                            </w:rPr>
                          </w:pPr>
                        </w:p>
                      </w:tc>
                    </w:tr>
                    <w:tr>
                      <w:trPr>
                        <w:trHeight w:val="313"/>
                        <w:tblHeader/>
                      </w:trPr>
                      <w:tc>
                        <w:tcPr>
                          <w:tcW w:w="1771"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5418" w:type="dxa"/>
                          <w:gridSpan w:val="3"/>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240"/>
                            <w:jc w:val="center"/>
                            <w:textAlignment w:val="baseline"/>
                            <w:rPr>
                              <w:szCs w:val="24"/>
                            </w:rPr>
                          </w:pPr>
                          <w:r>
                            <w:rPr>
                              <w:color w:val="000000"/>
                              <w:sz w:val="22"/>
                              <w:szCs w:val="22"/>
                            </w:rPr>
                            <w:t>Pedagoginio darbo stažas (metais)</w:t>
                          </w:r>
                        </w:p>
                      </w:tc>
                      <w:tc>
                        <w:tcPr>
                          <w:tcW w:w="6" w:type="dxa"/>
                          <w:tcBorders>
                            <w:top w:val="nil"/>
                            <w:left w:val="nil"/>
                            <w:bottom w:val="nil"/>
                            <w:right w:val="nil"/>
                          </w:tcBorders>
                          <w:vAlign w:val="center"/>
                          <w:hideMark/>
                        </w:tcPr>
                        <w:p>
                          <w:pPr>
                            <w:rPr>
                              <w:szCs w:val="24"/>
                            </w:rPr>
                          </w:pPr>
                        </w:p>
                      </w:tc>
                    </w:tr>
                    <w:tr>
                      <w:trPr>
                        <w:trHeight w:val="293"/>
                        <w:tblHeader/>
                      </w:trPr>
                      <w:tc>
                        <w:tcPr>
                          <w:tcW w:w="1771"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1712" w:type="dxa"/>
                          <w:vMerge w:val="restart"/>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240"/>
                            <w:jc w:val="center"/>
                            <w:textAlignment w:val="baseline"/>
                            <w:rPr>
                              <w:szCs w:val="24"/>
                            </w:rPr>
                          </w:pPr>
                          <w:r>
                            <w:rPr>
                              <w:color w:val="000000"/>
                              <w:sz w:val="22"/>
                              <w:szCs w:val="22"/>
                            </w:rPr>
                            <w:t>iki 10</w:t>
                          </w:r>
                        </w:p>
                      </w:tc>
                      <w:tc>
                        <w:tcPr>
                          <w:tcW w:w="2179" w:type="dxa"/>
                          <w:vMerge w:val="restart"/>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240"/>
                            <w:jc w:val="center"/>
                            <w:textAlignment w:val="baseline"/>
                            <w:rPr>
                              <w:szCs w:val="24"/>
                            </w:rPr>
                          </w:pPr>
                          <w:r>
                            <w:rPr>
                              <w:color w:val="000000"/>
                              <w:sz w:val="22"/>
                              <w:szCs w:val="22"/>
                            </w:rPr>
                            <w:t>nuo daugiau kaip 10 iki 15</w:t>
                          </w:r>
                        </w:p>
                      </w:tc>
                      <w:tc>
                        <w:tcPr>
                          <w:tcW w:w="1526" w:type="dxa"/>
                          <w:vMerge w:val="restart"/>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240"/>
                            <w:jc w:val="center"/>
                            <w:textAlignment w:val="baseline"/>
                            <w:rPr>
                              <w:szCs w:val="24"/>
                            </w:rPr>
                          </w:pPr>
                          <w:r>
                            <w:rPr>
                              <w:color w:val="000000"/>
                              <w:sz w:val="22"/>
                              <w:szCs w:val="22"/>
                            </w:rPr>
                            <w:t>daugiau kaip 15</w:t>
                          </w:r>
                        </w:p>
                      </w:tc>
                      <w:tc>
                        <w:tcPr>
                          <w:tcW w:w="6" w:type="dxa"/>
                          <w:tcBorders>
                            <w:top w:val="nil"/>
                            <w:left w:val="nil"/>
                            <w:bottom w:val="nil"/>
                            <w:right w:val="nil"/>
                          </w:tcBorders>
                          <w:vAlign w:val="center"/>
                          <w:hideMark/>
                        </w:tcPr>
                        <w:p>
                          <w:pPr>
                            <w:rPr>
                              <w:szCs w:val="24"/>
                            </w:rPr>
                          </w:pPr>
                        </w:p>
                      </w:tc>
                    </w:tr>
                    <w:tr>
                      <w:trPr>
                        <w:trHeight w:val="409"/>
                        <w:tblHeader/>
                      </w:trPr>
                      <w:tc>
                        <w:tcPr>
                          <w:tcW w:w="1771"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1712" w:type="dxa"/>
                          <w:vMerge/>
                          <w:tcBorders>
                            <w:top w:val="nil"/>
                            <w:left w:val="nil"/>
                            <w:bottom w:val="single" w:sz="8" w:space="0" w:color="000000"/>
                            <w:right w:val="single" w:sz="8" w:space="0" w:color="000000"/>
                          </w:tcBorders>
                          <w:vAlign w:val="center"/>
                          <w:hideMark/>
                        </w:tcPr>
                        <w:p>
                          <w:pPr>
                            <w:rPr>
                              <w:szCs w:val="24"/>
                            </w:rPr>
                          </w:pPr>
                        </w:p>
                      </w:tc>
                      <w:tc>
                        <w:tcPr>
                          <w:tcW w:w="2179" w:type="dxa"/>
                          <w:vMerge/>
                          <w:tcBorders>
                            <w:top w:val="nil"/>
                            <w:left w:val="nil"/>
                            <w:bottom w:val="single" w:sz="8" w:space="0" w:color="000000"/>
                            <w:right w:val="single" w:sz="8" w:space="0" w:color="000000"/>
                          </w:tcBorders>
                          <w:vAlign w:val="center"/>
                          <w:hideMark/>
                        </w:tcPr>
                        <w:p>
                          <w:pPr>
                            <w:rPr>
                              <w:szCs w:val="24"/>
                            </w:rPr>
                          </w:pPr>
                        </w:p>
                      </w:tc>
                      <w:tc>
                        <w:tcPr>
                          <w:tcW w:w="1526" w:type="dxa"/>
                          <w:vMerge/>
                          <w:tcBorders>
                            <w:top w:val="nil"/>
                            <w:left w:val="nil"/>
                            <w:bottom w:val="single" w:sz="8" w:space="0" w:color="000000"/>
                            <w:right w:val="single" w:sz="8" w:space="0" w:color="000000"/>
                          </w:tcBorders>
                          <w:vAlign w:val="center"/>
                          <w:hideMark/>
                        </w:tcPr>
                        <w:p>
                          <w:pPr>
                            <w:rPr>
                              <w:szCs w:val="24"/>
                            </w:rPr>
                          </w:pPr>
                        </w:p>
                      </w:tc>
                      <w:tc>
                        <w:tcPr>
                          <w:tcW w:w="6" w:type="dxa"/>
                          <w:tcBorders>
                            <w:top w:val="nil"/>
                            <w:left w:val="nil"/>
                            <w:bottom w:val="nil"/>
                            <w:right w:val="nil"/>
                          </w:tcBorders>
                          <w:vAlign w:val="center"/>
                          <w:hideMark/>
                        </w:tcPr>
                        <w:p>
                          <w:pPr>
                            <w:rPr>
                              <w:sz w:val="20"/>
                            </w:rPr>
                          </w:pPr>
                        </w:p>
                      </w:tc>
                    </w:tr>
                    <w:tr>
                      <w:trPr>
                        <w:trHeight w:val="293"/>
                      </w:trPr>
                      <w:tc>
                        <w:tcPr>
                          <w:tcW w:w="1771" w:type="dxa"/>
                          <w:tcBorders>
                            <w:top w:val="nil"/>
                            <w:left w:val="single" w:sz="8" w:space="0" w:color="000000"/>
                            <w:bottom w:val="single" w:sz="8" w:space="0" w:color="000000"/>
                            <w:right w:val="single" w:sz="8" w:space="0" w:color="000000"/>
                          </w:tcBorders>
                          <w:noWrap/>
                          <w:tcMar>
                            <w:top w:w="0" w:type="dxa"/>
                            <w:left w:w="108" w:type="dxa"/>
                            <w:bottom w:w="0" w:type="dxa"/>
                            <w:right w:w="108" w:type="dxa"/>
                          </w:tcMar>
                          <w:hideMark/>
                        </w:tcPr>
                        <w:p>
                          <w:pPr>
                            <w:ind w:right="240"/>
                            <w:textAlignment w:val="baseline"/>
                            <w:rPr>
                              <w:szCs w:val="24"/>
                            </w:rPr>
                          </w:pPr>
                          <w:r>
                            <w:rPr>
                              <w:color w:val="000000"/>
                              <w:sz w:val="22"/>
                              <w:szCs w:val="22"/>
                            </w:rPr>
                            <w:t>iki 200</w:t>
                          </w:r>
                        </w:p>
                      </w:tc>
                      <w:tc>
                        <w:tcPr>
                          <w:tcW w:w="1712"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2,1703</w:t>
                          </w:r>
                        </w:p>
                        <w:p>
                          <w:pPr>
                            <w:jc w:val="center"/>
                            <w:textAlignment w:val="baseline"/>
                            <w:rPr>
                              <w:szCs w:val="24"/>
                            </w:rPr>
                          </w:pPr>
                          <w:r>
                            <w:rPr>
                              <w:b/>
                              <w:bCs/>
                              <w:color w:val="000000"/>
                              <w:sz w:val="22"/>
                              <w:szCs w:val="22"/>
                            </w:rPr>
                            <w:t>2,3363</w:t>
                          </w:r>
                        </w:p>
                      </w:tc>
                      <w:tc>
                        <w:tcPr>
                          <w:tcW w:w="2179"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2,2492</w:t>
                          </w:r>
                        </w:p>
                        <w:p>
                          <w:pPr>
                            <w:jc w:val="center"/>
                            <w:textAlignment w:val="baseline"/>
                            <w:rPr>
                              <w:szCs w:val="24"/>
                            </w:rPr>
                          </w:pPr>
                          <w:r>
                            <w:rPr>
                              <w:b/>
                              <w:bCs/>
                              <w:color w:val="000000"/>
                              <w:sz w:val="22"/>
                              <w:szCs w:val="22"/>
                            </w:rPr>
                            <w:t>2,4213</w:t>
                          </w:r>
                        </w:p>
                      </w:tc>
                      <w:tc>
                        <w:tcPr>
                          <w:tcW w:w="1526"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2,3035</w:t>
                          </w:r>
                        </w:p>
                        <w:p>
                          <w:pPr>
                            <w:jc w:val="center"/>
                            <w:textAlignment w:val="baseline"/>
                            <w:rPr>
                              <w:szCs w:val="24"/>
                            </w:rPr>
                          </w:pPr>
                          <w:r>
                            <w:rPr>
                              <w:b/>
                              <w:bCs/>
                              <w:color w:val="000000"/>
                              <w:sz w:val="22"/>
                              <w:szCs w:val="22"/>
                            </w:rPr>
                            <w:t>2,4797</w:t>
                          </w:r>
                        </w:p>
                      </w:tc>
                      <w:tc>
                        <w:tcPr>
                          <w:tcW w:w="6" w:type="dxa"/>
                          <w:tcBorders>
                            <w:top w:val="nil"/>
                            <w:left w:val="nil"/>
                            <w:bottom w:val="nil"/>
                            <w:right w:val="nil"/>
                          </w:tcBorders>
                          <w:vAlign w:val="center"/>
                          <w:hideMark/>
                        </w:tcPr>
                        <w:p>
                          <w:pPr>
                            <w:rPr>
                              <w:szCs w:val="24"/>
                            </w:rPr>
                          </w:pPr>
                        </w:p>
                      </w:tc>
                    </w:tr>
                    <w:tr>
                      <w:trPr>
                        <w:trHeight w:val="293"/>
                      </w:trPr>
                      <w:tc>
                        <w:tcPr>
                          <w:tcW w:w="1771" w:type="dxa"/>
                          <w:tcBorders>
                            <w:top w:val="nil"/>
                            <w:left w:val="single" w:sz="8" w:space="0" w:color="000000"/>
                            <w:bottom w:val="single" w:sz="8" w:space="0" w:color="000000"/>
                            <w:right w:val="single" w:sz="8" w:space="0" w:color="000000"/>
                          </w:tcBorders>
                          <w:noWrap/>
                          <w:tcMar>
                            <w:top w:w="0" w:type="dxa"/>
                            <w:left w:w="108" w:type="dxa"/>
                            <w:bottom w:w="0" w:type="dxa"/>
                            <w:right w:w="108" w:type="dxa"/>
                          </w:tcMar>
                          <w:hideMark/>
                        </w:tcPr>
                        <w:p>
                          <w:pPr>
                            <w:ind w:right="240"/>
                            <w:textAlignment w:val="baseline"/>
                            <w:rPr>
                              <w:szCs w:val="24"/>
                            </w:rPr>
                          </w:pPr>
                          <w:r>
                            <w:rPr>
                              <w:color w:val="000000"/>
                              <w:sz w:val="22"/>
                              <w:szCs w:val="22"/>
                            </w:rPr>
                            <w:t>201–400</w:t>
                          </w:r>
                        </w:p>
                      </w:tc>
                      <w:tc>
                        <w:tcPr>
                          <w:tcW w:w="1712"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2,3710</w:t>
                          </w:r>
                        </w:p>
                        <w:p>
                          <w:pPr>
                            <w:jc w:val="center"/>
                            <w:textAlignment w:val="baseline"/>
                            <w:rPr>
                              <w:szCs w:val="24"/>
                            </w:rPr>
                          </w:pPr>
                          <w:r>
                            <w:rPr>
                              <w:b/>
                              <w:bCs/>
                              <w:color w:val="000000"/>
                              <w:sz w:val="22"/>
                              <w:szCs w:val="22"/>
                            </w:rPr>
                            <w:t>2,5524</w:t>
                          </w:r>
                        </w:p>
                      </w:tc>
                      <w:tc>
                        <w:tcPr>
                          <w:tcW w:w="2179"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2,3914</w:t>
                          </w:r>
                        </w:p>
                        <w:p>
                          <w:pPr>
                            <w:jc w:val="center"/>
                            <w:textAlignment w:val="baseline"/>
                            <w:rPr>
                              <w:szCs w:val="24"/>
                            </w:rPr>
                          </w:pPr>
                          <w:r>
                            <w:rPr>
                              <w:b/>
                              <w:bCs/>
                              <w:color w:val="000000"/>
                              <w:sz w:val="22"/>
                              <w:szCs w:val="22"/>
                            </w:rPr>
                            <w:t>2,5743</w:t>
                          </w:r>
                        </w:p>
                      </w:tc>
                      <w:tc>
                        <w:tcPr>
                          <w:tcW w:w="1526"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2,3928</w:t>
                          </w:r>
                        </w:p>
                        <w:p>
                          <w:pPr>
                            <w:jc w:val="center"/>
                            <w:textAlignment w:val="baseline"/>
                            <w:rPr>
                              <w:szCs w:val="24"/>
                            </w:rPr>
                          </w:pPr>
                          <w:r>
                            <w:rPr>
                              <w:b/>
                              <w:bCs/>
                              <w:color w:val="000000"/>
                              <w:sz w:val="22"/>
                              <w:szCs w:val="22"/>
                            </w:rPr>
                            <w:t>2,5758</w:t>
                          </w:r>
                        </w:p>
                      </w:tc>
                      <w:tc>
                        <w:tcPr>
                          <w:tcW w:w="6" w:type="dxa"/>
                          <w:tcBorders>
                            <w:top w:val="nil"/>
                            <w:left w:val="nil"/>
                            <w:bottom w:val="nil"/>
                            <w:right w:val="nil"/>
                          </w:tcBorders>
                          <w:vAlign w:val="center"/>
                          <w:hideMark/>
                        </w:tcPr>
                        <w:p>
                          <w:pPr>
                            <w:rPr>
                              <w:szCs w:val="24"/>
                            </w:rPr>
                          </w:pPr>
                        </w:p>
                      </w:tc>
                    </w:tr>
                    <w:tr>
                      <w:trPr>
                        <w:trHeight w:val="313"/>
                      </w:trPr>
                      <w:tc>
                        <w:tcPr>
                          <w:tcW w:w="1771" w:type="dxa"/>
                          <w:tcBorders>
                            <w:top w:val="nil"/>
                            <w:left w:val="single" w:sz="8" w:space="0" w:color="000000"/>
                            <w:bottom w:val="single" w:sz="8" w:space="0" w:color="000000"/>
                            <w:right w:val="single" w:sz="8" w:space="0" w:color="000000"/>
                          </w:tcBorders>
                          <w:noWrap/>
                          <w:tcMar>
                            <w:top w:w="0" w:type="dxa"/>
                            <w:left w:w="108" w:type="dxa"/>
                            <w:bottom w:w="0" w:type="dxa"/>
                            <w:right w:w="108" w:type="dxa"/>
                          </w:tcMar>
                          <w:hideMark/>
                        </w:tcPr>
                        <w:p>
                          <w:pPr>
                            <w:ind w:right="240"/>
                            <w:textAlignment w:val="baseline"/>
                            <w:rPr>
                              <w:szCs w:val="24"/>
                            </w:rPr>
                          </w:pPr>
                          <w:r>
                            <w:rPr>
                              <w:color w:val="000000"/>
                              <w:sz w:val="22"/>
                              <w:szCs w:val="22"/>
                            </w:rPr>
                            <w:t>401–600</w:t>
                          </w:r>
                        </w:p>
                      </w:tc>
                      <w:tc>
                        <w:tcPr>
                          <w:tcW w:w="1712"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2,3798</w:t>
                          </w:r>
                        </w:p>
                        <w:p>
                          <w:pPr>
                            <w:jc w:val="center"/>
                            <w:textAlignment w:val="baseline"/>
                            <w:rPr>
                              <w:szCs w:val="24"/>
                            </w:rPr>
                          </w:pPr>
                          <w:r>
                            <w:rPr>
                              <w:b/>
                              <w:bCs/>
                              <w:color w:val="000000"/>
                              <w:sz w:val="22"/>
                              <w:szCs w:val="22"/>
                            </w:rPr>
                            <w:t>2,5619</w:t>
                          </w:r>
                        </w:p>
                      </w:tc>
                      <w:tc>
                        <w:tcPr>
                          <w:tcW w:w="2179"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2,3959</w:t>
                          </w:r>
                        </w:p>
                        <w:p>
                          <w:pPr>
                            <w:jc w:val="center"/>
                            <w:textAlignment w:val="baseline"/>
                            <w:rPr>
                              <w:szCs w:val="24"/>
                            </w:rPr>
                          </w:pPr>
                          <w:r>
                            <w:rPr>
                              <w:b/>
                              <w:bCs/>
                              <w:color w:val="000000"/>
                              <w:sz w:val="22"/>
                              <w:szCs w:val="22"/>
                            </w:rPr>
                            <w:t>2,5792</w:t>
                          </w:r>
                        </w:p>
                      </w:tc>
                      <w:tc>
                        <w:tcPr>
                          <w:tcW w:w="1526"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2,4018</w:t>
                          </w:r>
                        </w:p>
                        <w:p>
                          <w:pPr>
                            <w:jc w:val="center"/>
                            <w:textAlignment w:val="baseline"/>
                            <w:rPr>
                              <w:szCs w:val="24"/>
                            </w:rPr>
                          </w:pPr>
                          <w:r>
                            <w:rPr>
                              <w:b/>
                              <w:bCs/>
                              <w:color w:val="000000"/>
                              <w:sz w:val="22"/>
                              <w:szCs w:val="22"/>
                            </w:rPr>
                            <w:t>2,5855</w:t>
                          </w:r>
                        </w:p>
                      </w:tc>
                      <w:tc>
                        <w:tcPr>
                          <w:tcW w:w="6" w:type="dxa"/>
                          <w:tcBorders>
                            <w:top w:val="nil"/>
                            <w:left w:val="nil"/>
                            <w:bottom w:val="nil"/>
                            <w:right w:val="nil"/>
                          </w:tcBorders>
                          <w:vAlign w:val="center"/>
                          <w:hideMark/>
                        </w:tcPr>
                        <w:p>
                          <w:pPr>
                            <w:rPr>
                              <w:szCs w:val="24"/>
                            </w:rPr>
                          </w:pPr>
                        </w:p>
                      </w:tc>
                    </w:tr>
                    <w:tr>
                      <w:trPr>
                        <w:trHeight w:val="313"/>
                      </w:trPr>
                      <w:tc>
                        <w:tcPr>
                          <w:tcW w:w="1771" w:type="dxa"/>
                          <w:tcBorders>
                            <w:top w:val="nil"/>
                            <w:left w:val="single" w:sz="8" w:space="0" w:color="000000"/>
                            <w:bottom w:val="single" w:sz="8" w:space="0" w:color="000000"/>
                            <w:right w:val="single" w:sz="8" w:space="0" w:color="000000"/>
                          </w:tcBorders>
                          <w:noWrap/>
                          <w:tcMar>
                            <w:top w:w="0" w:type="dxa"/>
                            <w:left w:w="108" w:type="dxa"/>
                            <w:bottom w:w="0" w:type="dxa"/>
                            <w:right w:w="108" w:type="dxa"/>
                          </w:tcMar>
                          <w:hideMark/>
                        </w:tcPr>
                        <w:p>
                          <w:pPr>
                            <w:ind w:right="240"/>
                            <w:textAlignment w:val="baseline"/>
                            <w:rPr>
                              <w:szCs w:val="24"/>
                            </w:rPr>
                          </w:pPr>
                          <w:r>
                            <w:rPr>
                              <w:color w:val="000000"/>
                              <w:sz w:val="22"/>
                              <w:szCs w:val="22"/>
                            </w:rPr>
                            <w:t>601–1 000</w:t>
                          </w:r>
                        </w:p>
                      </w:tc>
                      <w:tc>
                        <w:tcPr>
                          <w:tcW w:w="1712"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2,5527</w:t>
                          </w:r>
                        </w:p>
                        <w:p>
                          <w:pPr>
                            <w:jc w:val="center"/>
                            <w:textAlignment w:val="baseline"/>
                            <w:rPr>
                              <w:szCs w:val="24"/>
                            </w:rPr>
                          </w:pPr>
                          <w:r>
                            <w:rPr>
                              <w:b/>
                              <w:bCs/>
                              <w:color w:val="000000"/>
                              <w:sz w:val="22"/>
                              <w:szCs w:val="22"/>
                            </w:rPr>
                            <w:t>2,7480</w:t>
                          </w:r>
                        </w:p>
                      </w:tc>
                      <w:tc>
                        <w:tcPr>
                          <w:tcW w:w="2179"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2,5586</w:t>
                          </w:r>
                        </w:p>
                        <w:p>
                          <w:pPr>
                            <w:jc w:val="center"/>
                            <w:textAlignment w:val="baseline"/>
                            <w:rPr>
                              <w:szCs w:val="24"/>
                            </w:rPr>
                          </w:pPr>
                          <w:r>
                            <w:rPr>
                              <w:b/>
                              <w:bCs/>
                              <w:color w:val="000000"/>
                              <w:sz w:val="22"/>
                              <w:szCs w:val="22"/>
                            </w:rPr>
                            <w:t>2,7543</w:t>
                          </w:r>
                        </w:p>
                      </w:tc>
                      <w:tc>
                        <w:tcPr>
                          <w:tcW w:w="1526"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2,5629</w:t>
                          </w:r>
                        </w:p>
                        <w:p>
                          <w:pPr>
                            <w:jc w:val="center"/>
                            <w:textAlignment w:val="baseline"/>
                            <w:rPr>
                              <w:szCs w:val="24"/>
                            </w:rPr>
                          </w:pPr>
                          <w:r>
                            <w:rPr>
                              <w:b/>
                              <w:bCs/>
                              <w:color w:val="000000"/>
                              <w:sz w:val="22"/>
                              <w:szCs w:val="22"/>
                            </w:rPr>
                            <w:t>2,7590</w:t>
                          </w:r>
                        </w:p>
                      </w:tc>
                      <w:tc>
                        <w:tcPr>
                          <w:tcW w:w="6" w:type="dxa"/>
                          <w:tcBorders>
                            <w:top w:val="nil"/>
                            <w:left w:val="nil"/>
                            <w:bottom w:val="nil"/>
                            <w:right w:val="nil"/>
                          </w:tcBorders>
                          <w:vAlign w:val="center"/>
                          <w:hideMark/>
                        </w:tcPr>
                        <w:p>
                          <w:pPr>
                            <w:rPr>
                              <w:szCs w:val="24"/>
                            </w:rPr>
                          </w:pPr>
                        </w:p>
                      </w:tc>
                    </w:tr>
                    <w:tr>
                      <w:trPr>
                        <w:trHeight w:val="313"/>
                      </w:trPr>
                      <w:tc>
                        <w:tcPr>
                          <w:tcW w:w="1771" w:type="dxa"/>
                          <w:tcBorders>
                            <w:top w:val="nil"/>
                            <w:left w:val="single" w:sz="8" w:space="0" w:color="000000"/>
                            <w:bottom w:val="single" w:sz="8" w:space="0" w:color="000000"/>
                            <w:right w:val="single" w:sz="8" w:space="0" w:color="000000"/>
                          </w:tcBorders>
                          <w:noWrap/>
                          <w:tcMar>
                            <w:top w:w="0" w:type="dxa"/>
                            <w:left w:w="108" w:type="dxa"/>
                            <w:bottom w:w="0" w:type="dxa"/>
                            <w:right w:w="108" w:type="dxa"/>
                          </w:tcMar>
                          <w:hideMark/>
                        </w:tcPr>
                        <w:p>
                          <w:pPr>
                            <w:ind w:right="240"/>
                            <w:textAlignment w:val="baseline"/>
                            <w:rPr>
                              <w:szCs w:val="24"/>
                            </w:rPr>
                          </w:pPr>
                          <w:r>
                            <w:rPr>
                              <w:color w:val="000000"/>
                              <w:sz w:val="22"/>
                              <w:szCs w:val="22"/>
                            </w:rPr>
                            <w:t>1 001 ir daugiau</w:t>
                          </w:r>
                        </w:p>
                      </w:tc>
                      <w:tc>
                        <w:tcPr>
                          <w:tcW w:w="1712"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2,5586</w:t>
                          </w:r>
                        </w:p>
                        <w:p>
                          <w:pPr>
                            <w:jc w:val="center"/>
                            <w:textAlignment w:val="baseline"/>
                            <w:rPr>
                              <w:szCs w:val="24"/>
                            </w:rPr>
                          </w:pPr>
                          <w:r>
                            <w:rPr>
                              <w:b/>
                              <w:bCs/>
                              <w:color w:val="000000"/>
                              <w:sz w:val="22"/>
                              <w:szCs w:val="22"/>
                            </w:rPr>
                            <w:t>2,7543</w:t>
                          </w:r>
                        </w:p>
                      </w:tc>
                      <w:tc>
                        <w:tcPr>
                          <w:tcW w:w="2179"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2,5614</w:t>
                          </w:r>
                        </w:p>
                        <w:p>
                          <w:pPr>
                            <w:jc w:val="center"/>
                            <w:textAlignment w:val="baseline"/>
                            <w:rPr>
                              <w:szCs w:val="24"/>
                            </w:rPr>
                          </w:pPr>
                          <w:r>
                            <w:rPr>
                              <w:b/>
                              <w:bCs/>
                              <w:color w:val="000000"/>
                              <w:sz w:val="22"/>
                              <w:szCs w:val="22"/>
                            </w:rPr>
                            <w:t>2,7573</w:t>
                          </w:r>
                        </w:p>
                      </w:tc>
                      <w:tc>
                        <w:tcPr>
                          <w:tcW w:w="1526" w:type="dxa"/>
                          <w:tcBorders>
                            <w:top w:val="nil"/>
                            <w:left w:val="nil"/>
                            <w:bottom w:val="single" w:sz="8" w:space="0" w:color="000000"/>
                            <w:right w:val="single" w:sz="8" w:space="0" w:color="000000"/>
                          </w:tcBorders>
                          <w:noWrap/>
                          <w:tcMar>
                            <w:top w:w="0" w:type="dxa"/>
                            <w:left w:w="108" w:type="dxa"/>
                            <w:bottom w:w="0" w:type="dxa"/>
                            <w:right w:w="108" w:type="dxa"/>
                          </w:tcMar>
                          <w:hideMark/>
                        </w:tcPr>
                        <w:p>
                          <w:pPr>
                            <w:jc w:val="center"/>
                            <w:textAlignment w:val="baseline"/>
                            <w:rPr>
                              <w:szCs w:val="24"/>
                            </w:rPr>
                          </w:pPr>
                          <w:r>
                            <w:rPr>
                              <w:strike/>
                              <w:color w:val="000000"/>
                              <w:sz w:val="22"/>
                              <w:szCs w:val="22"/>
                            </w:rPr>
                            <w:t>2,5703</w:t>
                          </w:r>
                        </w:p>
                        <w:p>
                          <w:pPr>
                            <w:jc w:val="center"/>
                            <w:textAlignment w:val="baseline"/>
                            <w:rPr>
                              <w:szCs w:val="24"/>
                            </w:rPr>
                          </w:pPr>
                          <w:r>
                            <w:rPr>
                              <w:b/>
                              <w:bCs/>
                              <w:color w:val="000000"/>
                              <w:sz w:val="22"/>
                              <w:szCs w:val="22"/>
                            </w:rPr>
                            <w:t>2,7669</w:t>
                          </w:r>
                          <w:r>
                            <w:rPr>
                              <w:color w:val="000000"/>
                              <w:sz w:val="22"/>
                              <w:szCs w:val="22"/>
                            </w:rPr>
                            <w:t>“.</w:t>
                          </w:r>
                        </w:p>
                      </w:tc>
                      <w:tc>
                        <w:tcPr>
                          <w:tcW w:w="6" w:type="dxa"/>
                          <w:tcBorders>
                            <w:top w:val="nil"/>
                            <w:left w:val="nil"/>
                            <w:bottom w:val="nil"/>
                            <w:right w:val="nil"/>
                          </w:tcBorders>
                          <w:vAlign w:val="center"/>
                          <w:hideMark/>
                        </w:tcPr>
                        <w:p>
                          <w:pPr>
                            <w:rPr>
                              <w:szCs w:val="24"/>
                            </w:rPr>
                          </w:pPr>
                        </w:p>
                      </w:tc>
                    </w:tr>
                  </w:tbl>
                  <w:p>
                    <w:pPr>
                      <w:ind w:firstLine="57"/>
                      <w:rPr>
                        <w:color w:val="000000"/>
                        <w:sz w:val="27"/>
                        <w:szCs w:val="27"/>
                      </w:rPr>
                    </w:pPr>
                  </w:p>
                  <w:p>
                    <w:pPr>
                      <w:jc w:val="both"/>
                      <w:rPr>
                        <w:color w:val="000000"/>
                        <w:sz w:val="27"/>
                        <w:szCs w:val="27"/>
                      </w:rPr>
                    </w:pPr>
                    <w:r>
                      <w:rPr>
                        <w:color w:val="000000"/>
                        <w:sz w:val="22"/>
                        <w:szCs w:val="22"/>
                      </w:rPr>
                      <w:t>9. Pakeisti Įstatymo 2 priedo 43 punktą ir jį išdėstyti taip:</w:t>
                    </w:r>
                  </w:p>
                  <w:p>
                    <w:pPr>
                      <w:jc w:val="both"/>
                      <w:rPr>
                        <w:color w:val="000000"/>
                        <w:sz w:val="27"/>
                        <w:szCs w:val="27"/>
                      </w:rPr>
                    </w:pPr>
                    <w:r>
                      <w:rPr>
                        <w:color w:val="000000"/>
                        <w:sz w:val="22"/>
                        <w:szCs w:val="22"/>
                      </w:rPr>
                      <w:t>„43. Mokyklų vadovų pavaduotojų ugdymui pareiginės algos koeficientai:</w:t>
                    </w:r>
                  </w:p>
                  <w:p>
                    <w:pPr>
                      <w:ind w:firstLine="57"/>
                      <w:textAlignment w:val="baseline"/>
                      <w:rPr>
                        <w:color w:val="000000"/>
                        <w:sz w:val="27"/>
                        <w:szCs w:val="27"/>
                      </w:rPr>
                    </w:pPr>
                  </w:p>
                  <w:p>
                    <w:pPr>
                      <w:jc w:val="right"/>
                      <w:textAlignment w:val="baseline"/>
                      <w:rPr>
                        <w:color w:val="000000"/>
                        <w:sz w:val="27"/>
                        <w:szCs w:val="27"/>
                      </w:rPr>
                    </w:pPr>
                    <w:r>
                      <w:rPr>
                        <w:color w:val="000000"/>
                        <w:sz w:val="22"/>
                        <w:szCs w:val="22"/>
                      </w:rPr>
                      <w:t>(pareiginės algos (atlyginimo) baziniais dydžiais)</w:t>
                    </w:r>
                  </w:p>
                  <w:tbl>
                    <w:tblPr>
                      <w:tblW w:w="7222" w:type="dxa"/>
                      <w:tblLayout w:type="fixed"/>
                      <w:tblCellMar>
                        <w:left w:w="0" w:type="dxa"/>
                        <w:right w:w="0" w:type="dxa"/>
                      </w:tblCellMar>
                      <w:tblLook w:val="04A0" w:firstRow="1" w:lastRow="0" w:firstColumn="1" w:lastColumn="0" w:noHBand="0" w:noVBand="1"/>
                    </w:tblPr>
                    <w:tblGrid>
                      <w:gridCol w:w="1947"/>
                      <w:gridCol w:w="1554"/>
                      <w:gridCol w:w="2188"/>
                      <w:gridCol w:w="1533"/>
                    </w:tblGrid>
                    <w:tr>
                      <w:trPr>
                        <w:trHeight w:val="291"/>
                      </w:trPr>
                      <w:tc>
                        <w:tcPr>
                          <w:tcW w:w="1947"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Mokinių skaičius</w:t>
                          </w:r>
                        </w:p>
                      </w:tc>
                      <w:tc>
                        <w:tcPr>
                          <w:tcW w:w="5275" w:type="dxa"/>
                          <w:gridSpan w:val="3"/>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color w:val="000000"/>
                              <w:sz w:val="22"/>
                              <w:szCs w:val="22"/>
                            </w:rPr>
                            <w:t>Pareiginės algos koeficientai</w:t>
                          </w:r>
                        </w:p>
                      </w:tc>
                    </w:tr>
                    <w:tr>
                      <w:trPr>
                        <w:trHeight w:val="226"/>
                      </w:trPr>
                      <w:tc>
                        <w:tcPr>
                          <w:tcW w:w="1947"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5275" w:type="dxa"/>
                          <w:gridSpan w:val="3"/>
                          <w:tcBorders>
                            <w:top w:val="nil"/>
                            <w:left w:val="nil"/>
                            <w:bottom w:val="single" w:sz="8" w:space="0" w:color="000000"/>
                            <w:right w:val="single" w:sz="8" w:space="0" w:color="000000"/>
                          </w:tcBorders>
                          <w:tcMar>
                            <w:top w:w="0" w:type="dxa"/>
                            <w:left w:w="108" w:type="dxa"/>
                            <w:bottom w:w="0" w:type="dxa"/>
                            <w:right w:w="108" w:type="dxa"/>
                          </w:tcMar>
                          <w:hideMark/>
                        </w:tcPr>
                        <w:p>
                          <w:pPr>
                            <w:jc w:val="center"/>
                            <w:textAlignment w:val="baseline"/>
                            <w:rPr>
                              <w:szCs w:val="24"/>
                            </w:rPr>
                          </w:pPr>
                          <w:r>
                            <w:rPr>
                              <w:color w:val="000000"/>
                              <w:sz w:val="22"/>
                              <w:szCs w:val="22"/>
                            </w:rPr>
                            <w:t>Pedagoginio darbo stažas (metais)</w:t>
                          </w:r>
                        </w:p>
                      </w:tc>
                    </w:tr>
                    <w:tr>
                      <w:trPr>
                        <w:trHeight w:val="387"/>
                      </w:trPr>
                      <w:tc>
                        <w:tcPr>
                          <w:tcW w:w="1947"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155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iki 10</w:t>
                          </w:r>
                        </w:p>
                      </w:tc>
                      <w:tc>
                        <w:tcPr>
                          <w:tcW w:w="218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10 iki 15</w:t>
                          </w:r>
                        </w:p>
                      </w:tc>
                      <w:tc>
                        <w:tcPr>
                          <w:tcW w:w="153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daugiau kaip 15</w:t>
                          </w:r>
                        </w:p>
                      </w:tc>
                    </w:tr>
                    <w:tr>
                      <w:trPr>
                        <w:trHeight w:val="321"/>
                      </w:trPr>
                      <w:tc>
                        <w:tcPr>
                          <w:tcW w:w="194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textAlignment w:val="baseline"/>
                            <w:rPr>
                              <w:szCs w:val="24"/>
                            </w:rPr>
                          </w:pPr>
                          <w:r>
                            <w:rPr>
                              <w:color w:val="000000"/>
                              <w:sz w:val="22"/>
                              <w:szCs w:val="22"/>
                            </w:rPr>
                            <w:t>iki 500</w:t>
                          </w:r>
                        </w:p>
                      </w:tc>
                      <w:tc>
                        <w:tcPr>
                          <w:tcW w:w="155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2,1159</w:t>
                          </w:r>
                        </w:p>
                        <w:p>
                          <w:pPr>
                            <w:jc w:val="center"/>
                            <w:textAlignment w:val="baseline"/>
                            <w:rPr>
                              <w:szCs w:val="24"/>
                            </w:rPr>
                          </w:pPr>
                          <w:r>
                            <w:rPr>
                              <w:b/>
                              <w:bCs/>
                              <w:color w:val="000000"/>
                              <w:sz w:val="22"/>
                              <w:szCs w:val="22"/>
                            </w:rPr>
                            <w:t>2,2778</w:t>
                          </w:r>
                        </w:p>
                      </w:tc>
                      <w:tc>
                        <w:tcPr>
                          <w:tcW w:w="218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2,1205</w:t>
                          </w:r>
                        </w:p>
                        <w:p>
                          <w:pPr>
                            <w:jc w:val="center"/>
                            <w:textAlignment w:val="baseline"/>
                            <w:rPr>
                              <w:szCs w:val="24"/>
                            </w:rPr>
                          </w:pPr>
                          <w:r>
                            <w:rPr>
                              <w:b/>
                              <w:bCs/>
                              <w:color w:val="000000"/>
                              <w:sz w:val="22"/>
                              <w:szCs w:val="22"/>
                            </w:rPr>
                            <w:t>2,2827</w:t>
                          </w:r>
                        </w:p>
                      </w:tc>
                      <w:tc>
                        <w:tcPr>
                          <w:tcW w:w="153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2,1232</w:t>
                          </w:r>
                        </w:p>
                        <w:p>
                          <w:pPr>
                            <w:jc w:val="center"/>
                            <w:textAlignment w:val="baseline"/>
                            <w:rPr>
                              <w:szCs w:val="24"/>
                            </w:rPr>
                          </w:pPr>
                          <w:r>
                            <w:rPr>
                              <w:b/>
                              <w:bCs/>
                              <w:color w:val="000000"/>
                              <w:sz w:val="22"/>
                              <w:szCs w:val="22"/>
                            </w:rPr>
                            <w:t>2,2856</w:t>
                          </w:r>
                        </w:p>
                      </w:tc>
                    </w:tr>
                    <w:tr>
                      <w:trPr>
                        <w:trHeight w:val="321"/>
                      </w:trPr>
                      <w:tc>
                        <w:tcPr>
                          <w:tcW w:w="1947"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textAlignment w:val="baseline"/>
                            <w:rPr>
                              <w:szCs w:val="24"/>
                            </w:rPr>
                          </w:pPr>
                          <w:r>
                            <w:rPr>
                              <w:color w:val="000000"/>
                              <w:sz w:val="22"/>
                              <w:szCs w:val="22"/>
                            </w:rPr>
                            <w:t>501 ir daugiau</w:t>
                          </w:r>
                        </w:p>
                      </w:tc>
                      <w:tc>
                        <w:tcPr>
                          <w:tcW w:w="1554"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2,1291</w:t>
                          </w:r>
                        </w:p>
                        <w:p>
                          <w:pPr>
                            <w:jc w:val="center"/>
                            <w:textAlignment w:val="baseline"/>
                            <w:rPr>
                              <w:szCs w:val="24"/>
                            </w:rPr>
                          </w:pPr>
                          <w:r>
                            <w:rPr>
                              <w:b/>
                              <w:bCs/>
                              <w:color w:val="000000"/>
                              <w:sz w:val="22"/>
                              <w:szCs w:val="22"/>
                            </w:rPr>
                            <w:t>2,2920</w:t>
                          </w:r>
                        </w:p>
                      </w:tc>
                      <w:tc>
                        <w:tcPr>
                          <w:tcW w:w="218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2,1584</w:t>
                          </w:r>
                        </w:p>
                        <w:p>
                          <w:pPr>
                            <w:jc w:val="center"/>
                            <w:textAlignment w:val="baseline"/>
                            <w:rPr>
                              <w:szCs w:val="24"/>
                            </w:rPr>
                          </w:pPr>
                          <w:r>
                            <w:rPr>
                              <w:b/>
                              <w:bCs/>
                              <w:color w:val="000000"/>
                              <w:sz w:val="22"/>
                              <w:szCs w:val="22"/>
                            </w:rPr>
                            <w:t>2,3235</w:t>
                          </w:r>
                        </w:p>
                      </w:tc>
                      <w:tc>
                        <w:tcPr>
                          <w:tcW w:w="153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2,1893</w:t>
                          </w:r>
                        </w:p>
                        <w:p>
                          <w:pPr>
                            <w:jc w:val="center"/>
                            <w:textAlignment w:val="baseline"/>
                            <w:rPr>
                              <w:szCs w:val="24"/>
                            </w:rPr>
                          </w:pPr>
                          <w:r>
                            <w:rPr>
                              <w:b/>
                              <w:bCs/>
                              <w:color w:val="000000"/>
                              <w:sz w:val="22"/>
                              <w:szCs w:val="22"/>
                            </w:rPr>
                            <w:t>2,3568</w:t>
                          </w:r>
                          <w:r>
                            <w:rPr>
                              <w:color w:val="000000"/>
                              <w:sz w:val="22"/>
                              <w:szCs w:val="22"/>
                            </w:rPr>
                            <w:t>“.</w:t>
                          </w:r>
                        </w:p>
                      </w:tc>
                    </w:tr>
                  </w:tbl>
                  <w:p>
                    <w:pPr>
                      <w:ind w:firstLine="57"/>
                      <w:jc w:val="both"/>
                      <w:rPr>
                        <w:color w:val="000000"/>
                        <w:sz w:val="27"/>
                        <w:szCs w:val="27"/>
                      </w:rPr>
                    </w:pPr>
                  </w:p>
                  <w:p>
                    <w:pPr>
                      <w:ind w:firstLine="57"/>
                      <w:rPr>
                        <w:color w:val="000000"/>
                        <w:sz w:val="27"/>
                        <w:szCs w:val="27"/>
                      </w:rPr>
                    </w:pPr>
                  </w:p>
                  <w:p>
                    <w:pPr>
                      <w:ind w:firstLine="57"/>
                      <w:rPr>
                        <w:color w:val="000000"/>
                        <w:sz w:val="27"/>
                        <w:szCs w:val="27"/>
                      </w:rPr>
                    </w:pPr>
                  </w:p>
                  <w:p>
                    <w:pPr>
                      <w:rPr>
                        <w:color w:val="000000"/>
                        <w:sz w:val="27"/>
                        <w:szCs w:val="27"/>
                      </w:rPr>
                    </w:pPr>
                    <w:r>
                      <w:rPr>
                        <w:color w:val="000000"/>
                        <w:sz w:val="22"/>
                        <w:szCs w:val="22"/>
                      </w:rPr>
                      <w:t>10. Pakeisti Įstatymo 2 priedo 47 punktą ir jį išdėstyti taip:</w:t>
                    </w:r>
                  </w:p>
                  <w:p>
                    <w:pPr>
                      <w:rPr>
                        <w:color w:val="000000"/>
                        <w:sz w:val="27"/>
                        <w:szCs w:val="27"/>
                      </w:rPr>
                    </w:pPr>
                    <w:r>
                      <w:rPr>
                        <w:color w:val="000000"/>
                        <w:sz w:val="22"/>
                        <w:szCs w:val="22"/>
                      </w:rPr>
                      <w:t>„47. Šiame skyriuje nurodytų darbuotojų pareiginės algos koeficientai:</w:t>
                    </w:r>
                  </w:p>
                  <w:p>
                    <w:pPr>
                      <w:ind w:firstLine="4593"/>
                      <w:rPr>
                        <w:color w:val="000000"/>
                        <w:sz w:val="27"/>
                        <w:szCs w:val="27"/>
                      </w:rPr>
                    </w:pPr>
                  </w:p>
                  <w:p>
                    <w:pPr>
                      <w:jc w:val="right"/>
                      <w:rPr>
                        <w:color w:val="000000"/>
                        <w:sz w:val="27"/>
                        <w:szCs w:val="27"/>
                      </w:rPr>
                    </w:pPr>
                    <w:r>
                      <w:rPr>
                        <w:color w:val="000000"/>
                        <w:sz w:val="22"/>
                        <w:szCs w:val="22"/>
                      </w:rPr>
                      <w:t>(pareiginės algos (atlyginimo) baziniais dydžiais)</w:t>
                    </w:r>
                  </w:p>
                  <w:tbl>
                    <w:tblPr>
                      <w:tblW w:w="7168" w:type="dxa"/>
                      <w:tblLayout w:type="fixed"/>
                      <w:tblCellMar>
                        <w:left w:w="0" w:type="dxa"/>
                        <w:right w:w="0" w:type="dxa"/>
                      </w:tblCellMar>
                      <w:tblLook w:val="04A0" w:firstRow="1" w:lastRow="0" w:firstColumn="1" w:lastColumn="0" w:noHBand="0" w:noVBand="1"/>
                    </w:tblPr>
                    <w:tblGrid>
                      <w:gridCol w:w="2360"/>
                      <w:gridCol w:w="4808"/>
                    </w:tblGrid>
                    <w:tr>
                      <w:trPr>
                        <w:trHeight w:val="297"/>
                      </w:trPr>
                      <w:tc>
                        <w:tcPr>
                          <w:tcW w:w="2360"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Pedagoginio darbo stažas (metais)</w:t>
                          </w:r>
                        </w:p>
                      </w:tc>
                      <w:tc>
                        <w:tcPr>
                          <w:tcW w:w="4808"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Pareiginės algos koeficientai</w:t>
                          </w:r>
                        </w:p>
                      </w:tc>
                    </w:tr>
                    <w:tr>
                      <w:trPr>
                        <w:trHeight w:val="297"/>
                      </w:trPr>
                      <w:tc>
                        <w:tcPr>
                          <w:tcW w:w="236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textAlignment w:val="baseline"/>
                            <w:rPr>
                              <w:szCs w:val="24"/>
                            </w:rPr>
                          </w:pPr>
                          <w:r>
                            <w:rPr>
                              <w:color w:val="000000"/>
                              <w:sz w:val="22"/>
                              <w:szCs w:val="22"/>
                            </w:rPr>
                            <w:t>iki 10</w:t>
                          </w:r>
                        </w:p>
                      </w:tc>
                      <w:tc>
                        <w:tcPr>
                          <w:tcW w:w="480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1,8449</w:t>
                          </w:r>
                        </w:p>
                        <w:p>
                          <w:pPr>
                            <w:jc w:val="center"/>
                            <w:textAlignment w:val="baseline"/>
                            <w:rPr>
                              <w:szCs w:val="24"/>
                            </w:rPr>
                          </w:pPr>
                          <w:r>
                            <w:rPr>
                              <w:b/>
                              <w:bCs/>
                              <w:color w:val="000000"/>
                              <w:sz w:val="22"/>
                              <w:szCs w:val="22"/>
                            </w:rPr>
                            <w:t>1,9860</w:t>
                          </w:r>
                        </w:p>
                      </w:tc>
                    </w:tr>
                    <w:tr>
                      <w:trPr>
                        <w:trHeight w:val="297"/>
                      </w:trPr>
                      <w:tc>
                        <w:tcPr>
                          <w:tcW w:w="236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textAlignment w:val="baseline"/>
                            <w:rPr>
                              <w:szCs w:val="24"/>
                            </w:rPr>
                          </w:pPr>
                          <w:r>
                            <w:rPr>
                              <w:color w:val="000000"/>
                              <w:sz w:val="22"/>
                              <w:szCs w:val="22"/>
                            </w:rPr>
                            <w:t>nuo daugiau kaip 10 iki 15</w:t>
                          </w:r>
                        </w:p>
                      </w:tc>
                      <w:tc>
                        <w:tcPr>
                          <w:tcW w:w="480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1,9241</w:t>
                          </w:r>
                        </w:p>
                        <w:p>
                          <w:pPr>
                            <w:jc w:val="center"/>
                            <w:textAlignment w:val="baseline"/>
                            <w:rPr>
                              <w:szCs w:val="24"/>
                            </w:rPr>
                          </w:pPr>
                          <w:r>
                            <w:rPr>
                              <w:b/>
                              <w:bCs/>
                              <w:color w:val="000000"/>
                              <w:sz w:val="22"/>
                              <w:szCs w:val="22"/>
                            </w:rPr>
                            <w:t>2,0713</w:t>
                          </w:r>
                        </w:p>
                      </w:tc>
                    </w:tr>
                    <w:tr>
                      <w:trPr>
                        <w:trHeight w:val="297"/>
                      </w:trPr>
                      <w:tc>
                        <w:tcPr>
                          <w:tcW w:w="236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textAlignment w:val="baseline"/>
                            <w:rPr>
                              <w:szCs w:val="24"/>
                            </w:rPr>
                          </w:pPr>
                          <w:r>
                            <w:rPr>
                              <w:color w:val="000000"/>
                              <w:sz w:val="22"/>
                              <w:szCs w:val="22"/>
                            </w:rPr>
                            <w:t>daugiau kaip 15</w:t>
                          </w:r>
                        </w:p>
                      </w:tc>
                      <w:tc>
                        <w:tcPr>
                          <w:tcW w:w="480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2,0266</w:t>
                          </w:r>
                        </w:p>
                        <w:p>
                          <w:pPr>
                            <w:jc w:val="center"/>
                            <w:textAlignment w:val="baseline"/>
                            <w:rPr>
                              <w:szCs w:val="24"/>
                            </w:rPr>
                          </w:pPr>
                          <w:r>
                            <w:rPr>
                              <w:b/>
                              <w:bCs/>
                              <w:color w:val="000000"/>
                              <w:sz w:val="22"/>
                              <w:szCs w:val="22"/>
                            </w:rPr>
                            <w:t>2,1816</w:t>
                          </w:r>
                          <w:r>
                            <w:rPr>
                              <w:color w:val="000000"/>
                              <w:sz w:val="22"/>
                              <w:szCs w:val="22"/>
                            </w:rPr>
                            <w:t>“.</w:t>
                          </w:r>
                        </w:p>
                      </w:tc>
                    </w:tr>
                  </w:tbl>
                  <w:p>
                    <w:pPr>
                      <w:ind w:firstLine="57"/>
                      <w:rPr>
                        <w:color w:val="000000"/>
                        <w:sz w:val="27"/>
                        <w:szCs w:val="27"/>
                      </w:rPr>
                    </w:pPr>
                  </w:p>
                  <w:p>
                    <w:pPr>
                      <w:rPr>
                        <w:color w:val="000000"/>
                        <w:sz w:val="27"/>
                        <w:szCs w:val="27"/>
                      </w:rPr>
                    </w:pPr>
                    <w:r>
                      <w:rPr>
                        <w:color w:val="000000"/>
                        <w:sz w:val="22"/>
                        <w:szCs w:val="22"/>
                      </w:rPr>
                      <w:t>11. Pakeisti Įstatymo 2 priedo 50 punktą ir jį išdėstyti taip:</w:t>
                    </w:r>
                  </w:p>
                  <w:p>
                    <w:pPr>
                      <w:rPr>
                        <w:color w:val="000000"/>
                        <w:sz w:val="27"/>
                        <w:szCs w:val="27"/>
                      </w:rPr>
                    </w:pPr>
                    <w:r>
                      <w:rPr>
                        <w:color w:val="000000"/>
                        <w:sz w:val="22"/>
                        <w:szCs w:val="22"/>
                      </w:rPr>
                      <w:t>„50. Švietimo pagalbos įstaigų vadovų ir jų pavaduotojų, kurių darbas laikomas pedagoginiu, pareiginės algos koeficientai:</w:t>
                    </w:r>
                  </w:p>
                  <w:p>
                    <w:pPr>
                      <w:ind w:firstLine="57"/>
                      <w:rPr>
                        <w:color w:val="000000"/>
                        <w:sz w:val="27"/>
                        <w:szCs w:val="27"/>
                      </w:rPr>
                    </w:pPr>
                  </w:p>
                  <w:p>
                    <w:pPr>
                      <w:jc w:val="right"/>
                      <w:rPr>
                        <w:color w:val="000000"/>
                        <w:sz w:val="27"/>
                        <w:szCs w:val="27"/>
                      </w:rPr>
                    </w:pPr>
                    <w:r>
                      <w:rPr>
                        <w:color w:val="000000"/>
                        <w:sz w:val="22"/>
                        <w:szCs w:val="22"/>
                      </w:rPr>
                      <w:t>(pareiginės algos (atlyginimo) baziniais dydžiais</w:t>
                    </w:r>
                  </w:p>
                  <w:tbl>
                    <w:tblPr>
                      <w:tblW w:w="7309" w:type="dxa"/>
                      <w:tblLayout w:type="fixed"/>
                      <w:tblCellMar>
                        <w:left w:w="0" w:type="dxa"/>
                        <w:right w:w="0" w:type="dxa"/>
                      </w:tblCellMar>
                      <w:tblLook w:val="04A0" w:firstRow="1" w:lastRow="0" w:firstColumn="1" w:lastColumn="0" w:noHBand="0" w:noVBand="1"/>
                    </w:tblPr>
                    <w:tblGrid>
                      <w:gridCol w:w="1159"/>
                      <w:gridCol w:w="1842"/>
                      <w:gridCol w:w="1418"/>
                      <w:gridCol w:w="2890"/>
                    </w:tblGrid>
                    <w:tr>
                      <w:trPr>
                        <w:trHeight w:val="19"/>
                      </w:trPr>
                      <w:tc>
                        <w:tcPr>
                          <w:tcW w:w="1159"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Pareigybių skaičius</w:t>
                          </w:r>
                        </w:p>
                      </w:tc>
                      <w:tc>
                        <w:tcPr>
                          <w:tcW w:w="1842"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Vadovaujamo darbo</w:t>
                          </w:r>
                        </w:p>
                        <w:p>
                          <w:pPr>
                            <w:jc w:val="center"/>
                            <w:textAlignment w:val="baseline"/>
                            <w:rPr>
                              <w:szCs w:val="24"/>
                            </w:rPr>
                          </w:pPr>
                          <w:r>
                            <w:rPr>
                              <w:color w:val="000000"/>
                              <w:sz w:val="22"/>
                              <w:szCs w:val="22"/>
                            </w:rPr>
                            <w:t>patirtis (metais)</w:t>
                          </w:r>
                        </w:p>
                      </w:tc>
                      <w:tc>
                        <w:tcPr>
                          <w:tcW w:w="4308"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Pareiginės algos koeficientai, jeigu pareigybės lygis A</w:t>
                          </w:r>
                        </w:p>
                      </w:tc>
                    </w:tr>
                    <w:tr>
                      <w:trPr>
                        <w:trHeight w:val="19"/>
                      </w:trPr>
                      <w:tc>
                        <w:tcPr>
                          <w:tcW w:w="1159"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1842" w:type="dxa"/>
                          <w:vMerge/>
                          <w:tcBorders>
                            <w:top w:val="single" w:sz="8" w:space="0" w:color="000000"/>
                            <w:left w:val="nil"/>
                            <w:bottom w:val="single" w:sz="8" w:space="0" w:color="000000"/>
                            <w:right w:val="single" w:sz="8" w:space="0" w:color="000000"/>
                          </w:tcBorders>
                          <w:vAlign w:val="center"/>
                          <w:hideMark/>
                        </w:tcPr>
                        <w:p>
                          <w:pPr>
                            <w:rPr>
                              <w:szCs w:val="24"/>
                            </w:rPr>
                          </w:pPr>
                        </w:p>
                      </w:tc>
                      <w:tc>
                        <w:tcPr>
                          <w:tcW w:w="14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vadovų</w:t>
                          </w:r>
                        </w:p>
                      </w:tc>
                      <w:tc>
                        <w:tcPr>
                          <w:tcW w:w="289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vadovų pavaduotojų</w:t>
                          </w:r>
                        </w:p>
                      </w:tc>
                    </w:tr>
                    <w:tr>
                      <w:trPr>
                        <w:trHeight w:val="19"/>
                      </w:trPr>
                      <w:tc>
                        <w:tcPr>
                          <w:tcW w:w="1159" w:type="dxa"/>
                          <w:vMerge w:val="restart"/>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201 ir daugiau pareigybių</w:t>
                          </w:r>
                        </w:p>
                      </w:tc>
                      <w:tc>
                        <w:tcPr>
                          <w:tcW w:w="184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iki 5</w:t>
                          </w:r>
                        </w:p>
                      </w:tc>
                      <w:tc>
                        <w:tcPr>
                          <w:tcW w:w="14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2,1584</w:t>
                          </w:r>
                        </w:p>
                        <w:p>
                          <w:pPr>
                            <w:jc w:val="center"/>
                            <w:textAlignment w:val="baseline"/>
                            <w:rPr>
                              <w:szCs w:val="24"/>
                            </w:rPr>
                          </w:pPr>
                          <w:r>
                            <w:rPr>
                              <w:b/>
                              <w:bCs/>
                              <w:color w:val="000000"/>
                              <w:sz w:val="22"/>
                              <w:szCs w:val="22"/>
                            </w:rPr>
                            <w:t>2,3235</w:t>
                          </w:r>
                        </w:p>
                      </w:tc>
                      <w:tc>
                        <w:tcPr>
                          <w:tcW w:w="289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1,9445</w:t>
                          </w:r>
                        </w:p>
                        <w:p>
                          <w:pPr>
                            <w:jc w:val="center"/>
                            <w:textAlignment w:val="baseline"/>
                            <w:rPr>
                              <w:szCs w:val="24"/>
                            </w:rPr>
                          </w:pPr>
                          <w:r>
                            <w:rPr>
                              <w:b/>
                              <w:bCs/>
                              <w:color w:val="000000"/>
                              <w:sz w:val="22"/>
                              <w:szCs w:val="22"/>
                            </w:rPr>
                            <w:t>2,0933</w:t>
                          </w:r>
                        </w:p>
                      </w:tc>
                    </w:tr>
                    <w:tr>
                      <w:trPr>
                        <w:trHeight w:val="19"/>
                      </w:trPr>
                      <w:tc>
                        <w:tcPr>
                          <w:tcW w:w="1159" w:type="dxa"/>
                          <w:vMerge/>
                          <w:tcBorders>
                            <w:top w:val="nil"/>
                            <w:left w:val="single" w:sz="8" w:space="0" w:color="000000"/>
                            <w:bottom w:val="single" w:sz="8" w:space="0" w:color="000000"/>
                            <w:right w:val="single" w:sz="8" w:space="0" w:color="000000"/>
                          </w:tcBorders>
                          <w:vAlign w:val="center"/>
                          <w:hideMark/>
                        </w:tcPr>
                        <w:p>
                          <w:pPr>
                            <w:rPr>
                              <w:szCs w:val="24"/>
                            </w:rPr>
                          </w:pPr>
                        </w:p>
                      </w:tc>
                      <w:tc>
                        <w:tcPr>
                          <w:tcW w:w="184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5 iki 10</w:t>
                          </w:r>
                        </w:p>
                      </w:tc>
                      <w:tc>
                        <w:tcPr>
                          <w:tcW w:w="14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2,1893</w:t>
                          </w:r>
                        </w:p>
                        <w:p>
                          <w:pPr>
                            <w:jc w:val="center"/>
                            <w:textAlignment w:val="baseline"/>
                            <w:rPr>
                              <w:szCs w:val="24"/>
                            </w:rPr>
                          </w:pPr>
                          <w:r>
                            <w:rPr>
                              <w:b/>
                              <w:bCs/>
                              <w:color w:val="000000"/>
                              <w:sz w:val="22"/>
                              <w:szCs w:val="22"/>
                            </w:rPr>
                            <w:t>2,3568</w:t>
                          </w:r>
                        </w:p>
                      </w:tc>
                      <w:tc>
                        <w:tcPr>
                          <w:tcW w:w="289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1,9768</w:t>
                          </w:r>
                        </w:p>
                        <w:p>
                          <w:pPr>
                            <w:jc w:val="center"/>
                            <w:textAlignment w:val="baseline"/>
                            <w:rPr>
                              <w:szCs w:val="24"/>
                            </w:rPr>
                          </w:pPr>
                          <w:r>
                            <w:rPr>
                              <w:b/>
                              <w:bCs/>
                              <w:color w:val="000000"/>
                              <w:sz w:val="22"/>
                              <w:szCs w:val="22"/>
                            </w:rPr>
                            <w:t>2,1280</w:t>
                          </w:r>
                        </w:p>
                      </w:tc>
                    </w:tr>
                    <w:tr>
                      <w:trPr>
                        <w:trHeight w:val="19"/>
                      </w:trPr>
                      <w:tc>
                        <w:tcPr>
                          <w:tcW w:w="1159" w:type="dxa"/>
                          <w:vMerge/>
                          <w:tcBorders>
                            <w:top w:val="nil"/>
                            <w:left w:val="single" w:sz="8" w:space="0" w:color="000000"/>
                            <w:bottom w:val="single" w:sz="8" w:space="0" w:color="000000"/>
                            <w:right w:val="single" w:sz="8" w:space="0" w:color="000000"/>
                          </w:tcBorders>
                          <w:vAlign w:val="center"/>
                          <w:hideMark/>
                        </w:tcPr>
                        <w:p>
                          <w:pPr>
                            <w:rPr>
                              <w:szCs w:val="24"/>
                            </w:rPr>
                          </w:pPr>
                        </w:p>
                      </w:tc>
                      <w:tc>
                        <w:tcPr>
                          <w:tcW w:w="184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daugiau kaip 10</w:t>
                          </w:r>
                        </w:p>
                      </w:tc>
                      <w:tc>
                        <w:tcPr>
                          <w:tcW w:w="14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2,2186</w:t>
                          </w:r>
                        </w:p>
                        <w:p>
                          <w:pPr>
                            <w:jc w:val="center"/>
                            <w:textAlignment w:val="baseline"/>
                            <w:rPr>
                              <w:szCs w:val="24"/>
                            </w:rPr>
                          </w:pPr>
                          <w:r>
                            <w:rPr>
                              <w:b/>
                              <w:bCs/>
                              <w:color w:val="000000"/>
                              <w:sz w:val="22"/>
                              <w:szCs w:val="22"/>
                            </w:rPr>
                            <w:t>2,3883</w:t>
                          </w:r>
                        </w:p>
                      </w:tc>
                      <w:tc>
                        <w:tcPr>
                          <w:tcW w:w="289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2,0061</w:t>
                          </w:r>
                        </w:p>
                        <w:p>
                          <w:pPr>
                            <w:jc w:val="center"/>
                            <w:textAlignment w:val="baseline"/>
                            <w:rPr>
                              <w:szCs w:val="24"/>
                            </w:rPr>
                          </w:pPr>
                          <w:r>
                            <w:rPr>
                              <w:b/>
                              <w:bCs/>
                              <w:color w:val="000000"/>
                              <w:sz w:val="22"/>
                              <w:szCs w:val="22"/>
                            </w:rPr>
                            <w:t>2,1596</w:t>
                          </w:r>
                        </w:p>
                      </w:tc>
                    </w:tr>
                    <w:tr>
                      <w:trPr>
                        <w:trHeight w:val="19"/>
                      </w:trPr>
                      <w:tc>
                        <w:tcPr>
                          <w:tcW w:w="1159" w:type="dxa"/>
                          <w:vMerge w:val="restart"/>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51–200 pareigybių</w:t>
                          </w:r>
                        </w:p>
                      </w:tc>
                      <w:tc>
                        <w:tcPr>
                          <w:tcW w:w="184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iki 5</w:t>
                          </w:r>
                        </w:p>
                      </w:tc>
                      <w:tc>
                        <w:tcPr>
                          <w:tcW w:w="14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2,0661</w:t>
                          </w:r>
                        </w:p>
                        <w:p>
                          <w:pPr>
                            <w:jc w:val="center"/>
                            <w:textAlignment w:val="baseline"/>
                            <w:rPr>
                              <w:szCs w:val="24"/>
                            </w:rPr>
                          </w:pPr>
                          <w:r>
                            <w:rPr>
                              <w:b/>
                              <w:bCs/>
                              <w:color w:val="000000"/>
                              <w:sz w:val="22"/>
                              <w:szCs w:val="22"/>
                            </w:rPr>
                            <w:t>2,2242</w:t>
                          </w:r>
                        </w:p>
                      </w:tc>
                      <w:tc>
                        <w:tcPr>
                          <w:tcW w:w="289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1,8844</w:t>
                          </w:r>
                        </w:p>
                        <w:p>
                          <w:pPr>
                            <w:jc w:val="center"/>
                            <w:textAlignment w:val="baseline"/>
                            <w:rPr>
                              <w:szCs w:val="24"/>
                            </w:rPr>
                          </w:pPr>
                          <w:r>
                            <w:rPr>
                              <w:b/>
                              <w:bCs/>
                              <w:color w:val="000000"/>
                              <w:sz w:val="22"/>
                              <w:szCs w:val="22"/>
                            </w:rPr>
                            <w:t>2,0286</w:t>
                          </w:r>
                        </w:p>
                      </w:tc>
                    </w:tr>
                    <w:tr>
                      <w:trPr>
                        <w:trHeight w:val="19"/>
                      </w:trPr>
                      <w:tc>
                        <w:tcPr>
                          <w:tcW w:w="1159" w:type="dxa"/>
                          <w:vMerge/>
                          <w:tcBorders>
                            <w:top w:val="nil"/>
                            <w:left w:val="single" w:sz="8" w:space="0" w:color="000000"/>
                            <w:bottom w:val="single" w:sz="8" w:space="0" w:color="000000"/>
                            <w:right w:val="single" w:sz="8" w:space="0" w:color="000000"/>
                          </w:tcBorders>
                          <w:vAlign w:val="center"/>
                          <w:hideMark/>
                        </w:tcPr>
                        <w:p>
                          <w:pPr>
                            <w:rPr>
                              <w:szCs w:val="24"/>
                            </w:rPr>
                          </w:pPr>
                        </w:p>
                      </w:tc>
                      <w:tc>
                        <w:tcPr>
                          <w:tcW w:w="184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5 iki 10</w:t>
                          </w:r>
                        </w:p>
                      </w:tc>
                      <w:tc>
                        <w:tcPr>
                          <w:tcW w:w="14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2,0969</w:t>
                          </w:r>
                        </w:p>
                        <w:p>
                          <w:pPr>
                            <w:jc w:val="center"/>
                            <w:textAlignment w:val="baseline"/>
                            <w:rPr>
                              <w:szCs w:val="24"/>
                            </w:rPr>
                          </w:pPr>
                          <w:r>
                            <w:rPr>
                              <w:b/>
                              <w:bCs/>
                              <w:color w:val="000000"/>
                              <w:sz w:val="22"/>
                              <w:szCs w:val="22"/>
                            </w:rPr>
                            <w:t>2,2573</w:t>
                          </w:r>
                        </w:p>
                      </w:tc>
                      <w:tc>
                        <w:tcPr>
                          <w:tcW w:w="289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1,9152</w:t>
                          </w:r>
                        </w:p>
                        <w:p>
                          <w:pPr>
                            <w:jc w:val="center"/>
                            <w:textAlignment w:val="baseline"/>
                            <w:rPr>
                              <w:szCs w:val="24"/>
                            </w:rPr>
                          </w:pPr>
                          <w:r>
                            <w:rPr>
                              <w:b/>
                              <w:bCs/>
                              <w:color w:val="000000"/>
                              <w:sz w:val="22"/>
                              <w:szCs w:val="22"/>
                            </w:rPr>
                            <w:t>2,0617</w:t>
                          </w:r>
                        </w:p>
                      </w:tc>
                    </w:tr>
                    <w:tr>
                      <w:trPr>
                        <w:trHeight w:val="19"/>
                      </w:trPr>
                      <w:tc>
                        <w:tcPr>
                          <w:tcW w:w="1159" w:type="dxa"/>
                          <w:vMerge/>
                          <w:tcBorders>
                            <w:top w:val="nil"/>
                            <w:left w:val="single" w:sz="8" w:space="0" w:color="000000"/>
                            <w:bottom w:val="single" w:sz="8" w:space="0" w:color="000000"/>
                            <w:right w:val="single" w:sz="8" w:space="0" w:color="000000"/>
                          </w:tcBorders>
                          <w:vAlign w:val="center"/>
                          <w:hideMark/>
                        </w:tcPr>
                        <w:p>
                          <w:pPr>
                            <w:rPr>
                              <w:szCs w:val="24"/>
                            </w:rPr>
                          </w:pPr>
                        </w:p>
                      </w:tc>
                      <w:tc>
                        <w:tcPr>
                          <w:tcW w:w="184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daugiau kaip 10</w:t>
                          </w:r>
                        </w:p>
                      </w:tc>
                      <w:tc>
                        <w:tcPr>
                          <w:tcW w:w="14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2,1291</w:t>
                          </w:r>
                        </w:p>
                        <w:p>
                          <w:pPr>
                            <w:jc w:val="center"/>
                            <w:textAlignment w:val="baseline"/>
                            <w:rPr>
                              <w:szCs w:val="24"/>
                            </w:rPr>
                          </w:pPr>
                          <w:r>
                            <w:rPr>
                              <w:b/>
                              <w:bCs/>
                              <w:color w:val="000000"/>
                              <w:sz w:val="22"/>
                              <w:szCs w:val="22"/>
                            </w:rPr>
                            <w:t>2,2920</w:t>
                          </w:r>
                        </w:p>
                      </w:tc>
                      <w:tc>
                        <w:tcPr>
                          <w:tcW w:w="289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1,9445</w:t>
                          </w:r>
                        </w:p>
                        <w:p>
                          <w:pPr>
                            <w:jc w:val="center"/>
                            <w:textAlignment w:val="baseline"/>
                            <w:rPr>
                              <w:szCs w:val="24"/>
                            </w:rPr>
                          </w:pPr>
                          <w:r>
                            <w:rPr>
                              <w:b/>
                              <w:bCs/>
                              <w:color w:val="000000"/>
                              <w:sz w:val="22"/>
                              <w:szCs w:val="22"/>
                            </w:rPr>
                            <w:t>2,0933</w:t>
                          </w:r>
                        </w:p>
                      </w:tc>
                    </w:tr>
                    <w:tr>
                      <w:trPr>
                        <w:trHeight w:val="19"/>
                      </w:trPr>
                      <w:tc>
                        <w:tcPr>
                          <w:tcW w:w="1159" w:type="dxa"/>
                          <w:vMerge w:val="restart"/>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50 ir mažiau pareigybių</w:t>
                          </w:r>
                        </w:p>
                      </w:tc>
                      <w:tc>
                        <w:tcPr>
                          <w:tcW w:w="184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iki 5</w:t>
                          </w:r>
                        </w:p>
                      </w:tc>
                      <w:tc>
                        <w:tcPr>
                          <w:tcW w:w="14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1,9768</w:t>
                          </w:r>
                        </w:p>
                        <w:p>
                          <w:pPr>
                            <w:jc w:val="center"/>
                            <w:textAlignment w:val="baseline"/>
                            <w:rPr>
                              <w:szCs w:val="24"/>
                            </w:rPr>
                          </w:pPr>
                          <w:r>
                            <w:rPr>
                              <w:b/>
                              <w:bCs/>
                              <w:color w:val="000000"/>
                              <w:sz w:val="22"/>
                              <w:szCs w:val="22"/>
                            </w:rPr>
                            <w:t>2,1280</w:t>
                          </w:r>
                        </w:p>
                      </w:tc>
                      <w:tc>
                        <w:tcPr>
                          <w:tcW w:w="289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1,8243</w:t>
                          </w:r>
                        </w:p>
                        <w:p>
                          <w:pPr>
                            <w:jc w:val="center"/>
                            <w:textAlignment w:val="baseline"/>
                            <w:rPr>
                              <w:szCs w:val="24"/>
                            </w:rPr>
                          </w:pPr>
                          <w:r>
                            <w:rPr>
                              <w:b/>
                              <w:bCs/>
                              <w:color w:val="000000"/>
                              <w:sz w:val="22"/>
                              <w:szCs w:val="22"/>
                            </w:rPr>
                            <w:t>1,9639</w:t>
                          </w:r>
                        </w:p>
                      </w:tc>
                    </w:tr>
                    <w:tr>
                      <w:trPr>
                        <w:trHeight w:val="19"/>
                      </w:trPr>
                      <w:tc>
                        <w:tcPr>
                          <w:tcW w:w="1159" w:type="dxa"/>
                          <w:vMerge/>
                          <w:tcBorders>
                            <w:top w:val="nil"/>
                            <w:left w:val="single" w:sz="8" w:space="0" w:color="000000"/>
                            <w:bottom w:val="single" w:sz="8" w:space="0" w:color="000000"/>
                            <w:right w:val="single" w:sz="8" w:space="0" w:color="000000"/>
                          </w:tcBorders>
                          <w:vAlign w:val="center"/>
                          <w:hideMark/>
                        </w:tcPr>
                        <w:p>
                          <w:pPr>
                            <w:rPr>
                              <w:szCs w:val="24"/>
                            </w:rPr>
                          </w:pPr>
                        </w:p>
                      </w:tc>
                      <w:tc>
                        <w:tcPr>
                          <w:tcW w:w="184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5 iki 10</w:t>
                          </w:r>
                        </w:p>
                      </w:tc>
                      <w:tc>
                        <w:tcPr>
                          <w:tcW w:w="14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2,0061</w:t>
                          </w:r>
                        </w:p>
                        <w:p>
                          <w:pPr>
                            <w:jc w:val="center"/>
                            <w:textAlignment w:val="baseline"/>
                            <w:rPr>
                              <w:szCs w:val="24"/>
                            </w:rPr>
                          </w:pPr>
                          <w:r>
                            <w:rPr>
                              <w:b/>
                              <w:bCs/>
                              <w:color w:val="000000"/>
                              <w:sz w:val="22"/>
                              <w:szCs w:val="22"/>
                            </w:rPr>
                            <w:t>2,1596</w:t>
                          </w:r>
                        </w:p>
                      </w:tc>
                      <w:tc>
                        <w:tcPr>
                          <w:tcW w:w="289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1,8537</w:t>
                          </w:r>
                        </w:p>
                        <w:p>
                          <w:pPr>
                            <w:jc w:val="center"/>
                            <w:textAlignment w:val="baseline"/>
                            <w:rPr>
                              <w:szCs w:val="24"/>
                            </w:rPr>
                          </w:pPr>
                          <w:r>
                            <w:rPr>
                              <w:b/>
                              <w:bCs/>
                              <w:color w:val="000000"/>
                              <w:sz w:val="22"/>
                              <w:szCs w:val="22"/>
                            </w:rPr>
                            <w:t>1,9955</w:t>
                          </w:r>
                        </w:p>
                      </w:tc>
                    </w:tr>
                    <w:tr>
                      <w:trPr>
                        <w:trHeight w:val="19"/>
                      </w:trPr>
                      <w:tc>
                        <w:tcPr>
                          <w:tcW w:w="1159" w:type="dxa"/>
                          <w:vMerge/>
                          <w:tcBorders>
                            <w:top w:val="nil"/>
                            <w:left w:val="single" w:sz="8" w:space="0" w:color="000000"/>
                            <w:bottom w:val="single" w:sz="8" w:space="0" w:color="000000"/>
                            <w:right w:val="single" w:sz="8" w:space="0" w:color="000000"/>
                          </w:tcBorders>
                          <w:vAlign w:val="center"/>
                          <w:hideMark/>
                        </w:tcPr>
                        <w:p>
                          <w:pPr>
                            <w:rPr>
                              <w:szCs w:val="24"/>
                            </w:rPr>
                          </w:pPr>
                        </w:p>
                      </w:tc>
                      <w:tc>
                        <w:tcPr>
                          <w:tcW w:w="184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daugiau kaip 10</w:t>
                          </w:r>
                        </w:p>
                      </w:tc>
                      <w:tc>
                        <w:tcPr>
                          <w:tcW w:w="141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2,0370</w:t>
                          </w:r>
                        </w:p>
                        <w:p>
                          <w:pPr>
                            <w:jc w:val="center"/>
                            <w:textAlignment w:val="baseline"/>
                            <w:rPr>
                              <w:szCs w:val="24"/>
                            </w:rPr>
                          </w:pPr>
                          <w:r>
                            <w:rPr>
                              <w:b/>
                              <w:bCs/>
                              <w:color w:val="000000"/>
                              <w:sz w:val="22"/>
                              <w:szCs w:val="22"/>
                            </w:rPr>
                            <w:t>2,1928</w:t>
                          </w:r>
                        </w:p>
                      </w:tc>
                      <w:tc>
                        <w:tcPr>
                          <w:tcW w:w="289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1,8844</w:t>
                          </w:r>
                        </w:p>
                        <w:p>
                          <w:pPr>
                            <w:jc w:val="center"/>
                            <w:textAlignment w:val="baseline"/>
                            <w:rPr>
                              <w:szCs w:val="24"/>
                            </w:rPr>
                          </w:pPr>
                          <w:r>
                            <w:rPr>
                              <w:b/>
                              <w:bCs/>
                              <w:color w:val="000000"/>
                              <w:sz w:val="22"/>
                              <w:szCs w:val="22"/>
                            </w:rPr>
                            <w:t>2,0286</w:t>
                          </w:r>
                          <w:r>
                            <w:rPr>
                              <w:color w:val="000000"/>
                              <w:sz w:val="22"/>
                              <w:szCs w:val="22"/>
                            </w:rPr>
                            <w:t>“.</w:t>
                          </w:r>
                        </w:p>
                      </w:tc>
                    </w:tr>
                  </w:tbl>
                  <w:p>
                    <w:pPr>
                      <w:ind w:firstLine="57"/>
                      <w:rPr>
                        <w:color w:val="000000"/>
                        <w:sz w:val="27"/>
                        <w:szCs w:val="27"/>
                      </w:rPr>
                    </w:pPr>
                  </w:p>
                  <w:p>
                    <w:pPr>
                      <w:jc w:val="both"/>
                      <w:rPr>
                        <w:color w:val="000000"/>
                        <w:sz w:val="27"/>
                        <w:szCs w:val="27"/>
                      </w:rPr>
                    </w:pPr>
                    <w:r>
                      <w:rPr>
                        <w:color w:val="000000"/>
                        <w:sz w:val="22"/>
                        <w:szCs w:val="22"/>
                      </w:rPr>
                      <w:t>12. Pakeisti Įstatymo 2 priedo 51 punktą ir jį išdėstyti taip:</w:t>
                    </w:r>
                  </w:p>
                  <w:p>
                    <w:pPr>
                      <w:jc w:val="both"/>
                      <w:rPr>
                        <w:color w:val="000000"/>
                        <w:sz w:val="27"/>
                        <w:szCs w:val="27"/>
                      </w:rPr>
                    </w:pPr>
                    <w:r>
                      <w:rPr>
                        <w:color w:val="000000"/>
                        <w:sz w:val="22"/>
                        <w:szCs w:val="22"/>
                      </w:rPr>
                      <w:t>„51. Švietimo pagalbos įstaigų skyrių vedėjų, kurių darbas laikomas pedagoginiu, pareiginės algos koeficientai:</w:t>
                    </w:r>
                  </w:p>
                  <w:p>
                    <w:pPr>
                      <w:ind w:firstLine="57"/>
                      <w:jc w:val="both"/>
                      <w:rPr>
                        <w:color w:val="000000"/>
                        <w:sz w:val="27"/>
                        <w:szCs w:val="27"/>
                      </w:rPr>
                    </w:pPr>
                  </w:p>
                  <w:p>
                    <w:pPr>
                      <w:jc w:val="right"/>
                      <w:rPr>
                        <w:color w:val="000000"/>
                        <w:sz w:val="27"/>
                        <w:szCs w:val="27"/>
                      </w:rPr>
                    </w:pPr>
                    <w:r>
                      <w:rPr>
                        <w:color w:val="000000"/>
                        <w:sz w:val="22"/>
                        <w:szCs w:val="22"/>
                      </w:rPr>
                      <w:t>(pareiginės algos (atlyginimo) baziniais dydžiais)</w:t>
                    </w:r>
                  </w:p>
                  <w:tbl>
                    <w:tblPr>
                      <w:tblW w:w="7211" w:type="dxa"/>
                      <w:tblLayout w:type="fixed"/>
                      <w:tblCellMar>
                        <w:left w:w="0" w:type="dxa"/>
                        <w:right w:w="0" w:type="dxa"/>
                      </w:tblCellMar>
                      <w:tblLook w:val="04A0" w:firstRow="1" w:lastRow="0" w:firstColumn="1" w:lastColumn="0" w:noHBand="0" w:noVBand="1"/>
                    </w:tblPr>
                    <w:tblGrid>
                      <w:gridCol w:w="1160"/>
                      <w:gridCol w:w="1135"/>
                      <w:gridCol w:w="1082"/>
                      <w:gridCol w:w="941"/>
                      <w:gridCol w:w="958"/>
                      <w:gridCol w:w="896"/>
                      <w:gridCol w:w="1039"/>
                    </w:tblGrid>
                    <w:tr>
                      <w:trPr>
                        <w:trHeight w:val="20"/>
                      </w:trPr>
                      <w:tc>
                        <w:tcPr>
                          <w:tcW w:w="1160"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ind w:firstLine="48"/>
                            <w:jc w:val="center"/>
                            <w:textAlignment w:val="baseline"/>
                            <w:rPr>
                              <w:szCs w:val="24"/>
                            </w:rPr>
                          </w:pPr>
                          <w:r>
                            <w:rPr>
                              <w:color w:val="000000"/>
                              <w:sz w:val="22"/>
                              <w:szCs w:val="22"/>
                            </w:rPr>
                            <w:t>Vadovaujamo darbo patirtis (metais)</w:t>
                          </w:r>
                        </w:p>
                      </w:tc>
                      <w:tc>
                        <w:tcPr>
                          <w:tcW w:w="6051" w:type="dxa"/>
                          <w:gridSpan w:val="6"/>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Pareigybės lygis</w:t>
                          </w:r>
                        </w:p>
                      </w:tc>
                    </w:tr>
                    <w:tr>
                      <w:trPr>
                        <w:trHeight w:val="20"/>
                      </w:trPr>
                      <w:tc>
                        <w:tcPr>
                          <w:tcW w:w="1500"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3158" w:type="dxa"/>
                          <w:gridSpan w:val="3"/>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A</w:t>
                          </w:r>
                        </w:p>
                      </w:tc>
                      <w:tc>
                        <w:tcPr>
                          <w:tcW w:w="2893" w:type="dxa"/>
                          <w:gridSpan w:val="3"/>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B</w:t>
                          </w:r>
                        </w:p>
                      </w:tc>
                    </w:tr>
                    <w:tr>
                      <w:trPr>
                        <w:trHeight w:val="20"/>
                      </w:trPr>
                      <w:tc>
                        <w:tcPr>
                          <w:tcW w:w="1500"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3158" w:type="dxa"/>
                          <w:gridSpan w:val="3"/>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profesinio darbo patirtis (metais)</w:t>
                          </w:r>
                        </w:p>
                      </w:tc>
                      <w:tc>
                        <w:tcPr>
                          <w:tcW w:w="2893" w:type="dxa"/>
                          <w:gridSpan w:val="3"/>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profesinio darbo patirtis (metais)</w:t>
                          </w:r>
                        </w:p>
                      </w:tc>
                    </w:tr>
                    <w:tr>
                      <w:trPr>
                        <w:trHeight w:val="20"/>
                      </w:trPr>
                      <w:tc>
                        <w:tcPr>
                          <w:tcW w:w="1500" w:type="dxa"/>
                          <w:vMerge/>
                          <w:tcBorders>
                            <w:top w:val="single" w:sz="8" w:space="0" w:color="000000"/>
                            <w:left w:val="single" w:sz="8" w:space="0" w:color="000000"/>
                            <w:bottom w:val="single" w:sz="8" w:space="0" w:color="000000"/>
                            <w:right w:val="single" w:sz="8" w:space="0" w:color="000000"/>
                          </w:tcBorders>
                          <w:vAlign w:val="center"/>
                          <w:hideMark/>
                        </w:tcPr>
                        <w:p>
                          <w:pPr>
                            <w:rPr>
                              <w:szCs w:val="24"/>
                            </w:rPr>
                          </w:pPr>
                        </w:p>
                      </w:tc>
                      <w:tc>
                        <w:tcPr>
                          <w:tcW w:w="113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iki 5</w:t>
                          </w:r>
                        </w:p>
                      </w:tc>
                      <w:tc>
                        <w:tcPr>
                          <w:tcW w:w="10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5 iki 10</w:t>
                          </w:r>
                        </w:p>
                      </w:tc>
                      <w:tc>
                        <w:tcPr>
                          <w:tcW w:w="94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daugiau kaip 10</w:t>
                          </w: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iki 5</w:t>
                          </w:r>
                        </w:p>
                      </w:tc>
                      <w:tc>
                        <w:tcPr>
                          <w:tcW w:w="89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5 iki 10</w:t>
                          </w:r>
                        </w:p>
                      </w:tc>
                      <w:tc>
                        <w:tcPr>
                          <w:tcW w:w="103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daugiau kaip 10</w:t>
                          </w:r>
                        </w:p>
                      </w:tc>
                    </w:tr>
                    <w:tr>
                      <w:trPr>
                        <w:trHeight w:val="20"/>
                      </w:trPr>
                      <w:tc>
                        <w:tcPr>
                          <w:tcW w:w="116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iki 5</w:t>
                          </w:r>
                        </w:p>
                      </w:tc>
                      <w:tc>
                        <w:tcPr>
                          <w:tcW w:w="113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1,7438</w:t>
                          </w:r>
                        </w:p>
                        <w:p>
                          <w:pPr>
                            <w:jc w:val="center"/>
                            <w:textAlignment w:val="baseline"/>
                            <w:rPr>
                              <w:szCs w:val="24"/>
                            </w:rPr>
                          </w:pPr>
                          <w:r>
                            <w:rPr>
                              <w:b/>
                              <w:bCs/>
                              <w:color w:val="000000"/>
                              <w:sz w:val="22"/>
                              <w:szCs w:val="22"/>
                            </w:rPr>
                            <w:t>1,8772</w:t>
                          </w:r>
                        </w:p>
                      </w:tc>
                      <w:tc>
                        <w:tcPr>
                          <w:tcW w:w="10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1,7760</w:t>
                          </w:r>
                        </w:p>
                        <w:p>
                          <w:pPr>
                            <w:jc w:val="center"/>
                            <w:textAlignment w:val="baseline"/>
                            <w:rPr>
                              <w:szCs w:val="24"/>
                            </w:rPr>
                          </w:pPr>
                          <w:r>
                            <w:rPr>
                              <w:b/>
                              <w:bCs/>
                              <w:color w:val="000000"/>
                              <w:sz w:val="22"/>
                              <w:szCs w:val="22"/>
                            </w:rPr>
                            <w:t>1,9119</w:t>
                          </w:r>
                        </w:p>
                      </w:tc>
                      <w:tc>
                        <w:tcPr>
                          <w:tcW w:w="94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1,8054</w:t>
                          </w:r>
                        </w:p>
                        <w:p>
                          <w:pPr>
                            <w:jc w:val="center"/>
                            <w:textAlignment w:val="baseline"/>
                            <w:rPr>
                              <w:szCs w:val="24"/>
                            </w:rPr>
                          </w:pPr>
                          <w:r>
                            <w:rPr>
                              <w:b/>
                              <w:bCs/>
                              <w:color w:val="000000"/>
                              <w:sz w:val="22"/>
                              <w:szCs w:val="22"/>
                            </w:rPr>
                            <w:t>1,9435</w:t>
                          </w: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1,4419</w:t>
                          </w:r>
                        </w:p>
                        <w:p>
                          <w:pPr>
                            <w:jc w:val="center"/>
                            <w:textAlignment w:val="baseline"/>
                            <w:rPr>
                              <w:szCs w:val="24"/>
                            </w:rPr>
                          </w:pPr>
                          <w:r>
                            <w:rPr>
                              <w:b/>
                              <w:bCs/>
                              <w:color w:val="000000"/>
                              <w:sz w:val="22"/>
                              <w:szCs w:val="22"/>
                            </w:rPr>
                            <w:t>1,5522</w:t>
                          </w:r>
                        </w:p>
                      </w:tc>
                      <w:tc>
                        <w:tcPr>
                          <w:tcW w:w="89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left="-109" w:right="33" w:hanging="1"/>
                            <w:jc w:val="center"/>
                            <w:textAlignment w:val="baseline"/>
                            <w:rPr>
                              <w:szCs w:val="24"/>
                            </w:rPr>
                          </w:pPr>
                          <w:r>
                            <w:rPr>
                              <w:strike/>
                              <w:color w:val="000000"/>
                              <w:sz w:val="22"/>
                              <w:szCs w:val="22"/>
                            </w:rPr>
                            <w:t>1,4800</w:t>
                          </w:r>
                        </w:p>
                        <w:p>
                          <w:pPr>
                            <w:ind w:left="-109" w:right="33" w:hanging="1"/>
                            <w:jc w:val="center"/>
                            <w:textAlignment w:val="baseline"/>
                            <w:rPr>
                              <w:szCs w:val="24"/>
                            </w:rPr>
                          </w:pPr>
                          <w:r>
                            <w:rPr>
                              <w:b/>
                              <w:bCs/>
                              <w:color w:val="000000"/>
                              <w:sz w:val="22"/>
                              <w:szCs w:val="22"/>
                            </w:rPr>
                            <w:t>1,5932</w:t>
                          </w:r>
                        </w:p>
                      </w:tc>
                      <w:tc>
                        <w:tcPr>
                          <w:tcW w:w="103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1,5401</w:t>
                          </w:r>
                        </w:p>
                        <w:p>
                          <w:pPr>
                            <w:jc w:val="center"/>
                            <w:textAlignment w:val="baseline"/>
                            <w:rPr>
                              <w:szCs w:val="24"/>
                            </w:rPr>
                          </w:pPr>
                          <w:r>
                            <w:rPr>
                              <w:b/>
                              <w:bCs/>
                              <w:color w:val="000000"/>
                              <w:sz w:val="22"/>
                              <w:szCs w:val="22"/>
                            </w:rPr>
                            <w:t>1,6579</w:t>
                          </w:r>
                        </w:p>
                      </w:tc>
                    </w:tr>
                    <w:tr>
                      <w:trPr>
                        <w:trHeight w:val="20"/>
                      </w:trPr>
                      <w:tc>
                        <w:tcPr>
                          <w:tcW w:w="116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nuo daugiau kaip 5 iki 10</w:t>
                          </w:r>
                        </w:p>
                      </w:tc>
                      <w:tc>
                        <w:tcPr>
                          <w:tcW w:w="113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1,7760</w:t>
                          </w:r>
                        </w:p>
                        <w:p>
                          <w:pPr>
                            <w:jc w:val="center"/>
                            <w:textAlignment w:val="baseline"/>
                            <w:rPr>
                              <w:szCs w:val="24"/>
                            </w:rPr>
                          </w:pPr>
                          <w:r>
                            <w:rPr>
                              <w:b/>
                              <w:bCs/>
                              <w:color w:val="000000"/>
                              <w:sz w:val="22"/>
                              <w:szCs w:val="22"/>
                            </w:rPr>
                            <w:t>1,9119</w:t>
                          </w:r>
                        </w:p>
                      </w:tc>
                      <w:tc>
                        <w:tcPr>
                          <w:tcW w:w="10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1,8054</w:t>
                          </w:r>
                        </w:p>
                        <w:p>
                          <w:pPr>
                            <w:jc w:val="center"/>
                            <w:textAlignment w:val="baseline"/>
                            <w:rPr>
                              <w:szCs w:val="24"/>
                            </w:rPr>
                          </w:pPr>
                          <w:r>
                            <w:rPr>
                              <w:b/>
                              <w:bCs/>
                              <w:color w:val="000000"/>
                              <w:sz w:val="22"/>
                              <w:szCs w:val="22"/>
                            </w:rPr>
                            <w:t>1,9435</w:t>
                          </w:r>
                        </w:p>
                      </w:tc>
                      <w:tc>
                        <w:tcPr>
                          <w:tcW w:w="94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1,8346</w:t>
                          </w:r>
                        </w:p>
                        <w:p>
                          <w:pPr>
                            <w:jc w:val="center"/>
                            <w:textAlignment w:val="baseline"/>
                            <w:rPr>
                              <w:szCs w:val="24"/>
                            </w:rPr>
                          </w:pPr>
                          <w:r>
                            <w:rPr>
                              <w:b/>
                              <w:bCs/>
                              <w:color w:val="000000"/>
                              <w:sz w:val="22"/>
                              <w:szCs w:val="22"/>
                            </w:rPr>
                            <w:t>1,9749</w:t>
                          </w: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1,4800</w:t>
                          </w:r>
                        </w:p>
                        <w:p>
                          <w:pPr>
                            <w:jc w:val="center"/>
                            <w:textAlignment w:val="baseline"/>
                            <w:rPr>
                              <w:szCs w:val="24"/>
                            </w:rPr>
                          </w:pPr>
                          <w:r>
                            <w:rPr>
                              <w:b/>
                              <w:bCs/>
                              <w:color w:val="000000"/>
                              <w:sz w:val="22"/>
                              <w:szCs w:val="22"/>
                            </w:rPr>
                            <w:t>1,5932</w:t>
                          </w:r>
                        </w:p>
                      </w:tc>
                      <w:tc>
                        <w:tcPr>
                          <w:tcW w:w="89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right="33" w:hanging="109"/>
                            <w:jc w:val="center"/>
                            <w:textAlignment w:val="baseline"/>
                            <w:rPr>
                              <w:szCs w:val="24"/>
                            </w:rPr>
                          </w:pPr>
                          <w:r>
                            <w:rPr>
                              <w:strike/>
                              <w:color w:val="000000"/>
                              <w:sz w:val="22"/>
                              <w:szCs w:val="22"/>
                            </w:rPr>
                            <w:t>1,5401</w:t>
                          </w:r>
                        </w:p>
                        <w:p>
                          <w:pPr>
                            <w:ind w:right="33" w:hanging="109"/>
                            <w:jc w:val="center"/>
                            <w:textAlignment w:val="baseline"/>
                            <w:rPr>
                              <w:szCs w:val="24"/>
                            </w:rPr>
                          </w:pPr>
                          <w:r>
                            <w:rPr>
                              <w:b/>
                              <w:bCs/>
                              <w:color w:val="000000"/>
                              <w:sz w:val="22"/>
                              <w:szCs w:val="22"/>
                            </w:rPr>
                            <w:t>1,6579</w:t>
                          </w:r>
                        </w:p>
                      </w:tc>
                      <w:tc>
                        <w:tcPr>
                          <w:tcW w:w="103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1,5679</w:t>
                          </w:r>
                        </w:p>
                        <w:p>
                          <w:pPr>
                            <w:jc w:val="center"/>
                            <w:textAlignment w:val="baseline"/>
                            <w:rPr>
                              <w:szCs w:val="24"/>
                            </w:rPr>
                          </w:pPr>
                          <w:r>
                            <w:rPr>
                              <w:b/>
                              <w:bCs/>
                              <w:color w:val="000000"/>
                              <w:sz w:val="22"/>
                              <w:szCs w:val="22"/>
                            </w:rPr>
                            <w:t>1,6878</w:t>
                          </w:r>
                        </w:p>
                      </w:tc>
                    </w:tr>
                    <w:tr>
                      <w:trPr>
                        <w:trHeight w:val="20"/>
                      </w:trPr>
                      <w:tc>
                        <w:tcPr>
                          <w:tcW w:w="1160"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color w:val="000000"/>
                              <w:sz w:val="22"/>
                              <w:szCs w:val="22"/>
                            </w:rPr>
                            <w:t>daugiau kaip 10</w:t>
                          </w:r>
                        </w:p>
                      </w:tc>
                      <w:tc>
                        <w:tcPr>
                          <w:tcW w:w="1135"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1,8054</w:t>
                          </w:r>
                        </w:p>
                        <w:p>
                          <w:pPr>
                            <w:jc w:val="center"/>
                            <w:textAlignment w:val="baseline"/>
                            <w:rPr>
                              <w:szCs w:val="24"/>
                            </w:rPr>
                          </w:pPr>
                          <w:r>
                            <w:rPr>
                              <w:b/>
                              <w:bCs/>
                              <w:color w:val="000000"/>
                              <w:sz w:val="22"/>
                              <w:szCs w:val="22"/>
                            </w:rPr>
                            <w:t>1,9435</w:t>
                          </w:r>
                        </w:p>
                      </w:tc>
                      <w:tc>
                        <w:tcPr>
                          <w:tcW w:w="1082"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1,8346</w:t>
                          </w:r>
                        </w:p>
                        <w:p>
                          <w:pPr>
                            <w:jc w:val="center"/>
                            <w:textAlignment w:val="baseline"/>
                            <w:rPr>
                              <w:szCs w:val="24"/>
                            </w:rPr>
                          </w:pPr>
                          <w:r>
                            <w:rPr>
                              <w:b/>
                              <w:bCs/>
                              <w:color w:val="000000"/>
                              <w:sz w:val="22"/>
                              <w:szCs w:val="22"/>
                            </w:rPr>
                            <w:t>1,9749</w:t>
                          </w:r>
                        </w:p>
                      </w:tc>
                      <w:tc>
                        <w:tcPr>
                          <w:tcW w:w="940"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1,8639</w:t>
                          </w:r>
                        </w:p>
                        <w:p>
                          <w:pPr>
                            <w:jc w:val="center"/>
                            <w:textAlignment w:val="baseline"/>
                            <w:rPr>
                              <w:szCs w:val="24"/>
                            </w:rPr>
                          </w:pPr>
                          <w:r>
                            <w:rPr>
                              <w:b/>
                              <w:bCs/>
                              <w:color w:val="000000"/>
                              <w:sz w:val="22"/>
                              <w:szCs w:val="22"/>
                            </w:rPr>
                            <w:t>2,0065</w:t>
                          </w:r>
                        </w:p>
                      </w:tc>
                      <w:tc>
                        <w:tcPr>
                          <w:tcW w:w="95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firstLine="30"/>
                            <w:jc w:val="center"/>
                            <w:textAlignment w:val="baseline"/>
                            <w:rPr>
                              <w:szCs w:val="24"/>
                            </w:rPr>
                          </w:pPr>
                          <w:r>
                            <w:rPr>
                              <w:strike/>
                              <w:color w:val="000000"/>
                              <w:sz w:val="22"/>
                              <w:szCs w:val="22"/>
                            </w:rPr>
                            <w:t>1,5401</w:t>
                          </w:r>
                        </w:p>
                        <w:p>
                          <w:pPr>
                            <w:ind w:firstLine="30"/>
                            <w:jc w:val="center"/>
                            <w:textAlignment w:val="baseline"/>
                            <w:rPr>
                              <w:szCs w:val="24"/>
                            </w:rPr>
                          </w:pPr>
                          <w:r>
                            <w:rPr>
                              <w:b/>
                              <w:bCs/>
                              <w:color w:val="000000"/>
                              <w:sz w:val="22"/>
                              <w:szCs w:val="22"/>
                            </w:rPr>
                            <w:t>1,6579</w:t>
                          </w:r>
                        </w:p>
                      </w:tc>
                      <w:tc>
                        <w:tcPr>
                          <w:tcW w:w="896"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hanging="109"/>
                            <w:jc w:val="center"/>
                            <w:textAlignment w:val="baseline"/>
                            <w:rPr>
                              <w:szCs w:val="24"/>
                            </w:rPr>
                          </w:pPr>
                          <w:r>
                            <w:rPr>
                              <w:strike/>
                              <w:color w:val="000000"/>
                              <w:sz w:val="22"/>
                              <w:szCs w:val="22"/>
                            </w:rPr>
                            <w:t>1,5679</w:t>
                          </w:r>
                        </w:p>
                        <w:p>
                          <w:pPr>
                            <w:ind w:hanging="109"/>
                            <w:jc w:val="center"/>
                            <w:textAlignment w:val="baseline"/>
                            <w:rPr>
                              <w:szCs w:val="24"/>
                            </w:rPr>
                          </w:pPr>
                          <w:r>
                            <w:rPr>
                              <w:b/>
                              <w:bCs/>
                              <w:color w:val="000000"/>
                              <w:sz w:val="22"/>
                              <w:szCs w:val="22"/>
                            </w:rPr>
                            <w:t>1,6878</w:t>
                          </w:r>
                        </w:p>
                      </w:tc>
                      <w:tc>
                        <w:tcPr>
                          <w:tcW w:w="103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jc w:val="center"/>
                            <w:textAlignment w:val="baseline"/>
                            <w:rPr>
                              <w:szCs w:val="24"/>
                            </w:rPr>
                          </w:pPr>
                          <w:r>
                            <w:rPr>
                              <w:strike/>
                              <w:color w:val="000000"/>
                              <w:sz w:val="22"/>
                              <w:szCs w:val="22"/>
                            </w:rPr>
                            <w:t>1,5971</w:t>
                          </w:r>
                        </w:p>
                        <w:p>
                          <w:pPr>
                            <w:jc w:val="center"/>
                            <w:textAlignment w:val="baseline"/>
                            <w:rPr>
                              <w:szCs w:val="24"/>
                            </w:rPr>
                          </w:pPr>
                          <w:r>
                            <w:rPr>
                              <w:b/>
                              <w:bCs/>
                              <w:color w:val="000000"/>
                              <w:sz w:val="22"/>
                              <w:szCs w:val="22"/>
                            </w:rPr>
                            <w:t>1,7193</w:t>
                          </w:r>
                          <w:r>
                            <w:rPr>
                              <w:color w:val="000000"/>
                              <w:sz w:val="22"/>
                              <w:szCs w:val="22"/>
                            </w:rPr>
                            <w:t>“.</w:t>
                          </w:r>
                        </w:p>
                      </w:tc>
                    </w:tr>
                  </w:tbl>
                  <w:p>
                    <w:pPr>
                      <w:ind w:firstLine="57"/>
                      <w:jc w:val="both"/>
                      <w:rPr>
                        <w:color w:val="000000"/>
                        <w:sz w:val="27"/>
                        <w:szCs w:val="27"/>
                      </w:rPr>
                    </w:pPr>
                  </w:p>
                </w:tc>
                <w:tc>
                  <w:tcPr>
                    <w:tcW w:w="992" w:type="dxa"/>
                  </w:tcPr>
                  <w:p>
                    <w:pPr>
                      <w:jc w:val="both"/>
                      <w:rPr>
                        <w:bCs/>
                        <w:sz w:val="22"/>
                        <w:szCs w:val="22"/>
                      </w:rPr>
                    </w:pPr>
                    <w:r>
                      <w:rPr>
                        <w:bCs/>
                        <w:sz w:val="22"/>
                        <w:szCs w:val="22"/>
                      </w:rPr>
                      <w:t>Pritarti iš dalies.</w:t>
                    </w:r>
                  </w:p>
                </w:tc>
                <w:tc>
                  <w:tcPr>
                    <w:tcW w:w="1701" w:type="dxa"/>
                  </w:tcPr>
                  <w:p>
                    <w:pPr>
                      <w:jc w:val="both"/>
                      <w:rPr>
                        <w:bCs/>
                        <w:sz w:val="22"/>
                        <w:szCs w:val="22"/>
                      </w:rPr>
                    </w:pPr>
                    <w:r>
                      <w:rPr>
                        <w:bCs/>
                        <w:sz w:val="22"/>
                        <w:szCs w:val="22"/>
                      </w:rPr>
                      <w:t xml:space="preserve">Komitetas siūlo pritarti Seimo narės J.Šukevičienės 2025-11-24 pasiūlymui </w:t>
                    </w:r>
                    <w:r>
                      <w:rPr>
                        <w:b/>
                        <w:bCs/>
                        <w:sz w:val="22"/>
                        <w:szCs w:val="22"/>
                      </w:rPr>
                      <w:t>pilna apimtimi</w:t>
                    </w:r>
                    <w:r>
                      <w:rPr>
                        <w:bCs/>
                        <w:sz w:val="22"/>
                        <w:szCs w:val="22"/>
                      </w:rPr>
                      <w:t xml:space="preserve"> (kam pritaria ir LR Vyriausybė savo išvadoje) o R.Morkūnaitės-Milulėnienės; L.Kazlavicko</w:t>
                    </w:r>
                  </w:p>
                  <w:p>
                    <w:pPr>
                      <w:jc w:val="both"/>
                      <w:rPr>
                        <w:color w:val="000000"/>
                        <w:sz w:val="22"/>
                        <w:szCs w:val="22"/>
                      </w:rPr>
                    </w:pPr>
                    <w:r>
                      <w:rPr>
                        <w:szCs w:val="24"/>
                      </w:rPr>
                      <w:t xml:space="preserve">pasiūlymui- pritarti iš dalies, kadangi </w:t>
                    </w:r>
                    <w:r>
                      <w:rPr>
                        <w:color w:val="000000"/>
                        <w:sz w:val="22"/>
                        <w:szCs w:val="22"/>
                      </w:rPr>
                      <w:t>jame neatsižvelgta į Įstatymo projekto aiškinamajame rašte nurodytą siekį nustatyti baigtinį veiklų, priskiriamų netiesioginiam darbui su mokiniais, sąrašą ikimokyklinio ir priešmokyklinio ugdymo mokytojams, kuriems netiesioginiam darbui su mokiniais skiriamos tik 6 valandos per savaitę (iš 36 valandų per savaitę).</w:t>
                    </w:r>
                  </w:p>
                  <w:p>
                    <w:pPr>
                      <w:ind w:firstLine="227"/>
                      <w:jc w:val="both"/>
                      <w:rPr>
                        <w:bCs/>
                        <w:sz w:val="22"/>
                        <w:szCs w:val="22"/>
                      </w:rPr>
                    </w:pPr>
                  </w:p>
                </w:tc>
              </w:tr>
              <w:tr>
                <w:trPr>
                  <w:jc w:val="center"/>
                </w:trPr>
                <w:tc>
                  <w:tcPr>
                    <w:tcW w:w="570" w:type="dxa"/>
                  </w:tcPr>
                  <w:p>
                    <w:pPr>
                      <w:jc w:val="center"/>
                      <w:rPr>
                        <w:bCs/>
                        <w:sz w:val="22"/>
                        <w:szCs w:val="22"/>
                      </w:rPr>
                    </w:pPr>
                    <w:r>
                      <w:rPr>
                        <w:bCs/>
                        <w:sz w:val="22"/>
                        <w:szCs w:val="22"/>
                      </w:rPr>
                      <w:t>2.</w:t>
                    </w:r>
                  </w:p>
                </w:tc>
                <w:tc>
                  <w:tcPr>
                    <w:tcW w:w="1835" w:type="dxa"/>
                  </w:tcPr>
                  <w:p>
                    <w:pPr>
                      <w:jc w:val="both"/>
                      <w:rPr>
                        <w:bCs/>
                        <w:sz w:val="22"/>
                        <w:szCs w:val="22"/>
                      </w:rPr>
                    </w:pPr>
                    <w:r>
                      <w:rPr>
                        <w:bCs/>
                        <w:sz w:val="22"/>
                        <w:szCs w:val="22"/>
                      </w:rPr>
                      <w:t>Seimo narė J.Šukevičienė</w:t>
                    </w:r>
                  </w:p>
                  <w:p>
                    <w:pPr>
                      <w:jc w:val="both"/>
                      <w:rPr>
                        <w:bCs/>
                        <w:sz w:val="22"/>
                        <w:szCs w:val="22"/>
                      </w:rPr>
                    </w:pPr>
                    <w:r>
                      <w:rPr>
                        <w:bCs/>
                        <w:sz w:val="22"/>
                        <w:szCs w:val="22"/>
                      </w:rPr>
                      <w:t>2025-11-24</w:t>
                    </w:r>
                  </w:p>
                </w:tc>
                <w:tc>
                  <w:tcPr>
                    <w:tcW w:w="567" w:type="dxa"/>
                  </w:tcPr>
                  <w:p>
                    <w:pPr>
                      <w:jc w:val="center"/>
                      <w:rPr>
                        <w:b/>
                        <w:bCs/>
                        <w:sz w:val="22"/>
                        <w:szCs w:val="22"/>
                        <w:lang w:eastAsia="lt-LT"/>
                      </w:rPr>
                    </w:pPr>
                    <w:r>
                      <w:rPr>
                        <w:b/>
                        <w:bCs/>
                        <w:sz w:val="22"/>
                        <w:szCs w:val="22"/>
                        <w:lang w:eastAsia="lt-LT"/>
                      </w:rPr>
                      <w:t>7</w:t>
                    </w:r>
                  </w:p>
                </w:tc>
                <w:tc>
                  <w:tcPr>
                    <w:tcW w:w="851" w:type="dxa"/>
                  </w:tcPr>
                  <w:p>
                    <w:pPr>
                      <w:rPr>
                        <w:sz w:val="22"/>
                        <w:szCs w:val="22"/>
                        <w:lang w:eastAsia="lt-LT"/>
                      </w:rPr>
                    </w:pPr>
                  </w:p>
                </w:tc>
                <w:tc>
                  <w:tcPr>
                    <w:tcW w:w="425" w:type="dxa"/>
                  </w:tcPr>
                  <w:p>
                    <w:pPr>
                      <w:jc w:val="center"/>
                      <w:rPr>
                        <w:b/>
                        <w:bCs/>
                        <w:sz w:val="22"/>
                        <w:szCs w:val="22"/>
                      </w:rPr>
                    </w:pPr>
                  </w:p>
                </w:tc>
                <w:tc>
                  <w:tcPr>
                    <w:tcW w:w="8930" w:type="dxa"/>
                  </w:tcPr>
                  <w:p>
                    <w:pPr>
                      <w:ind w:firstLine="740"/>
                      <w:jc w:val="both"/>
                      <w:rPr>
                        <w:b/>
                        <w:bCs/>
                        <w:szCs w:val="24"/>
                        <w:lang w:eastAsia="lt-LT"/>
                      </w:rPr>
                    </w:pPr>
                    <w:r>
                      <w:rPr>
                        <w:b/>
                        <w:bCs/>
                        <w:szCs w:val="24"/>
                        <w:lang w:eastAsia="lt-LT"/>
                      </w:rPr>
                      <w:t>Argumentai:</w:t>
                    </w:r>
                  </w:p>
                  <w:p>
                    <w:pPr>
                      <w:ind w:firstLine="740"/>
                      <w:jc w:val="both"/>
                      <w:rPr>
                        <w:szCs w:val="24"/>
                        <w:lang w:eastAsia="lt-LT"/>
                      </w:rPr>
                    </w:pPr>
                    <w:r>
                      <w:rPr>
                        <w:szCs w:val="24"/>
                        <w:lang w:eastAsia="lt-LT"/>
                      </w:rPr>
                      <w:t>Siekiant įgyvendinti Lietuvos švietimo ir mokslo šakos kolektyvines sutartis, taip pat atsižvelgiant į su profesinėmis sąjungomis pasiektą susitarimą mokytojų, pagalbos mokiniui specialistų, švietimo įstaigų vadovaujančių darbuotojų darbo užmokestį didinti nuo 2026 m. sausio 1 d. iš viso 8,41 procento (0,71 procento – pareiginės algos (atlyginimo) bazinį dydį, o 7,65 procento – pareiginės algos koeficientus), būtina patikslinti Įstatymo projekto nuostatas, kad jos atlieptų pasiektą susitarimą dėl darbo užmokesčio didinimo.</w:t>
                    </w:r>
                  </w:p>
                  <w:p>
                    <w:pPr>
                      <w:rPr>
                        <w:sz w:val="10"/>
                        <w:szCs w:val="10"/>
                      </w:rPr>
                    </w:pPr>
                  </w:p>
                  <w:p>
                    <w:pPr>
                      <w:ind w:firstLine="740"/>
                      <w:jc w:val="both"/>
                      <w:rPr>
                        <w:b/>
                        <w:bCs/>
                        <w:szCs w:val="24"/>
                        <w:lang w:eastAsia="lt-LT"/>
                      </w:rPr>
                    </w:pPr>
                    <w:r>
                      <w:rPr>
                        <w:b/>
                        <w:bCs/>
                        <w:szCs w:val="24"/>
                        <w:lang w:eastAsia="lt-LT"/>
                      </w:rPr>
                      <w:t>Pasiūlymas:</w:t>
                    </w:r>
                  </w:p>
                  <w:p>
                    <w:pPr>
                      <w:ind w:firstLine="740"/>
                      <w:jc w:val="both"/>
                      <w:rPr>
                        <w:szCs w:val="24"/>
                        <w:lang w:eastAsia="lt-LT"/>
                      </w:rPr>
                    </w:pPr>
                    <w:r>
                      <w:rPr>
                        <w:szCs w:val="24"/>
                        <w:lang w:eastAsia="lt-LT"/>
                      </w:rPr>
                      <w:t>Nuo 2026 m. sausio 1 d. padidinti Įstatymo projekte nurodytus pedagoginių darbuotojų pareiginės algos koeficientus 7,65 procento, atitinkamai pakeisti Įstatymo projekto 7 straipsnį ir jį išdėstyti taip:</w:t>
                    </w:r>
                  </w:p>
                  <w:p>
                    <w:pPr>
                      <w:widowControl w:val="0"/>
                      <w:ind w:firstLine="740"/>
                      <w:jc w:val="both"/>
                      <w:rPr>
                        <w:bCs/>
                        <w:szCs w:val="24"/>
                      </w:rPr>
                    </w:pPr>
                    <w:r>
                      <w:rPr>
                        <w:bCs/>
                        <w:szCs w:val="24"/>
                      </w:rPr>
                      <w:t>„</w:t>
                    </w:r>
                    <w:r>
                      <w:rPr>
                        <w:b/>
                        <w:szCs w:val="24"/>
                      </w:rPr>
                      <w:t>7 straipsnis. Įstatymo 2 priedo pakeitimas</w:t>
                    </w:r>
                  </w:p>
                  <w:p>
                    <w:pPr>
                      <w:widowControl w:val="0"/>
                      <w:ind w:firstLine="740"/>
                      <w:jc w:val="both"/>
                      <w:rPr>
                        <w:bCs/>
                        <w:szCs w:val="24"/>
                      </w:rPr>
                    </w:pPr>
                    <w:r>
                      <w:rPr>
                        <w:bCs/>
                        <w:szCs w:val="24"/>
                      </w:rPr>
                      <w:t>1. Pakeisti Įstatymo 2 priedo 1 punktą ir jį išdėstyti taip:</w:t>
                    </w:r>
                  </w:p>
                  <w:p>
                    <w:pPr>
                      <w:widowControl w:val="0"/>
                      <w:ind w:firstLine="740"/>
                      <w:jc w:val="both"/>
                      <w:rPr>
                        <w:bCs/>
                        <w:szCs w:val="24"/>
                      </w:rPr>
                    </w:pPr>
                    <w:r>
                      <w:rPr>
                        <w:bCs/>
                        <w:szCs w:val="24"/>
                      </w:rPr>
                      <w:t>„1. Šiame skyriuje nurodytų darbuotojų pareiginės algos koeficientai:</w:t>
                    </w:r>
                  </w:p>
                  <w:p>
                    <w:pPr>
                      <w:jc w:val="center"/>
                      <w:rPr>
                        <w:szCs w:val="24"/>
                        <w:lang w:eastAsia="lt-LT"/>
                      </w:rPr>
                    </w:pPr>
                    <w:r>
                      <w:rPr>
                        <w:szCs w:val="24"/>
                        <w:lang w:val="en-US"/>
                      </w:rPr>
                      <w:drawing>
                        <wp:inline distT="0" distB="0" distL="0" distR="0" wp14:anchorId="44609F3A" wp14:editId="49C94704">
                          <wp:extent cx="4542155" cy="2660015"/>
                          <wp:effectExtent l="0" t="0" r="0" b="0"/>
                          <wp:docPr id="1604747900"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42155" cy="2660015"/>
                                  </a:xfrm>
                                  <a:prstGeom prst="rect">
                                    <a:avLst/>
                                  </a:prstGeom>
                                  <a:noFill/>
                                  <a:ln>
                                    <a:noFill/>
                                  </a:ln>
                                </pic:spPr>
                              </pic:pic>
                            </a:graphicData>
                          </a:graphic>
                        </wp:inline>
                      </w:drawing>
                    </w:r>
                  </w:p>
                  <w:p>
                    <w:pPr>
                      <w:widowControl w:val="0"/>
                      <w:ind w:firstLine="720"/>
                      <w:jc w:val="both"/>
                      <w:rPr>
                        <w:bCs/>
                        <w:szCs w:val="24"/>
                      </w:rPr>
                    </w:pPr>
                    <w:r>
                      <w:rPr>
                        <w:szCs w:val="24"/>
                      </w:rPr>
                      <w:t xml:space="preserve">2. Pakeisti </w:t>
                    </w:r>
                    <w:r>
                      <w:rPr>
                        <w:bCs/>
                        <w:szCs w:val="24"/>
                      </w:rPr>
                      <w:t>Įstatymo 2 priedo 12 punktą ir jį išdėstyti taip:</w:t>
                    </w:r>
                  </w:p>
                  <w:p>
                    <w:pPr>
                      <w:widowControl w:val="0"/>
                      <w:ind w:firstLine="720"/>
                      <w:jc w:val="both"/>
                      <w:rPr>
                        <w:szCs w:val="24"/>
                      </w:rPr>
                    </w:pPr>
                    <w:r>
                      <w:rPr>
                        <w:szCs w:val="24"/>
                      </w:rPr>
                      <w:t>„12. Šiame skyriuje nurodytų darbuotojų pareiginės algos koeficientai:</w:t>
                    </w:r>
                  </w:p>
                  <w:p>
                    <w:pPr>
                      <w:rPr>
                        <w:sz w:val="10"/>
                        <w:szCs w:val="10"/>
                      </w:rPr>
                    </w:pPr>
                  </w:p>
                  <w:p>
                    <w:pPr>
                      <w:jc w:val="center"/>
                      <w:rPr>
                        <w:szCs w:val="24"/>
                      </w:rPr>
                    </w:pPr>
                    <w:r>
                      <w:rPr>
                        <w:szCs w:val="24"/>
                        <w:lang w:val="en-US"/>
                      </w:rPr>
                      <w:drawing>
                        <wp:inline distT="0" distB="0" distL="0" distR="0" wp14:anchorId="49B64137" wp14:editId="6FF0AFDF">
                          <wp:extent cx="4542155" cy="2660015"/>
                          <wp:effectExtent l="0" t="0" r="0" b="0"/>
                          <wp:docPr id="1195266790"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42155" cy="2660015"/>
                                  </a:xfrm>
                                  <a:prstGeom prst="rect">
                                    <a:avLst/>
                                  </a:prstGeom>
                                  <a:noFill/>
                                  <a:ln>
                                    <a:noFill/>
                                  </a:ln>
                                </pic:spPr>
                              </pic:pic>
                            </a:graphicData>
                          </a:graphic>
                        </wp:inline>
                      </w:drawing>
                    </w:r>
                  </w:p>
                  <w:p>
                    <w:pPr>
                      <w:widowControl w:val="0"/>
                      <w:ind w:firstLine="720"/>
                      <w:jc w:val="both"/>
                      <w:rPr>
                        <w:bCs/>
                        <w:szCs w:val="24"/>
                      </w:rPr>
                    </w:pPr>
                    <w:r>
                      <w:rPr>
                        <w:szCs w:val="24"/>
                      </w:rPr>
                      <w:t xml:space="preserve">3. Pakeisti </w:t>
                    </w:r>
                    <w:r>
                      <w:rPr>
                        <w:bCs/>
                        <w:szCs w:val="24"/>
                      </w:rPr>
                      <w:t>Įstatymo 2 priedo 15 punktą ir jį išdėstyti taip:</w:t>
                    </w:r>
                  </w:p>
                  <w:p>
                    <w:pPr>
                      <w:ind w:firstLine="720"/>
                      <w:jc w:val="both"/>
                      <w:rPr>
                        <w:szCs w:val="24"/>
                      </w:rPr>
                    </w:pPr>
                    <w:r>
                      <w:rPr>
                        <w:szCs w:val="24"/>
                      </w:rPr>
                      <w:t>„15. Mokytojų, dirbančių pagal ikimokyklinio ugdymo programą, išskyrus mokytojus, nurodytus šio priedo 16 punkte, darbo laikas per savaitę yra 36 valandos, iš jų 30 valandų skiriama tiesioginiam darbui su mokiniais, 6 valandos – netiesioginiam darbui su mokiniais (ugdomosioms veikloms planuoti ir joms pasirengti, dokumentams, susijusiems su ugdymu, rengti, bendradarbiauti su mokytojais, kitais ugdymo procese dalyvaujančiais asmenimis, tėvais (globėjais) ugdymo ir (ar) švietimo pagalbos klausimais, dalyvauti su mokyklos veiklos organizavimu susijusiose veiklose).“</w:t>
                    </w:r>
                  </w:p>
                  <w:p>
                    <w:pPr>
                      <w:widowControl w:val="0"/>
                      <w:ind w:firstLine="720"/>
                      <w:jc w:val="both"/>
                      <w:rPr>
                        <w:szCs w:val="24"/>
                        <w:lang w:eastAsia="lt-LT"/>
                      </w:rPr>
                    </w:pPr>
                    <w:r>
                      <w:rPr>
                        <w:szCs w:val="24"/>
                      </w:rPr>
                      <w:t>4. Pakeisti Įstatymo 2 priedo 18 punktą ir jį išdėstyti taip:</w:t>
                    </w:r>
                  </w:p>
                  <w:p>
                    <w:pPr>
                      <w:jc w:val="both"/>
                      <w:rPr>
                        <w:szCs w:val="24"/>
                      </w:rPr>
                    </w:pPr>
                    <w:r>
                      <w:rPr>
                        <w:szCs w:val="24"/>
                      </w:rPr>
                      <w:t>„18. Šiame skyriuje nurodytų darbuotojų pareiginės algos koeficientai:</w:t>
                    </w:r>
                  </w:p>
                  <w:p>
                    <w:pPr>
                      <w:jc w:val="center"/>
                      <w:rPr>
                        <w:szCs w:val="24"/>
                      </w:rPr>
                    </w:pPr>
                    <w:r>
                      <w:rPr>
                        <w:szCs w:val="24"/>
                        <w:lang w:val="en-US"/>
                      </w:rPr>
                      <w:drawing>
                        <wp:inline distT="0" distB="0" distL="0" distR="0" wp14:anchorId="7F97F67E" wp14:editId="03D842FA">
                          <wp:extent cx="4542155" cy="2660015"/>
                          <wp:effectExtent l="0" t="0" r="0" b="0"/>
                          <wp:docPr id="1622502022"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42155" cy="2660015"/>
                                  </a:xfrm>
                                  <a:prstGeom prst="rect">
                                    <a:avLst/>
                                  </a:prstGeom>
                                  <a:noFill/>
                                  <a:ln>
                                    <a:noFill/>
                                  </a:ln>
                                </pic:spPr>
                              </pic:pic>
                            </a:graphicData>
                          </a:graphic>
                        </wp:inline>
                      </w:drawing>
                    </w:r>
                  </w:p>
                  <w:p>
                    <w:pPr>
                      <w:widowControl w:val="0"/>
                      <w:ind w:firstLine="720"/>
                      <w:jc w:val="both"/>
                      <w:rPr>
                        <w:bCs/>
                        <w:szCs w:val="24"/>
                      </w:rPr>
                    </w:pPr>
                    <w:r>
                      <w:rPr>
                        <w:szCs w:val="24"/>
                      </w:rPr>
                      <w:t xml:space="preserve">5. Pakeisti </w:t>
                    </w:r>
                    <w:r>
                      <w:rPr>
                        <w:bCs/>
                        <w:szCs w:val="24"/>
                      </w:rPr>
                      <w:t>Įstatymo 2 priedo 21 punktą ir jį išdėstyti taip:</w:t>
                    </w:r>
                  </w:p>
                  <w:p>
                    <w:pPr>
                      <w:widowControl w:val="0"/>
                      <w:ind w:firstLine="720"/>
                      <w:jc w:val="both"/>
                      <w:rPr>
                        <w:szCs w:val="24"/>
                      </w:rPr>
                    </w:pPr>
                    <w:r>
                      <w:rPr>
                        <w:szCs w:val="24"/>
                        <w:lang w:eastAsia="lt-LT"/>
                      </w:rPr>
                      <w:t>„21. Mokytojų, dirbančių pagal priešmokyklinio ugdymo programą, išskyrus mokytojus, nurodytus šio priedo 22 punkte, darbo laikas per savaitę yra 36 valandos, iš jų 30 valandų skiriama tiesioginiam darbui su mokiniais, 6 valandos – netiesioginiam darbui su mokiniais (</w:t>
                    </w:r>
                    <w:r>
                      <w:rPr>
                        <w:szCs w:val="24"/>
                      </w:rPr>
                      <w:t>ugdomosioms veikloms planuoti ir joms pasirengti, dokumentams, susijusiems su ugdymu, rengti, bendradarbiauti su mokytojais, kitais ugdymo procese dalyvaujančiais asmenimis, tėvais (globėjais) ugdymo ir (ar) švietimo pagalbos klausimais, dalyvauti su mokyklos veiklos organizavimu susijusiose veiklose</w:t>
                    </w:r>
                    <w:r>
                      <w:rPr>
                        <w:szCs w:val="24"/>
                        <w:lang w:eastAsia="lt-LT"/>
                      </w:rPr>
                      <w:t>).</w:t>
                    </w:r>
                    <w:r>
                      <w:rPr>
                        <w:szCs w:val="24"/>
                      </w:rPr>
                      <w:t>“</w:t>
                    </w:r>
                  </w:p>
                  <w:p>
                    <w:pPr>
                      <w:widowControl w:val="0"/>
                      <w:ind w:firstLine="720"/>
                      <w:jc w:val="both"/>
                      <w:rPr>
                        <w:szCs w:val="24"/>
                        <w:lang w:eastAsia="lt-LT"/>
                      </w:rPr>
                    </w:pPr>
                    <w:r>
                      <w:rPr>
                        <w:szCs w:val="24"/>
                      </w:rPr>
                      <w:t>6. Pakeisti Įstatymo 2 priedo 23 punktą ir jį išdėstyti taip:</w:t>
                    </w:r>
                  </w:p>
                  <w:p>
                    <w:pPr>
                      <w:widowControl w:val="0"/>
                      <w:ind w:firstLine="720"/>
                      <w:jc w:val="both"/>
                      <w:rPr>
                        <w:szCs w:val="24"/>
                        <w:lang w:eastAsia="lt-LT"/>
                      </w:rPr>
                    </w:pPr>
                    <w:r>
                      <w:rPr>
                        <w:szCs w:val="24"/>
                        <w:lang w:eastAsia="lt-LT"/>
                      </w:rPr>
                      <w:t>„23. Šiame skyriuje nurodytų darbuotojų pareiginės algos koeficientai:</w:t>
                    </w:r>
                  </w:p>
                  <w:p>
                    <w:pPr>
                      <w:jc w:val="center"/>
                      <w:rPr>
                        <w:szCs w:val="24"/>
                      </w:rPr>
                    </w:pPr>
                    <w:r>
                      <w:rPr>
                        <w:szCs w:val="24"/>
                        <w:lang w:val="en-US"/>
                      </w:rPr>
                      <w:drawing>
                        <wp:inline distT="0" distB="0" distL="0" distR="0" wp14:anchorId="1A8E2666" wp14:editId="5A63C5A9">
                          <wp:extent cx="4542155" cy="4471035"/>
                          <wp:effectExtent l="0" t="0" r="0" b="0"/>
                          <wp:docPr id="134270754"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42155" cy="4471035"/>
                                  </a:xfrm>
                                  <a:prstGeom prst="rect">
                                    <a:avLst/>
                                  </a:prstGeom>
                                  <a:noFill/>
                                  <a:ln>
                                    <a:noFill/>
                                  </a:ln>
                                </pic:spPr>
                              </pic:pic>
                            </a:graphicData>
                          </a:graphic>
                        </wp:inline>
                      </w:drawing>
                    </w:r>
                  </w:p>
                  <w:p>
                    <w:pPr>
                      <w:jc w:val="center"/>
                      <w:rPr>
                        <w:szCs w:val="24"/>
                      </w:rPr>
                    </w:pPr>
                    <w:r>
                      <w:rPr>
                        <w:szCs w:val="24"/>
                        <w:lang w:val="en-US"/>
                      </w:rPr>
                      <w:drawing>
                        <wp:inline distT="0" distB="0" distL="0" distR="0" wp14:anchorId="40A2BD7C" wp14:editId="3E4C16C3">
                          <wp:extent cx="4542155" cy="2487930"/>
                          <wp:effectExtent l="0" t="0" r="0" b="0"/>
                          <wp:docPr id="617291954"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542155" cy="2487930"/>
                                  </a:xfrm>
                                  <a:prstGeom prst="rect">
                                    <a:avLst/>
                                  </a:prstGeom>
                                  <a:noFill/>
                                  <a:ln>
                                    <a:noFill/>
                                  </a:ln>
                                </pic:spPr>
                              </pic:pic>
                            </a:graphicData>
                          </a:graphic>
                        </wp:inline>
                      </w:drawing>
                    </w:r>
                  </w:p>
                  <w:p>
                    <w:pPr>
                      <w:widowControl w:val="0"/>
                      <w:ind w:firstLine="720"/>
                      <w:jc w:val="both"/>
                      <w:rPr>
                        <w:szCs w:val="24"/>
                        <w:lang w:eastAsia="lt-LT"/>
                      </w:rPr>
                    </w:pPr>
                    <w:r>
                      <w:rPr>
                        <w:szCs w:val="24"/>
                      </w:rPr>
                      <w:t>7. Pakeisti Įstatymo 2 priedo 28 punktą ir jį išdėstyti taip:</w:t>
                    </w:r>
                  </w:p>
                  <w:p>
                    <w:pPr>
                      <w:widowControl w:val="0"/>
                      <w:ind w:firstLine="720"/>
                      <w:jc w:val="both"/>
                      <w:rPr>
                        <w:szCs w:val="24"/>
                        <w:lang w:eastAsia="lt-LT"/>
                      </w:rPr>
                    </w:pPr>
                    <w:r>
                      <w:rPr>
                        <w:szCs w:val="24"/>
                        <w:lang w:eastAsia="lt-LT"/>
                      </w:rPr>
                      <w:t>„28. Šiame skyriuje nurodytų darbuotojų pareiginės algos koeficientai:</w:t>
                    </w:r>
                  </w:p>
                  <w:p>
                    <w:pPr>
                      <w:jc w:val="center"/>
                      <w:rPr>
                        <w:szCs w:val="24"/>
                      </w:rPr>
                    </w:pPr>
                    <w:r>
                      <w:rPr>
                        <w:szCs w:val="24"/>
                        <w:lang w:val="en-US"/>
                      </w:rPr>
                      <w:drawing>
                        <wp:inline distT="0" distB="0" distL="0" distR="0" wp14:anchorId="08121315" wp14:editId="3872B0BF">
                          <wp:extent cx="4542155" cy="3817620"/>
                          <wp:effectExtent l="0" t="0" r="0" b="0"/>
                          <wp:docPr id="1609379663" name="Paveikslėlis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42155" cy="3817620"/>
                                  </a:xfrm>
                                  <a:prstGeom prst="rect">
                                    <a:avLst/>
                                  </a:prstGeom>
                                  <a:noFill/>
                                  <a:ln>
                                    <a:noFill/>
                                  </a:ln>
                                </pic:spPr>
                              </pic:pic>
                            </a:graphicData>
                          </a:graphic>
                        </wp:inline>
                      </w:drawing>
                    </w:r>
                  </w:p>
                  <w:p>
                    <w:pPr>
                      <w:jc w:val="center"/>
                      <w:rPr>
                        <w:szCs w:val="24"/>
                      </w:rPr>
                    </w:pPr>
                    <w:r>
                      <w:rPr>
                        <w:szCs w:val="24"/>
                        <w:lang w:val="en-US"/>
                      </w:rPr>
                      <w:drawing>
                        <wp:inline distT="0" distB="0" distL="0" distR="0" wp14:anchorId="22F357FF" wp14:editId="6C83857C">
                          <wp:extent cx="4542155" cy="3841750"/>
                          <wp:effectExtent l="0" t="0" r="0" b="0"/>
                          <wp:docPr id="801201496" name="Paveikslėlis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542155" cy="3841750"/>
                                  </a:xfrm>
                                  <a:prstGeom prst="rect">
                                    <a:avLst/>
                                  </a:prstGeom>
                                  <a:noFill/>
                                  <a:ln>
                                    <a:noFill/>
                                  </a:ln>
                                </pic:spPr>
                              </pic:pic>
                            </a:graphicData>
                          </a:graphic>
                        </wp:inline>
                      </w:drawing>
                    </w:r>
                  </w:p>
                  <w:p>
                    <w:pPr>
                      <w:jc w:val="center"/>
                      <w:rPr>
                        <w:szCs w:val="24"/>
                      </w:rPr>
                    </w:pPr>
                    <w:r>
                      <w:rPr>
                        <w:szCs w:val="24"/>
                        <w:lang w:val="en-US"/>
                      </w:rPr>
                      <w:drawing>
                        <wp:inline distT="0" distB="0" distL="0" distR="0" wp14:anchorId="0CA4DA90" wp14:editId="2B618B2C">
                          <wp:extent cx="4542155" cy="1959610"/>
                          <wp:effectExtent l="0" t="0" r="0" b="0"/>
                          <wp:docPr id="388745394"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42155" cy="1959610"/>
                                  </a:xfrm>
                                  <a:prstGeom prst="rect">
                                    <a:avLst/>
                                  </a:prstGeom>
                                  <a:noFill/>
                                  <a:ln>
                                    <a:noFill/>
                                  </a:ln>
                                </pic:spPr>
                              </pic:pic>
                            </a:graphicData>
                          </a:graphic>
                        </wp:inline>
                      </w:drawing>
                    </w:r>
                  </w:p>
                  <w:p>
                    <w:pPr>
                      <w:widowControl w:val="0"/>
                      <w:ind w:firstLine="720"/>
                      <w:jc w:val="both"/>
                      <w:rPr>
                        <w:szCs w:val="24"/>
                        <w:lang w:eastAsia="lt-LT"/>
                      </w:rPr>
                    </w:pPr>
                    <w:r>
                      <w:rPr>
                        <w:szCs w:val="24"/>
                      </w:rPr>
                      <w:t>8. Pakeisti Įstatymo 2 priedo 32 punktą ir jį išdėstyti taip:</w:t>
                    </w:r>
                  </w:p>
                  <w:p>
                    <w:pPr>
                      <w:widowControl w:val="0"/>
                      <w:ind w:firstLine="720"/>
                      <w:jc w:val="both"/>
                      <w:rPr>
                        <w:szCs w:val="24"/>
                        <w:lang w:eastAsia="lt-LT"/>
                      </w:rPr>
                    </w:pPr>
                    <w:r>
                      <w:rPr>
                        <w:szCs w:val="24"/>
                        <w:lang w:eastAsia="lt-LT"/>
                      </w:rPr>
                      <w:t>„32. Šiame skyriuje nurodytų darbuotojų pareiginės algos koeficientai:</w:t>
                    </w:r>
                  </w:p>
                  <w:p>
                    <w:pPr>
                      <w:rPr>
                        <w:sz w:val="10"/>
                        <w:szCs w:val="10"/>
                      </w:rPr>
                    </w:pPr>
                  </w:p>
                  <w:p>
                    <w:pPr>
                      <w:jc w:val="center"/>
                      <w:rPr>
                        <w:szCs w:val="24"/>
                      </w:rPr>
                    </w:pPr>
                    <w:r>
                      <w:rPr>
                        <w:szCs w:val="24"/>
                        <w:lang w:val="en-US"/>
                      </w:rPr>
                      <w:drawing>
                        <wp:inline distT="0" distB="0" distL="0" distR="0" wp14:anchorId="5824EE0D" wp14:editId="1BCD451D">
                          <wp:extent cx="4542155" cy="3212465"/>
                          <wp:effectExtent l="0" t="0" r="0" b="0"/>
                          <wp:docPr id="1992199630" name="Paveikslėlis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542155" cy="3212465"/>
                                  </a:xfrm>
                                  <a:prstGeom prst="rect">
                                    <a:avLst/>
                                  </a:prstGeom>
                                  <a:noFill/>
                                  <a:ln>
                                    <a:noFill/>
                                  </a:ln>
                                </pic:spPr>
                              </pic:pic>
                            </a:graphicData>
                          </a:graphic>
                        </wp:inline>
                      </w:drawing>
                    </w:r>
                  </w:p>
                  <w:p>
                    <w:pPr>
                      <w:widowControl w:val="0"/>
                      <w:ind w:firstLine="720"/>
                      <w:jc w:val="both"/>
                      <w:rPr>
                        <w:szCs w:val="24"/>
                        <w:lang w:eastAsia="lt-LT"/>
                      </w:rPr>
                    </w:pPr>
                    <w:r>
                      <w:rPr>
                        <w:szCs w:val="24"/>
                      </w:rPr>
                      <w:t>9. Pakeisti Įstatymo 2 priedo 38 punktą ir jį išdėstyti taip:</w:t>
                    </w:r>
                  </w:p>
                  <w:p>
                    <w:pPr>
                      <w:widowControl w:val="0"/>
                      <w:ind w:firstLine="720"/>
                      <w:jc w:val="both"/>
                      <w:rPr>
                        <w:szCs w:val="24"/>
                        <w:lang w:eastAsia="lt-LT"/>
                      </w:rPr>
                    </w:pPr>
                    <w:r>
                      <w:rPr>
                        <w:szCs w:val="24"/>
                        <w:lang w:eastAsia="lt-LT"/>
                      </w:rPr>
                      <w:t>„38. Šiame skyriuje nurodytų pagalbos mokiniui specialistų pareiginės algos koeficientai:</w:t>
                    </w:r>
                  </w:p>
                  <w:p>
                    <w:pPr>
                      <w:jc w:val="center"/>
                      <w:rPr>
                        <w:szCs w:val="24"/>
                      </w:rPr>
                    </w:pPr>
                    <w:r>
                      <w:rPr>
                        <w:szCs w:val="24"/>
                        <w:lang w:val="en-US"/>
                      </w:rPr>
                      <w:drawing>
                        <wp:inline distT="0" distB="0" distL="0" distR="0" wp14:anchorId="2CE11B97" wp14:editId="52EC3038">
                          <wp:extent cx="4542155" cy="1323975"/>
                          <wp:effectExtent l="0" t="0" r="0" b="0"/>
                          <wp:docPr id="1714946497" name="Paveikslėlis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42155" cy="1323975"/>
                                  </a:xfrm>
                                  <a:prstGeom prst="rect">
                                    <a:avLst/>
                                  </a:prstGeom>
                                  <a:noFill/>
                                  <a:ln>
                                    <a:noFill/>
                                  </a:ln>
                                </pic:spPr>
                              </pic:pic>
                            </a:graphicData>
                          </a:graphic>
                        </wp:inline>
                      </w:drawing>
                    </w:r>
                  </w:p>
                  <w:p>
                    <w:pPr>
                      <w:widowControl w:val="0"/>
                      <w:ind w:firstLine="720"/>
                      <w:jc w:val="both"/>
                      <w:rPr>
                        <w:szCs w:val="24"/>
                        <w:lang w:eastAsia="lt-LT"/>
                      </w:rPr>
                    </w:pPr>
                    <w:r>
                      <w:rPr>
                        <w:szCs w:val="24"/>
                      </w:rPr>
                      <w:t>10. Pakeisti Įstatymo 2 priedo 42 punktą ir jį išdėstyti taip:</w:t>
                    </w:r>
                  </w:p>
                  <w:p>
                    <w:pPr>
                      <w:widowControl w:val="0"/>
                      <w:ind w:firstLine="720"/>
                      <w:jc w:val="both"/>
                      <w:rPr>
                        <w:szCs w:val="24"/>
                        <w:lang w:eastAsia="lt-LT"/>
                      </w:rPr>
                    </w:pPr>
                    <w:r>
                      <w:rPr>
                        <w:szCs w:val="24"/>
                        <w:lang w:eastAsia="lt-LT"/>
                      </w:rPr>
                      <w:t>„42. Mokyklų vadovų pareiginės algos koeficientai:</w:t>
                    </w:r>
                  </w:p>
                  <w:p>
                    <w:pPr>
                      <w:jc w:val="center"/>
                      <w:rPr>
                        <w:szCs w:val="24"/>
                      </w:rPr>
                    </w:pPr>
                    <w:r>
                      <w:rPr>
                        <w:szCs w:val="24"/>
                        <w:lang w:val="en-US"/>
                      </w:rPr>
                      <w:drawing>
                        <wp:inline distT="0" distB="0" distL="0" distR="0" wp14:anchorId="4A02AF4E" wp14:editId="640C30CE">
                          <wp:extent cx="4542155" cy="2280285"/>
                          <wp:effectExtent l="0" t="0" r="0" b="0"/>
                          <wp:docPr id="1529257123" name="Paveikslėlis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42155" cy="2280285"/>
                                  </a:xfrm>
                                  <a:prstGeom prst="rect">
                                    <a:avLst/>
                                  </a:prstGeom>
                                  <a:noFill/>
                                  <a:ln>
                                    <a:noFill/>
                                  </a:ln>
                                </pic:spPr>
                              </pic:pic>
                            </a:graphicData>
                          </a:graphic>
                        </wp:inline>
                      </w:drawing>
                    </w:r>
                  </w:p>
                  <w:p>
                    <w:pPr>
                      <w:widowControl w:val="0"/>
                      <w:ind w:firstLine="720"/>
                      <w:jc w:val="both"/>
                      <w:rPr>
                        <w:szCs w:val="24"/>
                        <w:lang w:eastAsia="lt-LT"/>
                      </w:rPr>
                    </w:pPr>
                    <w:r>
                      <w:rPr>
                        <w:szCs w:val="24"/>
                      </w:rPr>
                      <w:t>11. Pakeisti Įstatymo 2 priedo 43 punktą ir jį išdėstyti taip:</w:t>
                    </w:r>
                  </w:p>
                  <w:p>
                    <w:pPr>
                      <w:jc w:val="both"/>
                      <w:rPr>
                        <w:szCs w:val="24"/>
                      </w:rPr>
                    </w:pPr>
                    <w:r>
                      <w:rPr>
                        <w:szCs w:val="24"/>
                        <w:lang w:eastAsia="lt-LT"/>
                      </w:rPr>
                      <w:t>„43. Mokyklų vadovų pavaduotojų ugdymui pareiginės algos koeficientai:</w:t>
                    </w:r>
                  </w:p>
                  <w:p>
                    <w:pPr>
                      <w:jc w:val="center"/>
                      <w:rPr>
                        <w:szCs w:val="24"/>
                      </w:rPr>
                    </w:pPr>
                    <w:r>
                      <w:rPr>
                        <w:szCs w:val="24"/>
                        <w:lang w:val="en-US"/>
                      </w:rPr>
                      <w:drawing>
                        <wp:inline distT="0" distB="0" distL="0" distR="0" wp14:anchorId="42B93723" wp14:editId="56850D8F">
                          <wp:extent cx="4542155" cy="1318260"/>
                          <wp:effectExtent l="0" t="0" r="0" b="0"/>
                          <wp:docPr id="387169552" name="Paveikslėlis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542155" cy="1318260"/>
                                  </a:xfrm>
                                  <a:prstGeom prst="rect">
                                    <a:avLst/>
                                  </a:prstGeom>
                                  <a:noFill/>
                                  <a:ln>
                                    <a:noFill/>
                                  </a:ln>
                                </pic:spPr>
                              </pic:pic>
                            </a:graphicData>
                          </a:graphic>
                        </wp:inline>
                      </w:drawing>
                    </w:r>
                  </w:p>
                  <w:p>
                    <w:pPr>
                      <w:widowControl w:val="0"/>
                      <w:ind w:firstLine="720"/>
                      <w:jc w:val="both"/>
                      <w:rPr>
                        <w:szCs w:val="24"/>
                        <w:lang w:eastAsia="lt-LT"/>
                      </w:rPr>
                    </w:pPr>
                    <w:r>
                      <w:rPr>
                        <w:szCs w:val="24"/>
                      </w:rPr>
                      <w:t>12. Pakeisti Įstatymo 2 priedo 47 punktą ir jį išdėstyti taip:</w:t>
                    </w:r>
                  </w:p>
                  <w:p>
                    <w:pPr>
                      <w:widowControl w:val="0"/>
                      <w:ind w:firstLine="720"/>
                      <w:jc w:val="both"/>
                      <w:rPr>
                        <w:szCs w:val="24"/>
                        <w:lang w:eastAsia="lt-LT"/>
                      </w:rPr>
                    </w:pPr>
                    <w:r>
                      <w:rPr>
                        <w:szCs w:val="24"/>
                        <w:lang w:eastAsia="lt-LT"/>
                      </w:rPr>
                      <w:t>„47. Šiame skyriuje nurodytų darbuotojų pareiginės algos koeficientai:</w:t>
                    </w:r>
                  </w:p>
                  <w:p>
                    <w:pPr>
                      <w:jc w:val="center"/>
                      <w:rPr>
                        <w:szCs w:val="24"/>
                      </w:rPr>
                    </w:pPr>
                    <w:r>
                      <w:rPr>
                        <w:szCs w:val="24"/>
                        <w:lang w:val="en-US"/>
                      </w:rPr>
                      <w:drawing>
                        <wp:inline distT="0" distB="0" distL="0" distR="0" wp14:anchorId="49660A9B" wp14:editId="6AB1A61C">
                          <wp:extent cx="4542155" cy="1323975"/>
                          <wp:effectExtent l="0" t="0" r="0" b="0"/>
                          <wp:docPr id="1473705822" name="Paveikslėlis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542155" cy="1323975"/>
                                  </a:xfrm>
                                  <a:prstGeom prst="rect">
                                    <a:avLst/>
                                  </a:prstGeom>
                                  <a:noFill/>
                                  <a:ln>
                                    <a:noFill/>
                                  </a:ln>
                                </pic:spPr>
                              </pic:pic>
                            </a:graphicData>
                          </a:graphic>
                        </wp:inline>
                      </w:drawing>
                    </w:r>
                  </w:p>
                  <w:p>
                    <w:pPr>
                      <w:widowControl w:val="0"/>
                      <w:ind w:firstLine="720"/>
                      <w:jc w:val="both"/>
                      <w:rPr>
                        <w:szCs w:val="24"/>
                        <w:lang w:eastAsia="lt-LT"/>
                      </w:rPr>
                    </w:pPr>
                    <w:r>
                      <w:rPr>
                        <w:szCs w:val="24"/>
                      </w:rPr>
                      <w:t>13. Pakeisti Įstatymo 2 priedo 50 punktą ir jį išdėstyti taip:</w:t>
                    </w:r>
                  </w:p>
                  <w:p>
                    <w:pPr>
                      <w:widowControl w:val="0"/>
                      <w:ind w:firstLine="720"/>
                      <w:jc w:val="both"/>
                      <w:rPr>
                        <w:bCs/>
                        <w:szCs w:val="24"/>
                        <w:lang w:eastAsia="lt-LT"/>
                      </w:rPr>
                    </w:pPr>
                    <w:r>
                      <w:rPr>
                        <w:bCs/>
                        <w:szCs w:val="24"/>
                        <w:lang w:eastAsia="lt-LT"/>
                      </w:rPr>
                      <w:t>„50. Švietimo pagalbos įstaigų vadovų ir jų pavaduotojų, kurių darbas laikomas pedagoginiu, pareiginės algos koeficientai:</w:t>
                    </w:r>
                  </w:p>
                  <w:p>
                    <w:pPr>
                      <w:jc w:val="center"/>
                      <w:rPr>
                        <w:szCs w:val="24"/>
                      </w:rPr>
                    </w:pPr>
                    <w:r>
                      <w:rPr>
                        <w:szCs w:val="24"/>
                        <w:lang w:val="en-US"/>
                      </w:rPr>
                      <w:drawing>
                        <wp:inline distT="0" distB="0" distL="0" distR="0" wp14:anchorId="3C3E7D27" wp14:editId="44541A1C">
                          <wp:extent cx="4542155" cy="3176905"/>
                          <wp:effectExtent l="0" t="0" r="0" b="0"/>
                          <wp:docPr id="1023457537" name="Paveikslėlis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542155" cy="3176905"/>
                                  </a:xfrm>
                                  <a:prstGeom prst="rect">
                                    <a:avLst/>
                                  </a:prstGeom>
                                  <a:noFill/>
                                  <a:ln>
                                    <a:noFill/>
                                  </a:ln>
                                </pic:spPr>
                              </pic:pic>
                            </a:graphicData>
                          </a:graphic>
                        </wp:inline>
                      </w:drawing>
                    </w:r>
                  </w:p>
                  <w:p>
                    <w:pPr>
                      <w:widowControl w:val="0"/>
                      <w:ind w:firstLine="720"/>
                      <w:jc w:val="both"/>
                      <w:rPr>
                        <w:szCs w:val="24"/>
                        <w:lang w:eastAsia="lt-LT"/>
                      </w:rPr>
                    </w:pPr>
                    <w:r>
                      <w:rPr>
                        <w:szCs w:val="24"/>
                      </w:rPr>
                      <w:t>14. Pakeisti Įstatymo 2 priedo 51 punktą ir jį išdėstyti taip:</w:t>
                    </w:r>
                  </w:p>
                  <w:p>
                    <w:pPr>
                      <w:widowControl w:val="0"/>
                      <w:ind w:firstLine="720"/>
                      <w:jc w:val="both"/>
                      <w:rPr>
                        <w:b/>
                        <w:bCs/>
                        <w:szCs w:val="24"/>
                        <w:lang w:eastAsia="lt-LT"/>
                      </w:rPr>
                    </w:pPr>
                    <w:r>
                      <w:rPr>
                        <w:bCs/>
                        <w:szCs w:val="24"/>
                        <w:lang w:eastAsia="lt-LT"/>
                      </w:rPr>
                      <w:t>„51. Švietimo pagalbos įstaigų skyrių vedėjų, kurių darbas laikomas pedagoginiu, pareiginės algos koeficientai:</w:t>
                    </w:r>
                  </w:p>
                  <w:p>
                    <w:pPr>
                      <w:jc w:val="center"/>
                      <w:rPr>
                        <w:szCs w:val="24"/>
                      </w:rPr>
                    </w:pPr>
                    <w:r>
                      <w:rPr>
                        <w:szCs w:val="24"/>
                        <w:lang w:val="en-US"/>
                      </w:rPr>
                      <w:drawing>
                        <wp:inline distT="0" distB="0" distL="0" distR="0" wp14:anchorId="697A6EF3" wp14:editId="18FF44C2">
                          <wp:extent cx="4542155" cy="2119630"/>
                          <wp:effectExtent l="0" t="0" r="0" b="0"/>
                          <wp:docPr id="1980997756" name="Paveikslėlis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542155" cy="2119630"/>
                                  </a:xfrm>
                                  <a:prstGeom prst="rect">
                                    <a:avLst/>
                                  </a:prstGeom>
                                  <a:noFill/>
                                  <a:ln>
                                    <a:noFill/>
                                  </a:ln>
                                </pic:spPr>
                              </pic:pic>
                            </a:graphicData>
                          </a:graphic>
                        </wp:inline>
                      </w:drawing>
                    </w:r>
                  </w:p>
                  <w:p>
                    <w:pPr>
                      <w:ind w:firstLine="747"/>
                      <w:jc w:val="both"/>
                      <w:rPr>
                        <w:szCs w:val="24"/>
                      </w:rPr>
                    </w:pPr>
                    <w:r>
                      <w:rPr>
                        <w:szCs w:val="24"/>
                        <w:lang w:eastAsia="lt-LT"/>
                      </w:rPr>
                      <w:t>Siūlomoms nuostatoms įgyvendinti 2026–2028 m. kasmet reikėtų po 184 005 tūkst. Eur, kurie turėtų būti numatyti patobulintame 2026–2028 m. valstybės biudžeto projekte.</w:t>
                    </w:r>
                  </w:p>
                  <w:p>
                    <w:pPr>
                      <w:ind w:firstLine="227"/>
                      <w:jc w:val="both"/>
                      <w:rPr>
                        <w:b/>
                        <w:bCs/>
                        <w:color w:val="000000"/>
                        <w:sz w:val="22"/>
                        <w:szCs w:val="22"/>
                      </w:rPr>
                    </w:pPr>
                  </w:p>
                </w:tc>
                <w:tc>
                  <w:tcPr>
                    <w:tcW w:w="992" w:type="dxa"/>
                  </w:tcPr>
                  <w:p>
                    <w:pPr>
                      <w:jc w:val="both"/>
                      <w:rPr>
                        <w:bCs/>
                        <w:sz w:val="22"/>
                        <w:szCs w:val="22"/>
                      </w:rPr>
                    </w:pPr>
                    <w:r>
                      <w:rPr>
                        <w:bCs/>
                        <w:sz w:val="22"/>
                        <w:szCs w:val="22"/>
                      </w:rPr>
                      <w:t>Pritarti.</w:t>
                    </w:r>
                  </w:p>
                </w:tc>
                <w:tc>
                  <w:tcPr>
                    <w:tcW w:w="1701" w:type="dxa"/>
                  </w:tcPr>
                  <w:p>
                    <w:pPr>
                      <w:ind w:firstLine="227"/>
                      <w:jc w:val="both"/>
                      <w:rPr>
                        <w:bCs/>
                        <w:sz w:val="22"/>
                        <w:szCs w:val="22"/>
                      </w:rPr>
                    </w:pPr>
                    <w:r>
                      <w:rPr>
                        <w:bCs/>
                        <w:sz w:val="22"/>
                        <w:szCs w:val="22"/>
                      </w:rPr>
                      <w:t>Žr. Komiteto patobulintą įstatymo projektą.</w:t>
                    </w:r>
                  </w:p>
                </w:tc>
              </w:tr>
              <w:tr>
                <w:trPr>
                  <w:jc w:val="center"/>
                </w:trPr>
                <w:tc>
                  <w:tcPr>
                    <w:tcW w:w="570" w:type="dxa"/>
                  </w:tcPr>
                  <w:p>
                    <w:pPr>
                      <w:jc w:val="center"/>
                      <w:rPr>
                        <w:bCs/>
                        <w:sz w:val="22"/>
                        <w:szCs w:val="22"/>
                      </w:rPr>
                    </w:pPr>
                    <w:r>
                      <w:rPr>
                        <w:bCs/>
                        <w:sz w:val="22"/>
                        <w:szCs w:val="22"/>
                      </w:rPr>
                      <w:t>3.</w:t>
                    </w:r>
                  </w:p>
                </w:tc>
                <w:tc>
                  <w:tcPr>
                    <w:tcW w:w="1835" w:type="dxa"/>
                  </w:tcPr>
                  <w:p>
                    <w:pPr>
                      <w:jc w:val="both"/>
                      <w:rPr>
                        <w:bCs/>
                        <w:sz w:val="22"/>
                        <w:szCs w:val="22"/>
                      </w:rPr>
                    </w:pPr>
                    <w:r>
                      <w:rPr>
                        <w:bCs/>
                        <w:sz w:val="22"/>
                        <w:szCs w:val="22"/>
                      </w:rPr>
                      <w:t>Lietuvos Respublikos Vyriausybės</w:t>
                    </w:r>
                  </w:p>
                  <w:p>
                    <w:pPr>
                      <w:jc w:val="both"/>
                      <w:rPr>
                        <w:bCs/>
                        <w:sz w:val="22"/>
                        <w:szCs w:val="22"/>
                      </w:rPr>
                    </w:pPr>
                    <w:r>
                      <w:rPr>
                        <w:bCs/>
                        <w:sz w:val="22"/>
                        <w:szCs w:val="22"/>
                      </w:rPr>
                      <w:t>2025-11-26 nutarimas Nr. 826</w:t>
                    </w:r>
                  </w:p>
                </w:tc>
                <w:tc>
                  <w:tcPr>
                    <w:tcW w:w="567" w:type="dxa"/>
                  </w:tcPr>
                  <w:p>
                    <w:pPr>
                      <w:jc w:val="center"/>
                      <w:rPr>
                        <w:bCs/>
                        <w:sz w:val="22"/>
                        <w:szCs w:val="22"/>
                        <w:lang w:eastAsia="lt-LT"/>
                      </w:rPr>
                    </w:pPr>
                  </w:p>
                </w:tc>
                <w:tc>
                  <w:tcPr>
                    <w:tcW w:w="851" w:type="dxa"/>
                  </w:tcPr>
                  <w:p>
                    <w:pPr>
                      <w:rPr>
                        <w:sz w:val="22"/>
                        <w:szCs w:val="22"/>
                        <w:lang w:eastAsia="lt-LT"/>
                      </w:rPr>
                    </w:pPr>
                  </w:p>
                </w:tc>
                <w:tc>
                  <w:tcPr>
                    <w:tcW w:w="425" w:type="dxa"/>
                  </w:tcPr>
                  <w:p>
                    <w:pPr>
                      <w:jc w:val="center"/>
                      <w:rPr>
                        <w:b/>
                        <w:bCs/>
                        <w:sz w:val="22"/>
                        <w:szCs w:val="22"/>
                      </w:rPr>
                    </w:pPr>
                  </w:p>
                </w:tc>
                <w:tc>
                  <w:tcPr>
                    <w:tcW w:w="8930" w:type="dxa"/>
                  </w:tcPr>
                  <w:p>
                    <w:pPr>
                      <w:ind w:firstLine="720"/>
                      <w:jc w:val="both"/>
                      <w:rPr>
                        <w:color w:val="000000"/>
                        <w:sz w:val="22"/>
                        <w:szCs w:val="22"/>
                      </w:rPr>
                    </w:pPr>
                    <w:r>
                      <w:rPr>
                        <w:color w:val="000000"/>
                        <w:sz w:val="22"/>
                        <w:szCs w:val="22"/>
                      </w:rPr>
                      <w:t>Vadovaudamasi Lietuvos Respublikos Seimo statuto 138 straipsnio 3 dalimi, Lietuvos Respublikos Vyriausybės darbo reglamento, patvirtinto Lietuvos Respublikos Vyriausybės 1994 m. rugpjūčio 11 d. nutarimu Nr. 728 „Dėl Lietuvos Respublikos Vyriausybės darbo reglamento patvirtinimo“, 13 punktu ir atsižvelgdama į Lietuvos Respublikos Seimo valdybos 2025 m. lapkričio 12 d. sprendimą Nr. SV-S-450 „Dėl įstatymo projekto išvadų“, Lietuvos Respublikos Vyriausybė </w:t>
                    </w:r>
                    <w:r>
                      <w:rPr>
                        <w:color w:val="000000"/>
                        <w:spacing w:val="40"/>
                        <w:sz w:val="22"/>
                        <w:szCs w:val="22"/>
                      </w:rPr>
                      <w:t>nutaria</w:t>
                    </w:r>
                    <w:r>
                      <w:rPr>
                        <w:color w:val="000000"/>
                        <w:sz w:val="22"/>
                        <w:szCs w:val="22"/>
                      </w:rPr>
                      <w:t>:</w:t>
                    </w:r>
                  </w:p>
                  <w:p>
                    <w:pPr>
                      <w:ind w:firstLine="720"/>
                      <w:jc w:val="both"/>
                      <w:rPr>
                        <w:color w:val="000000"/>
                        <w:sz w:val="22"/>
                        <w:szCs w:val="22"/>
                      </w:rPr>
                    </w:pPr>
                    <w:r>
                      <w:rPr>
                        <w:color w:val="000000"/>
                        <w:sz w:val="22"/>
                        <w:szCs w:val="22"/>
                      </w:rPr>
                      <w:t>1. Nepritarti Lietuvos Respublikos Seimo narių Radvilės Morkūnaitės-Mikulėnienės ir Liutauro Kazlavicko 2025 m. lapkričio 7 d. pasiūlymui dėl Lietuvos Respublikos biudžetinių įstaigų darbuotojų darbo apmokėjimo ir komisijų narių atlygio už darbą įstatymo Nr. XIII-198 2, 4, 6, 7 ir 9 straipsnių bei 1 ir 2 priedų pakeitimo įstatymo projekto Nr. XVP-868 (toliau – Įstatymo projektas), nes jame neatsižvelgta į Įstatymo projekto aiškinamajame rašte nurodytą siekį nustatyti baigtinį veiklų, priskiriamų netiesioginiam darbui su mokiniais, sąrašą ikimokyklinio ir priešmokyklinio ugdymo mokytojams, kuriems netiesioginiam darbui su mokiniais skiriamos tik 6 valandos per savaitę (iš 36 valandų per savaitę).</w:t>
                    </w:r>
                  </w:p>
                  <w:p>
                    <w:pPr>
                      <w:ind w:firstLine="720"/>
                      <w:jc w:val="both"/>
                      <w:rPr>
                        <w:b/>
                        <w:color w:val="000000"/>
                        <w:sz w:val="22"/>
                        <w:szCs w:val="22"/>
                      </w:rPr>
                    </w:pPr>
                    <w:r>
                      <w:rPr>
                        <w:color w:val="000000"/>
                        <w:sz w:val="22"/>
                        <w:szCs w:val="22"/>
                      </w:rPr>
                      <w:t xml:space="preserve">2. </w:t>
                    </w:r>
                    <w:r>
                      <w:rPr>
                        <w:b/>
                        <w:color w:val="000000"/>
                        <w:sz w:val="22"/>
                        <w:szCs w:val="22"/>
                      </w:rPr>
                      <w:t>Pritarti Lietuvos Respublikos Seimo narės Jurgitos Šukevičienės 2025 m. lapkričio 24 d. pasiūlymui dėl Įstatymo projekto.</w:t>
                    </w:r>
                  </w:p>
                  <w:p>
                    <w:pPr>
                      <w:ind w:firstLine="227"/>
                      <w:jc w:val="both"/>
                      <w:rPr>
                        <w:b/>
                        <w:bCs/>
                        <w:color w:val="000000"/>
                        <w:sz w:val="22"/>
                        <w:szCs w:val="22"/>
                      </w:rPr>
                    </w:pPr>
                  </w:p>
                </w:tc>
                <w:tc>
                  <w:tcPr>
                    <w:tcW w:w="992" w:type="dxa"/>
                  </w:tcPr>
                  <w:p>
                    <w:pPr>
                      <w:jc w:val="both"/>
                      <w:rPr>
                        <w:bCs/>
                        <w:sz w:val="22"/>
                        <w:szCs w:val="22"/>
                      </w:rPr>
                    </w:pPr>
                    <w:r>
                      <w:rPr>
                        <w:bCs/>
                        <w:sz w:val="22"/>
                        <w:szCs w:val="22"/>
                      </w:rPr>
                      <w:t>Pritarti.</w:t>
                    </w:r>
                  </w:p>
                </w:tc>
                <w:tc>
                  <w:tcPr>
                    <w:tcW w:w="1701" w:type="dxa"/>
                  </w:tcPr>
                  <w:p>
                    <w:pPr>
                      <w:ind w:firstLine="227"/>
                      <w:jc w:val="both"/>
                      <w:rPr>
                        <w:bCs/>
                        <w:sz w:val="22"/>
                        <w:szCs w:val="22"/>
                      </w:rPr>
                    </w:pPr>
                    <w:r>
                      <w:rPr>
                        <w:bCs/>
                        <w:sz w:val="22"/>
                        <w:szCs w:val="22"/>
                      </w:rPr>
                      <w:t>Žr. Komiteto patobulintą įstatymo projektą.</w:t>
                    </w:r>
                  </w:p>
                </w:tc>
              </w:tr>
              <w:tr>
                <w:trPr>
                  <w:jc w:val="center"/>
                </w:trPr>
                <w:tc>
                  <w:tcPr>
                    <w:tcW w:w="570" w:type="dxa"/>
                  </w:tcPr>
                  <w:p>
                    <w:pPr>
                      <w:jc w:val="center"/>
                      <w:rPr>
                        <w:bCs/>
                        <w:sz w:val="22"/>
                        <w:szCs w:val="22"/>
                      </w:rPr>
                    </w:pPr>
                    <w:r>
                      <w:rPr>
                        <w:bCs/>
                        <w:sz w:val="22"/>
                        <w:szCs w:val="22"/>
                      </w:rPr>
                      <w:t>4.</w:t>
                    </w:r>
                  </w:p>
                </w:tc>
                <w:tc>
                  <w:tcPr>
                    <w:tcW w:w="1835" w:type="dxa"/>
                  </w:tcPr>
                  <w:p>
                    <w:pPr>
                      <w:jc w:val="both"/>
                      <w:rPr>
                        <w:bCs/>
                        <w:sz w:val="22"/>
                        <w:szCs w:val="22"/>
                      </w:rPr>
                    </w:pPr>
                    <w:r>
                      <w:rPr>
                        <w:bCs/>
                        <w:sz w:val="22"/>
                        <w:szCs w:val="22"/>
                      </w:rPr>
                      <w:t>Seimo narė R.Popovienė</w:t>
                    </w:r>
                  </w:p>
                  <w:p>
                    <w:pPr>
                      <w:jc w:val="both"/>
                      <w:rPr>
                        <w:bCs/>
                        <w:sz w:val="22"/>
                        <w:szCs w:val="22"/>
                      </w:rPr>
                    </w:pPr>
                    <w:r>
                      <w:rPr>
                        <w:bCs/>
                        <w:sz w:val="22"/>
                        <w:szCs w:val="22"/>
                      </w:rPr>
                      <w:t>2025-12-02</w:t>
                    </w:r>
                  </w:p>
                </w:tc>
                <w:tc>
                  <w:tcPr>
                    <w:tcW w:w="567" w:type="dxa"/>
                  </w:tcPr>
                  <w:p>
                    <w:pPr>
                      <w:jc w:val="center"/>
                      <w:rPr>
                        <w:b/>
                        <w:bCs/>
                        <w:sz w:val="22"/>
                        <w:szCs w:val="22"/>
                        <w:lang w:eastAsia="lt-LT"/>
                      </w:rPr>
                    </w:pPr>
                    <w:r>
                      <w:rPr>
                        <w:b/>
                        <w:bCs/>
                        <w:sz w:val="22"/>
                        <w:szCs w:val="22"/>
                        <w:lang w:eastAsia="lt-LT"/>
                      </w:rPr>
                      <w:t>3</w:t>
                    </w:r>
                  </w:p>
                </w:tc>
                <w:tc>
                  <w:tcPr>
                    <w:tcW w:w="851" w:type="dxa"/>
                  </w:tcPr>
                  <w:p>
                    <w:pPr>
                      <w:rPr>
                        <w:b/>
                        <w:sz w:val="22"/>
                        <w:szCs w:val="22"/>
                        <w:lang w:eastAsia="lt-LT"/>
                      </w:rPr>
                    </w:pPr>
                    <w:r>
                      <w:rPr>
                        <w:b/>
                        <w:sz w:val="22"/>
                        <w:szCs w:val="22"/>
                        <w:lang w:eastAsia="lt-LT"/>
                      </w:rPr>
                      <w:t>2</w:t>
                    </w:r>
                  </w:p>
                </w:tc>
                <w:tc>
                  <w:tcPr>
                    <w:tcW w:w="425" w:type="dxa"/>
                  </w:tcPr>
                  <w:p>
                    <w:pPr>
                      <w:jc w:val="center"/>
                      <w:rPr>
                        <w:b/>
                        <w:bCs/>
                        <w:sz w:val="22"/>
                        <w:szCs w:val="22"/>
                      </w:rPr>
                    </w:pPr>
                  </w:p>
                </w:tc>
                <w:tc>
                  <w:tcPr>
                    <w:tcW w:w="8930" w:type="dxa"/>
                  </w:tcPr>
                  <w:p>
                    <w:pPr>
                      <w:ind w:firstLine="740"/>
                      <w:jc w:val="both"/>
                      <w:rPr>
                        <w:rFonts w:ascii="Aptos" w:hAnsi="Aptos"/>
                        <w:color w:val="000000"/>
                        <w:sz w:val="22"/>
                        <w:szCs w:val="22"/>
                      </w:rPr>
                    </w:pPr>
                    <w:r>
                      <w:rPr>
                        <w:b/>
                        <w:bCs/>
                        <w:color w:val="000000"/>
                        <w:sz w:val="22"/>
                        <w:szCs w:val="22"/>
                      </w:rPr>
                      <w:t>Argumentai:</w:t>
                    </w:r>
                  </w:p>
                  <w:p>
                    <w:pPr>
                      <w:ind w:firstLine="740"/>
                      <w:jc w:val="both"/>
                      <w:rPr>
                        <w:rFonts w:ascii="Aptos" w:hAnsi="Aptos"/>
                        <w:color w:val="000000"/>
                        <w:sz w:val="22"/>
                        <w:szCs w:val="22"/>
                      </w:rPr>
                    </w:pPr>
                    <w:r>
                      <w:rPr>
                        <w:color w:val="000000"/>
                        <w:sz w:val="22"/>
                        <w:szCs w:val="22"/>
                      </w:rPr>
                      <w:t>Siekiant užtikrinti motyvuojančias trenerių, dirbančių valstybinėse ir savivaldybių įstaigose, darbo apmokėjimo sąlygas, Įstatymo projekte numatyta nuo 2026 m. sausio 1 d. padidinti jų darbo užmokestį 5 proc.</w:t>
                    </w:r>
                  </w:p>
                  <w:p>
                    <w:pPr>
                      <w:ind w:firstLine="740"/>
                      <w:jc w:val="both"/>
                      <w:rPr>
                        <w:rFonts w:ascii="Aptos" w:hAnsi="Aptos"/>
                        <w:color w:val="000000"/>
                        <w:sz w:val="22"/>
                        <w:szCs w:val="22"/>
                      </w:rPr>
                    </w:pPr>
                    <w:r>
                      <w:rPr>
                        <w:color w:val="000000"/>
                        <w:sz w:val="22"/>
                        <w:szCs w:val="22"/>
                      </w:rPr>
                      <w:t>Įgyvendinant Dvidešimtosios Lietuvos Respublikos Vyriausybės programos nuostatas, iki 2028 m. siekiama trenerių darbo užmokestį palaipsniui padidinti ne mažiau kaip 30 procentų.</w:t>
                    </w:r>
                  </w:p>
                  <w:p>
                    <w:pPr>
                      <w:ind w:firstLine="740"/>
                      <w:jc w:val="both"/>
                      <w:rPr>
                        <w:rFonts w:ascii="Aptos" w:hAnsi="Aptos"/>
                        <w:color w:val="000000"/>
                        <w:sz w:val="22"/>
                        <w:szCs w:val="22"/>
                      </w:rPr>
                    </w:pPr>
                    <w:r>
                      <w:rPr>
                        <w:color w:val="000000"/>
                        <w:sz w:val="22"/>
                        <w:szCs w:val="22"/>
                      </w:rPr>
                      <w:t>Atsižvelgiant į valstybės finansines galimybes ir patobulintame Lietuvos Respublikos 2026–2028 metų biudžeto patvirtinimo įstatymo projekte šiam tikslui planuojamus asignavimus, siūloma trenerių darbo užmokestį nuo 2026 m. sausio 1 d. didinti sparčiau – iš viso 8,41 procento (0,71 procento – pareiginės algos (atlyginimo) bazinį dydį, o 7,65 procento – pareiginės algos koeficientus). 2026 m. trenerių darbo užmokestis didėtų tais pačiais tempais kaip mokytojų, pagalbos mokiniui specialistų ir kitų pedagoginių darbuotojų.</w:t>
                    </w:r>
                  </w:p>
                  <w:p>
                    <w:pPr>
                      <w:rPr>
                        <w:sz w:val="10"/>
                        <w:szCs w:val="10"/>
                      </w:rPr>
                    </w:pPr>
                  </w:p>
                  <w:p>
                    <w:pPr>
                      <w:ind w:firstLine="740"/>
                      <w:jc w:val="both"/>
                      <w:rPr>
                        <w:rFonts w:ascii="Aptos" w:hAnsi="Aptos"/>
                        <w:color w:val="000000"/>
                        <w:sz w:val="22"/>
                        <w:szCs w:val="22"/>
                      </w:rPr>
                    </w:pPr>
                    <w:r>
                      <w:rPr>
                        <w:b/>
                        <w:bCs/>
                        <w:color w:val="000000"/>
                        <w:sz w:val="22"/>
                        <w:szCs w:val="22"/>
                      </w:rPr>
                      <w:t>Pasiūlymas:</w:t>
                    </w:r>
                  </w:p>
                  <w:p>
                    <w:pPr>
                      <w:ind w:firstLine="740"/>
                      <w:jc w:val="both"/>
                      <w:rPr>
                        <w:rFonts w:ascii="Aptos" w:hAnsi="Aptos"/>
                        <w:color w:val="000000"/>
                        <w:sz w:val="22"/>
                        <w:szCs w:val="22"/>
                      </w:rPr>
                    </w:pPr>
                    <w:r>
                      <w:rPr>
                        <w:color w:val="000000"/>
                        <w:sz w:val="22"/>
                        <w:szCs w:val="22"/>
                      </w:rPr>
                      <w:t>Pakeisti Įstatymo projekto 3 straipsnio 2 dalį ir ją išdėstyti taip:</w:t>
                    </w:r>
                  </w:p>
                  <w:p>
                    <w:pPr>
                      <w:ind w:firstLine="709"/>
                      <w:jc w:val="both"/>
                      <w:rPr>
                        <w:rFonts w:ascii="Aptos" w:hAnsi="Aptos"/>
                        <w:color w:val="000000"/>
                        <w:sz w:val="22"/>
                        <w:szCs w:val="22"/>
                      </w:rPr>
                    </w:pPr>
                    <w:r>
                      <w:rPr>
                        <w:color w:val="000000"/>
                        <w:sz w:val="22"/>
                        <w:szCs w:val="22"/>
                      </w:rPr>
                      <w:t>„2. Pakeisti 6 straipsnio 5 dalį ir ją išdėstyti taip:</w:t>
                    </w:r>
                  </w:p>
                  <w:p>
                    <w:pPr>
                      <w:spacing w:line="276" w:lineRule="atLeast"/>
                      <w:ind w:firstLine="720"/>
                      <w:jc w:val="both"/>
                      <w:rPr>
                        <w:rFonts w:ascii="Aptos" w:hAnsi="Aptos"/>
                        <w:color w:val="000000"/>
                        <w:sz w:val="22"/>
                        <w:szCs w:val="22"/>
                      </w:rPr>
                    </w:pPr>
                    <w:r>
                      <w:rPr>
                        <w:color w:val="000000"/>
                        <w:sz w:val="22"/>
                        <w:szCs w:val="22"/>
                      </w:rPr>
                      <w:t>„Šio įstatymo 1 priede nustatyti minimalūs socialinių paslaugų srities darbuotojų pareiginės algos koeficientai didinami 21 procentu, trenerių – </w:t>
                    </w:r>
                    <w:r>
                      <w:rPr>
                        <w:strike/>
                        <w:color w:val="000000"/>
                        <w:sz w:val="22"/>
                        <w:szCs w:val="22"/>
                      </w:rPr>
                      <w:t>5 procentais</w:t>
                    </w:r>
                    <w:r>
                      <w:rPr>
                        <w:color w:val="000000"/>
                        <w:sz w:val="22"/>
                        <w:szCs w:val="22"/>
                      </w:rPr>
                      <w:t> </w:t>
                    </w:r>
                    <w:r>
                      <w:rPr>
                        <w:b/>
                        <w:bCs/>
                        <w:color w:val="000000"/>
                        <w:sz w:val="22"/>
                        <w:szCs w:val="22"/>
                      </w:rPr>
                      <w:t>7,65 procento</w:t>
                    </w:r>
                    <w:r>
                      <w:rPr>
                        <w:color w:val="000000"/>
                        <w:sz w:val="22"/>
                        <w:szCs w:val="22"/>
                      </w:rPr>
                      <w:t>.“</w:t>
                    </w:r>
                  </w:p>
                  <w:p>
                    <w:pPr>
                      <w:rPr>
                        <w:sz w:val="14"/>
                        <w:szCs w:val="14"/>
                      </w:rPr>
                    </w:pPr>
                  </w:p>
                  <w:p>
                    <w:pPr>
                      <w:ind w:firstLine="747"/>
                      <w:jc w:val="both"/>
                      <w:rPr>
                        <w:rFonts w:ascii="Aptos" w:hAnsi="Aptos"/>
                        <w:color w:val="000000"/>
                        <w:sz w:val="22"/>
                        <w:szCs w:val="22"/>
                      </w:rPr>
                    </w:pPr>
                    <w:r>
                      <w:rPr>
                        <w:color w:val="000000"/>
                        <w:sz w:val="22"/>
                        <w:szCs w:val="22"/>
                      </w:rPr>
                      <w:t>Siūlomoms nuostatoms įgyvendinti nuo 2026 m. kasmet reikėtų po 2 152 tūkst. Eur, kuriuos planuojama numatyti patobulintame 2026–2028 m. valstybės biudžeto projekte.</w:t>
                    </w:r>
                  </w:p>
                  <w:p>
                    <w:pPr>
                      <w:ind w:firstLine="720"/>
                      <w:jc w:val="both"/>
                      <w:rPr>
                        <w:color w:val="000000"/>
                        <w:sz w:val="22"/>
                        <w:szCs w:val="22"/>
                      </w:rPr>
                    </w:pPr>
                  </w:p>
                </w:tc>
                <w:tc>
                  <w:tcPr>
                    <w:tcW w:w="992" w:type="dxa"/>
                  </w:tcPr>
                  <w:p>
                    <w:pPr>
                      <w:jc w:val="both"/>
                      <w:rPr>
                        <w:bCs/>
                        <w:sz w:val="22"/>
                        <w:szCs w:val="22"/>
                      </w:rPr>
                    </w:pPr>
                    <w:r>
                      <w:rPr>
                        <w:bCs/>
                        <w:sz w:val="22"/>
                        <w:szCs w:val="22"/>
                      </w:rPr>
                      <w:t>Pritarti</w:t>
                    </w:r>
                  </w:p>
                </w:tc>
                <w:tc>
                  <w:tcPr>
                    <w:tcW w:w="1701" w:type="dxa"/>
                  </w:tcPr>
                  <w:p>
                    <w:pPr>
                      <w:ind w:firstLine="227"/>
                      <w:jc w:val="both"/>
                      <w:rPr>
                        <w:bCs/>
                        <w:sz w:val="22"/>
                        <w:szCs w:val="22"/>
                      </w:rPr>
                    </w:pPr>
                    <w:r>
                      <w:rPr>
                        <w:bCs/>
                        <w:sz w:val="22"/>
                        <w:szCs w:val="22"/>
                      </w:rPr>
                      <w:t>Žr. Komiteto pasiūlymą.</w:t>
                    </w:r>
                  </w:p>
                </w:tc>
              </w:tr>
            </w:tbl>
            <w:p/>
          </w:sdtContent>
        </w:sdt>
        <w:sdt>
          <w:sdtPr>
            <w:alias w:val="6 p."/>
            <w:tag w:val="part_a55a10da1d404f11a0a542d6f48766cd"/>
            <w:lock w:val="sdtLocked"/>
            <w:richText/>
          </w:sdtPr>
          <w:sdtContent>
            <w:p>
              <w:pPr>
                <w:keepNext/>
                <w:ind w:firstLine="720"/>
                <w:outlineLvl w:val="5"/>
                <w:rPr>
                  <w:bCs/>
                  <w:szCs w:val="24"/>
                </w:rPr>
              </w:pPr>
              <w:sdt>
                <w:sdtPr>
                  <w:alias w:val="Numeris"/>
                  <w:tag w:val="nr_a55a10da1d404f11a0a542d6f48766cd"/>
                  <w:lock w:val="sdtLocked"/>
                  <w:richText/>
                </w:sdtPr>
                <w:sdtContent>
                  <w:r>
                    <w:rPr>
                      <w:b/>
                      <w:bCs/>
                      <w:szCs w:val="24"/>
                    </w:rPr>
                    <w:t>6</w:t>
                  </w:r>
                </w:sdtContent>
              </w:sdt>
              <w:r>
                <w:rPr>
                  <w:b/>
                  <w:bCs/>
                  <w:szCs w:val="24"/>
                </w:rPr>
                <w:t xml:space="preserve">. Seimo paskirtų papildomų komitetų / komisijų pasiūlymai: </w:t>
              </w:r>
            </w:p>
            <w:tbl>
              <w:tblPr>
                <w:tblW w:w="153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6842"/>
                <w:gridCol w:w="1559"/>
                <w:gridCol w:w="1984"/>
              </w:tblGrid>
              <w:tr>
                <w:trPr>
                  <w:trHeight w:val="472"/>
                  <w:tblHeader/>
                  <w:jc w:val="center"/>
                </w:trPr>
                <w:tc>
                  <w:tcPr>
                    <w:tcW w:w="57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2297" w:type="dxa"/>
                    <w:vMerge w:val="restart"/>
                    <w:vAlign w:val="center"/>
                  </w:tcPr>
                  <w:p>
                    <w:pPr>
                      <w:jc w:val="center"/>
                      <w:rPr>
                        <w:sz w:val="22"/>
                        <w:szCs w:val="22"/>
                      </w:rPr>
                    </w:pPr>
                    <w:r>
                      <w:rPr>
                        <w:sz w:val="22"/>
                        <w:szCs w:val="22"/>
                      </w:rPr>
                      <w:t>Pasiūlymo teikėjas, data</w:t>
                    </w:r>
                  </w:p>
                </w:tc>
                <w:tc>
                  <w:tcPr>
                    <w:tcW w:w="2052" w:type="dxa"/>
                    <w:gridSpan w:val="3"/>
                    <w:vAlign w:val="center"/>
                  </w:tcPr>
                  <w:p>
                    <w:pPr>
                      <w:jc w:val="center"/>
                      <w:rPr>
                        <w:sz w:val="22"/>
                        <w:szCs w:val="22"/>
                      </w:rPr>
                    </w:pPr>
                    <w:r>
                      <w:rPr>
                        <w:sz w:val="22"/>
                        <w:szCs w:val="22"/>
                      </w:rPr>
                      <w:t>Siūloma keisti</w:t>
                    </w:r>
                  </w:p>
                </w:tc>
                <w:tc>
                  <w:tcPr>
                    <w:tcW w:w="6842" w:type="dxa"/>
                    <w:vMerge w:val="restart"/>
                    <w:vAlign w:val="center"/>
                  </w:tcPr>
                  <w:p>
                    <w:pPr>
                      <w:jc w:val="center"/>
                      <w:rPr>
                        <w:sz w:val="22"/>
                        <w:szCs w:val="22"/>
                      </w:rPr>
                    </w:pPr>
                  </w:p>
                  <w:p>
                    <w:pPr>
                      <w:jc w:val="center"/>
                      <w:rPr>
                        <w:sz w:val="22"/>
                        <w:szCs w:val="22"/>
                      </w:rPr>
                    </w:pPr>
                    <w:r>
                      <w:rPr>
                        <w:sz w:val="22"/>
                        <w:szCs w:val="22"/>
                      </w:rPr>
                      <w:t>Pasiūlymo turinys</w:t>
                    </w:r>
                  </w:p>
                  <w:p>
                    <w:pPr>
                      <w:jc w:val="center"/>
                      <w:rPr>
                        <w:sz w:val="22"/>
                        <w:szCs w:val="22"/>
                      </w:rPr>
                    </w:pPr>
                  </w:p>
                </w:tc>
                <w:tc>
                  <w:tcPr>
                    <w:tcW w:w="1559" w:type="dxa"/>
                    <w:vMerge w:val="restart"/>
                    <w:vAlign w:val="center"/>
                  </w:tcPr>
                  <w:p>
                    <w:pPr>
                      <w:jc w:val="center"/>
                      <w:rPr>
                        <w:sz w:val="22"/>
                        <w:szCs w:val="22"/>
                      </w:rPr>
                    </w:pPr>
                    <w:r>
                      <w:rPr>
                        <w:sz w:val="22"/>
                        <w:szCs w:val="22"/>
                      </w:rPr>
                      <w:t>Komiteto nuomonė</w:t>
                    </w:r>
                  </w:p>
                </w:tc>
                <w:tc>
                  <w:tcPr>
                    <w:tcW w:w="1984"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379"/>
                  <w:tblHeader/>
                  <w:jc w:val="center"/>
                </w:trPr>
                <w:tc>
                  <w:tcPr>
                    <w:tcW w:w="570" w:type="dxa"/>
                    <w:vMerge/>
                  </w:tcPr>
                  <w:p>
                    <w:pPr>
                      <w:rPr>
                        <w:szCs w:val="24"/>
                      </w:rPr>
                    </w:pPr>
                  </w:p>
                </w:tc>
                <w:tc>
                  <w:tcPr>
                    <w:tcW w:w="2297" w:type="dxa"/>
                    <w:vMerge/>
                  </w:tcPr>
                  <w:p>
                    <w:pPr>
                      <w:rPr>
                        <w:szCs w:val="24"/>
                      </w:rPr>
                    </w:pPr>
                  </w:p>
                </w:tc>
                <w:tc>
                  <w:tcPr>
                    <w:tcW w:w="684" w:type="dxa"/>
                    <w:vAlign w:val="center"/>
                  </w:tcPr>
                  <w:p>
                    <w:pPr>
                      <w:jc w:val="center"/>
                      <w:rPr>
                        <w:sz w:val="20"/>
                        <w:szCs w:val="24"/>
                      </w:rPr>
                    </w:pPr>
                    <w:r>
                      <w:rPr>
                        <w:sz w:val="20"/>
                        <w:szCs w:val="24"/>
                      </w:rPr>
                      <w:t>str.</w:t>
                    </w:r>
                  </w:p>
                </w:tc>
                <w:tc>
                  <w:tcPr>
                    <w:tcW w:w="684" w:type="dxa"/>
                    <w:vAlign w:val="center"/>
                  </w:tcPr>
                  <w:p>
                    <w:pPr>
                      <w:jc w:val="center"/>
                      <w:rPr>
                        <w:sz w:val="20"/>
                        <w:szCs w:val="24"/>
                      </w:rPr>
                    </w:pPr>
                    <w:r>
                      <w:rPr>
                        <w:sz w:val="20"/>
                        <w:szCs w:val="24"/>
                      </w:rPr>
                      <w:t>str. d.</w:t>
                    </w:r>
                  </w:p>
                </w:tc>
                <w:tc>
                  <w:tcPr>
                    <w:tcW w:w="684" w:type="dxa"/>
                    <w:vAlign w:val="center"/>
                  </w:tcPr>
                  <w:p>
                    <w:pPr>
                      <w:jc w:val="center"/>
                      <w:rPr>
                        <w:sz w:val="20"/>
                        <w:szCs w:val="24"/>
                      </w:rPr>
                    </w:pPr>
                    <w:r>
                      <w:rPr>
                        <w:sz w:val="20"/>
                        <w:szCs w:val="24"/>
                      </w:rPr>
                      <w:t>p.</w:t>
                    </w:r>
                  </w:p>
                </w:tc>
                <w:tc>
                  <w:tcPr>
                    <w:tcW w:w="6842" w:type="dxa"/>
                    <w:vMerge/>
                  </w:tcPr>
                  <w:p>
                    <w:pPr>
                      <w:rPr>
                        <w:szCs w:val="24"/>
                      </w:rPr>
                    </w:pPr>
                  </w:p>
                </w:tc>
                <w:tc>
                  <w:tcPr>
                    <w:tcW w:w="1559" w:type="dxa"/>
                    <w:vMerge/>
                  </w:tcPr>
                  <w:p>
                    <w:pPr>
                      <w:rPr>
                        <w:szCs w:val="24"/>
                      </w:rPr>
                    </w:pPr>
                  </w:p>
                </w:tc>
                <w:tc>
                  <w:tcPr>
                    <w:tcW w:w="1984" w:type="dxa"/>
                    <w:vMerge/>
                  </w:tcPr>
                  <w:p>
                    <w:pPr>
                      <w:rPr>
                        <w:szCs w:val="24"/>
                      </w:rPr>
                    </w:pPr>
                  </w:p>
                </w:tc>
              </w:tr>
              <w:tr>
                <w:trPr>
                  <w:jc w:val="center"/>
                </w:trPr>
                <w:tc>
                  <w:tcPr>
                    <w:tcW w:w="570" w:type="dxa"/>
                  </w:tcPr>
                  <w:p>
                    <w:pPr>
                      <w:jc w:val="center"/>
                      <w:rPr>
                        <w:bCs/>
                        <w:sz w:val="22"/>
                        <w:szCs w:val="22"/>
                      </w:rPr>
                    </w:pPr>
                    <w:r>
                      <w:rPr>
                        <w:bCs/>
                        <w:sz w:val="22"/>
                        <w:szCs w:val="22"/>
                      </w:rPr>
                      <w:t>1.</w:t>
                    </w:r>
                  </w:p>
                </w:tc>
                <w:tc>
                  <w:tcPr>
                    <w:tcW w:w="2297" w:type="dxa"/>
                  </w:tcPr>
                  <w:p>
                    <w:pPr>
                      <w:jc w:val="both"/>
                      <w:rPr>
                        <w:bCs/>
                        <w:sz w:val="22"/>
                        <w:szCs w:val="22"/>
                      </w:rPr>
                    </w:pPr>
                    <w:r>
                      <w:rPr>
                        <w:bCs/>
                        <w:sz w:val="22"/>
                        <w:szCs w:val="22"/>
                      </w:rPr>
                      <w:t>Švietimo ir mokslo komitetas</w:t>
                    </w:r>
                  </w:p>
                  <w:p>
                    <w:pPr>
                      <w:jc w:val="both"/>
                      <w:rPr>
                        <w:bCs/>
                        <w:sz w:val="22"/>
                        <w:szCs w:val="22"/>
                      </w:rPr>
                    </w:pPr>
                    <w:r>
                      <w:rPr>
                        <w:bCs/>
                        <w:sz w:val="22"/>
                        <w:szCs w:val="22"/>
                      </w:rPr>
                      <w:t>2025-11-06</w:t>
                    </w:r>
                  </w:p>
                </w:tc>
                <w:tc>
                  <w:tcPr>
                    <w:tcW w:w="684" w:type="dxa"/>
                  </w:tcPr>
                  <w:p>
                    <w:pPr>
                      <w:jc w:val="center"/>
                      <w:rPr>
                        <w:b/>
                        <w:bCs/>
                        <w:sz w:val="22"/>
                        <w:szCs w:val="22"/>
                      </w:rPr>
                    </w:pPr>
                  </w:p>
                </w:tc>
                <w:tc>
                  <w:tcPr>
                    <w:tcW w:w="684" w:type="dxa"/>
                  </w:tcPr>
                  <w:p>
                    <w:pPr>
                      <w:jc w:val="center"/>
                      <w:rPr>
                        <w:b/>
                        <w:bCs/>
                        <w:sz w:val="22"/>
                        <w:szCs w:val="22"/>
                      </w:rPr>
                    </w:pPr>
                  </w:p>
                </w:tc>
                <w:tc>
                  <w:tcPr>
                    <w:tcW w:w="684" w:type="dxa"/>
                  </w:tcPr>
                  <w:p>
                    <w:pPr>
                      <w:jc w:val="center"/>
                      <w:rPr>
                        <w:b/>
                        <w:bCs/>
                        <w:sz w:val="22"/>
                        <w:szCs w:val="22"/>
                      </w:rPr>
                    </w:pPr>
                  </w:p>
                </w:tc>
                <w:tc>
                  <w:tcPr>
                    <w:tcW w:w="6842" w:type="dxa"/>
                  </w:tcPr>
                  <w:p>
                    <w:pPr>
                      <w:ind w:firstLine="227"/>
                      <w:jc w:val="both"/>
                      <w:rPr>
                        <w:bCs/>
                        <w:sz w:val="22"/>
                        <w:szCs w:val="22"/>
                      </w:rPr>
                    </w:pPr>
                    <w:r>
                      <w:rPr>
                        <w:bCs/>
                        <w:color w:val="000000"/>
                        <w:sz w:val="22"/>
                        <w:szCs w:val="22"/>
                      </w:rPr>
                      <w:t xml:space="preserve">Iš esmės pritarti Biudžetinių įstaigų darbuotojų darbo apmokėjimo ir komisijų narių atlygio už darbą įstatymo Nr. XIII-198 2, 4, 6, 7 ir 9 straipsnių bei 1 ir 2 priedų pakeitimo įstatymo projektui Nr. XVP-868 ir </w:t>
                    </w:r>
                    <w:r>
                      <w:rPr>
                        <w:b/>
                        <w:bCs/>
                        <w:color w:val="000000"/>
                        <w:sz w:val="22"/>
                        <w:szCs w:val="22"/>
                      </w:rPr>
                      <w:t>siūlyti pagrindiniam komitetui jį svarstyti su siūlymais, kuriems komitetas pritarė</w:t>
                    </w:r>
                    <w:r>
                      <w:rPr>
                        <w:bCs/>
                        <w:color w:val="000000"/>
                        <w:sz w:val="22"/>
                        <w:szCs w:val="22"/>
                      </w:rPr>
                      <w:t>.</w:t>
                    </w:r>
                  </w:p>
                </w:tc>
                <w:tc>
                  <w:tcPr>
                    <w:tcW w:w="1559" w:type="dxa"/>
                  </w:tcPr>
                  <w:p>
                    <w:pPr>
                      <w:jc w:val="center"/>
                      <w:rPr>
                        <w:bCs/>
                        <w:sz w:val="22"/>
                        <w:szCs w:val="22"/>
                      </w:rPr>
                    </w:pPr>
                    <w:r>
                      <w:rPr>
                        <w:bCs/>
                        <w:sz w:val="22"/>
                        <w:szCs w:val="22"/>
                      </w:rPr>
                      <w:t>Pritarti iš dalies</w:t>
                    </w:r>
                  </w:p>
                </w:tc>
                <w:tc>
                  <w:tcPr>
                    <w:tcW w:w="1984" w:type="dxa"/>
                  </w:tcPr>
                  <w:p>
                    <w:pPr>
                      <w:ind w:firstLine="227"/>
                      <w:jc w:val="both"/>
                      <w:rPr>
                        <w:bCs/>
                        <w:sz w:val="22"/>
                        <w:szCs w:val="22"/>
                      </w:rPr>
                    </w:pPr>
                    <w:r>
                      <w:rPr>
                        <w:bCs/>
                        <w:sz w:val="22"/>
                        <w:szCs w:val="22"/>
                      </w:rPr>
                      <w:t xml:space="preserve">Komitetas nesvarstė Seimo narių R.Popovienės ir V.Aleknavičienės </w:t>
                    </w:r>
                    <w:r>
                      <w:rPr>
                        <w:bCs/>
                        <w:sz w:val="22"/>
                        <w:szCs w:val="22"/>
                        <w:lang w:val="en-US"/>
                      </w:rPr>
                      <w:t xml:space="preserve">2025-11-05 </w:t>
                    </w:r>
                    <w:r>
                      <w:rPr>
                        <w:bCs/>
                        <w:sz w:val="22"/>
                        <w:szCs w:val="22"/>
                      </w:rPr>
                      <w:t>pasiūlymo, kuriam Švietimo ir mokslo komitetas pritarė, kadangi pasiūlymas buvo atsiimtas iki svarstymo Komitete.</w:t>
                    </w:r>
                  </w:p>
                </w:tc>
              </w:tr>
            </w:tbl>
            <w:p/>
          </w:sdtContent>
        </w:sdt>
        <w:sdt>
          <w:sdtPr>
            <w:alias w:val="7 p."/>
            <w:tag w:val="part_0d73cae0119c40ec837ba2465cdfb330"/>
            <w:lock w:val="sdtLocked"/>
            <w:richText/>
          </w:sdtPr>
          <w:sdtContent>
            <w:p>
              <w:pPr>
                <w:ind w:firstLine="720"/>
                <w:jc w:val="both"/>
                <w:rPr>
                  <w:b/>
                  <w:sz w:val="22"/>
                  <w:szCs w:val="22"/>
                </w:rPr>
              </w:pPr>
              <w:sdt>
                <w:sdtPr>
                  <w:alias w:val="Numeris"/>
                  <w:tag w:val="nr_0d73cae0119c40ec837ba2465cdfb330"/>
                  <w:lock w:val="sdtLocked"/>
                  <w:richText/>
                </w:sdtPr>
                <w:sdtContent>
                  <w:r>
                    <w:rPr>
                      <w:b/>
                      <w:sz w:val="22"/>
                      <w:szCs w:val="22"/>
                    </w:rPr>
                    <w:t>7</w:t>
                  </w:r>
                </w:sdtContent>
              </w:sdt>
              <w:r>
                <w:rPr>
                  <w:b/>
                  <w:sz w:val="22"/>
                  <w:szCs w:val="22"/>
                </w:rPr>
                <w:t>. Komiteto sprendimas ir pasiūlymai:</w:t>
              </w:r>
            </w:p>
            <w:sdt>
              <w:sdtPr>
                <w:alias w:val="7.1 pp."/>
                <w:tag w:val="part_f4647ec58f864665b5d31bcceeb9758f"/>
                <w:lock w:val="sdtLocked"/>
                <w:richText/>
              </w:sdtPr>
              <w:sdtContent>
                <w:p>
                  <w:pPr>
                    <w:ind w:left="1080" w:hanging="360"/>
                    <w:jc w:val="both"/>
                    <w:rPr>
                      <w:sz w:val="22"/>
                      <w:szCs w:val="22"/>
                    </w:rPr>
                  </w:pPr>
                  <w:sdt>
                    <w:sdtPr>
                      <w:alias w:val="Numeris"/>
                      <w:tag w:val="nr_f4647ec58f864665b5d31bcceeb9758f"/>
                      <w:lock w:val="sdtLocked"/>
                      <w:richText/>
                    </w:sdtPr>
                    <w:sdtContent>
                      <w:r>
                        <w:rPr>
                          <w:b/>
                          <w:kern w:val="2"/>
                          <w:sz w:val="22"/>
                          <w:szCs w:val="22"/>
                          <w:lang w:eastAsia="lt-LT"/>
                          <w14:ligatures w14:val="standardContextual"/>
                        </w:rPr>
                        <w:t>7.1</w:t>
                      </w:r>
                    </w:sdtContent>
                  </w:sdt>
                  <w:r>
                    <w:rPr>
                      <w:b/>
                      <w:kern w:val="2"/>
                      <w:sz w:val="22"/>
                      <w:szCs w:val="22"/>
                      <w:lang w:eastAsia="lt-LT"/>
                      <w14:ligatures w14:val="standardContextual"/>
                    </w:rPr>
                    <w:t>.</w:t>
                    <w:tab/>
                  </w:r>
                  <w:r>
                    <w:rPr>
                      <w:b/>
                      <w:sz w:val="22"/>
                      <w:szCs w:val="22"/>
                    </w:rPr>
                    <w:t xml:space="preserve"> Komiteto sprendimas: </w:t>
                  </w:r>
                  <w:r>
                    <w:rPr>
                      <w:sz w:val="22"/>
                      <w:szCs w:val="22"/>
                    </w:rPr>
                    <w:t>pritarti Komiteto patobulintam įstatymo projektui ir Komiteto išvadoms.</w:t>
                  </w:r>
                </w:p>
              </w:sdtContent>
            </w:sdt>
            <w:sdt>
              <w:sdtPr>
                <w:alias w:val="7.2 pp."/>
                <w:tag w:val="part_71386596f2f545f286219013506efeb0"/>
                <w:lock w:val="sdtLocked"/>
                <w:richText/>
              </w:sdtPr>
              <w:sdtContent>
                <w:p>
                  <w:pPr>
                    <w:ind w:left="1080" w:hanging="360"/>
                    <w:jc w:val="both"/>
                    <w:rPr>
                      <w:sz w:val="22"/>
                      <w:szCs w:val="22"/>
                    </w:rPr>
                  </w:pPr>
                  <w:sdt>
                    <w:sdtPr>
                      <w:alias w:val="Numeris"/>
                      <w:tag w:val="nr_71386596f2f545f286219013506efeb0"/>
                      <w:lock w:val="sdtLocked"/>
                      <w:richText/>
                    </w:sdtPr>
                    <w:sdtContent>
                      <w:r>
                        <w:rPr>
                          <w:b/>
                          <w:kern w:val="2"/>
                          <w:sz w:val="22"/>
                          <w:szCs w:val="22"/>
                          <w:lang w:eastAsia="lt-LT"/>
                          <w14:ligatures w14:val="standardContextual"/>
                        </w:rPr>
                        <w:t>7.2</w:t>
                      </w:r>
                    </w:sdtContent>
                  </w:sdt>
                  <w:r>
                    <w:rPr>
                      <w:b/>
                      <w:kern w:val="2"/>
                      <w:sz w:val="22"/>
                      <w:szCs w:val="22"/>
                      <w:lang w:eastAsia="lt-LT"/>
                      <w14:ligatures w14:val="standardContextual"/>
                    </w:rPr>
                    <w:t>.</w:t>
                    <w:tab/>
                  </w:r>
                  <w:r>
                    <w:rPr>
                      <w:b/>
                      <w:sz w:val="22"/>
                      <w:szCs w:val="22"/>
                    </w:rPr>
                    <w:t>Komiteto pasiūlymas:</w:t>
                  </w:r>
                </w:p>
                <w:tbl>
                  <w:tblPr>
                    <w:tblW w:w="153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0"/>
                    <w:gridCol w:w="2297"/>
                    <w:gridCol w:w="684"/>
                    <w:gridCol w:w="684"/>
                    <w:gridCol w:w="684"/>
                    <w:gridCol w:w="6842"/>
                    <w:gridCol w:w="1559"/>
                    <w:gridCol w:w="1984"/>
                  </w:tblGrid>
                  <w:tr>
                    <w:trPr>
                      <w:trHeight w:val="472"/>
                      <w:tblHeader/>
                      <w:jc w:val="center"/>
                    </w:trPr>
                    <w:tc>
                      <w:tcPr>
                        <w:tcW w:w="57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2297" w:type="dxa"/>
                        <w:vMerge w:val="restart"/>
                        <w:vAlign w:val="center"/>
                      </w:tcPr>
                      <w:p>
                        <w:pPr>
                          <w:jc w:val="center"/>
                          <w:rPr>
                            <w:sz w:val="22"/>
                            <w:szCs w:val="22"/>
                          </w:rPr>
                        </w:pPr>
                        <w:r>
                          <w:rPr>
                            <w:sz w:val="22"/>
                            <w:szCs w:val="22"/>
                          </w:rPr>
                          <w:t>Pasiūlymo teikėjas, data</w:t>
                        </w:r>
                      </w:p>
                    </w:tc>
                    <w:tc>
                      <w:tcPr>
                        <w:tcW w:w="2052" w:type="dxa"/>
                        <w:gridSpan w:val="3"/>
                        <w:vAlign w:val="center"/>
                      </w:tcPr>
                      <w:p>
                        <w:pPr>
                          <w:jc w:val="center"/>
                          <w:rPr>
                            <w:sz w:val="22"/>
                            <w:szCs w:val="22"/>
                          </w:rPr>
                        </w:pPr>
                        <w:r>
                          <w:rPr>
                            <w:sz w:val="22"/>
                            <w:szCs w:val="22"/>
                          </w:rPr>
                          <w:t>Siūloma keisti</w:t>
                        </w:r>
                      </w:p>
                    </w:tc>
                    <w:tc>
                      <w:tcPr>
                        <w:tcW w:w="6842" w:type="dxa"/>
                        <w:vMerge w:val="restart"/>
                        <w:vAlign w:val="center"/>
                      </w:tcPr>
                      <w:p>
                        <w:pPr>
                          <w:jc w:val="center"/>
                          <w:rPr>
                            <w:sz w:val="22"/>
                            <w:szCs w:val="22"/>
                          </w:rPr>
                        </w:pPr>
                      </w:p>
                      <w:p>
                        <w:pPr>
                          <w:jc w:val="center"/>
                          <w:rPr>
                            <w:sz w:val="22"/>
                            <w:szCs w:val="22"/>
                          </w:rPr>
                        </w:pPr>
                        <w:r>
                          <w:rPr>
                            <w:sz w:val="22"/>
                            <w:szCs w:val="22"/>
                          </w:rPr>
                          <w:t>Pasiūlymo turinys</w:t>
                        </w:r>
                      </w:p>
                      <w:p>
                        <w:pPr>
                          <w:jc w:val="center"/>
                          <w:rPr>
                            <w:sz w:val="22"/>
                            <w:szCs w:val="22"/>
                          </w:rPr>
                        </w:pPr>
                      </w:p>
                    </w:tc>
                    <w:tc>
                      <w:tcPr>
                        <w:tcW w:w="1559" w:type="dxa"/>
                        <w:vMerge w:val="restart"/>
                        <w:vAlign w:val="center"/>
                      </w:tcPr>
                      <w:p>
                        <w:pPr>
                          <w:jc w:val="center"/>
                          <w:rPr>
                            <w:sz w:val="22"/>
                            <w:szCs w:val="22"/>
                          </w:rPr>
                        </w:pPr>
                        <w:r>
                          <w:rPr>
                            <w:sz w:val="22"/>
                            <w:szCs w:val="22"/>
                          </w:rPr>
                          <w:t>Komiteto nuomonė</w:t>
                        </w:r>
                      </w:p>
                    </w:tc>
                    <w:tc>
                      <w:tcPr>
                        <w:tcW w:w="1984" w:type="dxa"/>
                        <w:vMerge w:val="restart"/>
                        <w:vAlign w:val="center"/>
                      </w:tcPr>
                      <w:p>
                        <w:pPr>
                          <w:jc w:val="center"/>
                          <w:rPr>
                            <w:sz w:val="22"/>
                            <w:szCs w:val="22"/>
                          </w:rPr>
                        </w:pPr>
                        <w:r>
                          <w:rPr>
                            <w:sz w:val="22"/>
                            <w:szCs w:val="22"/>
                          </w:rPr>
                          <w:t xml:space="preserve">Argumentai, </w:t>
                        </w:r>
                      </w:p>
                      <w:p>
                        <w:pPr>
                          <w:jc w:val="center"/>
                          <w:rPr>
                            <w:sz w:val="22"/>
                            <w:szCs w:val="22"/>
                          </w:rPr>
                        </w:pPr>
                        <w:r>
                          <w:rPr>
                            <w:sz w:val="22"/>
                            <w:szCs w:val="22"/>
                          </w:rPr>
                          <w:t>pagrindžiantys nuomonę</w:t>
                        </w:r>
                      </w:p>
                    </w:tc>
                  </w:tr>
                  <w:tr>
                    <w:trPr>
                      <w:trHeight w:val="379"/>
                      <w:tblHeader/>
                      <w:jc w:val="center"/>
                    </w:trPr>
                    <w:tc>
                      <w:tcPr>
                        <w:tcW w:w="570" w:type="dxa"/>
                        <w:vMerge/>
                      </w:tcPr>
                      <w:p>
                        <w:pPr>
                          <w:rPr>
                            <w:szCs w:val="24"/>
                          </w:rPr>
                        </w:pPr>
                      </w:p>
                    </w:tc>
                    <w:tc>
                      <w:tcPr>
                        <w:tcW w:w="2297" w:type="dxa"/>
                        <w:vMerge/>
                      </w:tcPr>
                      <w:p>
                        <w:pPr>
                          <w:rPr>
                            <w:szCs w:val="24"/>
                          </w:rPr>
                        </w:pPr>
                      </w:p>
                    </w:tc>
                    <w:tc>
                      <w:tcPr>
                        <w:tcW w:w="684" w:type="dxa"/>
                        <w:vAlign w:val="center"/>
                      </w:tcPr>
                      <w:p>
                        <w:pPr>
                          <w:jc w:val="center"/>
                          <w:rPr>
                            <w:sz w:val="20"/>
                            <w:szCs w:val="24"/>
                          </w:rPr>
                        </w:pPr>
                        <w:r>
                          <w:rPr>
                            <w:sz w:val="20"/>
                            <w:szCs w:val="24"/>
                          </w:rPr>
                          <w:t>str.</w:t>
                        </w:r>
                      </w:p>
                    </w:tc>
                    <w:tc>
                      <w:tcPr>
                        <w:tcW w:w="684" w:type="dxa"/>
                        <w:vAlign w:val="center"/>
                      </w:tcPr>
                      <w:p>
                        <w:pPr>
                          <w:jc w:val="center"/>
                          <w:rPr>
                            <w:sz w:val="20"/>
                            <w:szCs w:val="24"/>
                          </w:rPr>
                        </w:pPr>
                        <w:r>
                          <w:rPr>
                            <w:sz w:val="20"/>
                            <w:szCs w:val="24"/>
                          </w:rPr>
                          <w:t>str. d.</w:t>
                        </w:r>
                      </w:p>
                    </w:tc>
                    <w:tc>
                      <w:tcPr>
                        <w:tcW w:w="684" w:type="dxa"/>
                        <w:vAlign w:val="center"/>
                      </w:tcPr>
                      <w:p>
                        <w:pPr>
                          <w:jc w:val="center"/>
                          <w:rPr>
                            <w:sz w:val="20"/>
                            <w:szCs w:val="24"/>
                          </w:rPr>
                        </w:pPr>
                        <w:r>
                          <w:rPr>
                            <w:sz w:val="20"/>
                            <w:szCs w:val="24"/>
                          </w:rPr>
                          <w:t>p.</w:t>
                        </w:r>
                      </w:p>
                    </w:tc>
                    <w:tc>
                      <w:tcPr>
                        <w:tcW w:w="6842" w:type="dxa"/>
                        <w:vMerge/>
                      </w:tcPr>
                      <w:p>
                        <w:pPr>
                          <w:rPr>
                            <w:szCs w:val="24"/>
                          </w:rPr>
                        </w:pPr>
                      </w:p>
                    </w:tc>
                    <w:tc>
                      <w:tcPr>
                        <w:tcW w:w="1559" w:type="dxa"/>
                        <w:vMerge/>
                      </w:tcPr>
                      <w:p>
                        <w:pPr>
                          <w:rPr>
                            <w:szCs w:val="24"/>
                          </w:rPr>
                        </w:pPr>
                      </w:p>
                    </w:tc>
                    <w:tc>
                      <w:tcPr>
                        <w:tcW w:w="1984" w:type="dxa"/>
                        <w:vMerge/>
                      </w:tcPr>
                      <w:p>
                        <w:pPr>
                          <w:rPr>
                            <w:szCs w:val="24"/>
                          </w:rPr>
                        </w:pPr>
                      </w:p>
                    </w:tc>
                  </w:tr>
                  <w:tr>
                    <w:trPr>
                      <w:jc w:val="center"/>
                    </w:trPr>
                    <w:tc>
                      <w:tcPr>
                        <w:tcW w:w="570" w:type="dxa"/>
                      </w:tcPr>
                      <w:p>
                        <w:pPr>
                          <w:jc w:val="center"/>
                          <w:rPr>
                            <w:bCs/>
                            <w:sz w:val="22"/>
                            <w:szCs w:val="22"/>
                          </w:rPr>
                        </w:pPr>
                        <w:r>
                          <w:rPr>
                            <w:bCs/>
                            <w:sz w:val="22"/>
                            <w:szCs w:val="22"/>
                          </w:rPr>
                          <w:t>1.</w:t>
                        </w:r>
                      </w:p>
                    </w:tc>
                    <w:tc>
                      <w:tcPr>
                        <w:tcW w:w="2297" w:type="dxa"/>
                      </w:tcPr>
                      <w:p>
                        <w:pPr>
                          <w:jc w:val="both"/>
                          <w:rPr>
                            <w:bCs/>
                            <w:sz w:val="22"/>
                            <w:szCs w:val="22"/>
                          </w:rPr>
                        </w:pPr>
                        <w:r>
                          <w:rPr>
                            <w:bCs/>
                            <w:sz w:val="22"/>
                            <w:szCs w:val="22"/>
                          </w:rPr>
                          <w:t>Socialinių reikalų ir darbo komitetas</w:t>
                        </w:r>
                      </w:p>
                      <w:p>
                        <w:pPr>
                          <w:jc w:val="both"/>
                          <w:rPr>
                            <w:bCs/>
                            <w:sz w:val="22"/>
                            <w:szCs w:val="22"/>
                          </w:rPr>
                        </w:pPr>
                        <w:r>
                          <w:rPr>
                            <w:bCs/>
                            <w:sz w:val="22"/>
                            <w:szCs w:val="22"/>
                          </w:rPr>
                          <w:t>2025-12-03</w:t>
                        </w:r>
                      </w:p>
                    </w:tc>
                    <w:tc>
                      <w:tcPr>
                        <w:tcW w:w="684" w:type="dxa"/>
                      </w:tcPr>
                      <w:p>
                        <w:pPr>
                          <w:jc w:val="center"/>
                          <w:rPr>
                            <w:b/>
                            <w:bCs/>
                            <w:sz w:val="22"/>
                            <w:szCs w:val="22"/>
                          </w:rPr>
                        </w:pPr>
                        <w:r>
                          <w:rPr>
                            <w:b/>
                            <w:bCs/>
                            <w:sz w:val="22"/>
                            <w:szCs w:val="22"/>
                          </w:rPr>
                          <w:t>3</w:t>
                        </w:r>
                      </w:p>
                      <w:p>
                        <w:pPr>
                          <w:jc w:val="center"/>
                          <w:rPr>
                            <w:b/>
                            <w:bCs/>
                            <w:sz w:val="22"/>
                            <w:szCs w:val="22"/>
                          </w:rPr>
                        </w:pPr>
                        <w:r>
                          <w:rPr>
                            <w:b/>
                            <w:bCs/>
                            <w:sz w:val="22"/>
                            <w:szCs w:val="22"/>
                          </w:rPr>
                          <w:t>(6)</w:t>
                        </w:r>
                      </w:p>
                    </w:tc>
                    <w:tc>
                      <w:tcPr>
                        <w:tcW w:w="684" w:type="dxa"/>
                      </w:tcPr>
                      <w:p>
                        <w:pPr>
                          <w:jc w:val="center"/>
                          <w:rPr>
                            <w:b/>
                            <w:bCs/>
                            <w:sz w:val="22"/>
                            <w:szCs w:val="22"/>
                          </w:rPr>
                        </w:pPr>
                        <w:r>
                          <w:rPr>
                            <w:b/>
                            <w:bCs/>
                            <w:sz w:val="22"/>
                            <w:szCs w:val="22"/>
                          </w:rPr>
                          <w:t>2</w:t>
                        </w:r>
                      </w:p>
                      <w:p>
                        <w:pPr>
                          <w:jc w:val="center"/>
                          <w:rPr>
                            <w:b/>
                            <w:bCs/>
                            <w:sz w:val="22"/>
                            <w:szCs w:val="22"/>
                          </w:rPr>
                        </w:pPr>
                        <w:r>
                          <w:rPr>
                            <w:b/>
                            <w:bCs/>
                            <w:sz w:val="22"/>
                            <w:szCs w:val="22"/>
                          </w:rPr>
                          <w:t>(5)</w:t>
                        </w:r>
                      </w:p>
                    </w:tc>
                    <w:tc>
                      <w:tcPr>
                        <w:tcW w:w="684" w:type="dxa"/>
                      </w:tcPr>
                      <w:p>
                        <w:pPr>
                          <w:jc w:val="center"/>
                          <w:rPr>
                            <w:b/>
                            <w:bCs/>
                            <w:sz w:val="22"/>
                            <w:szCs w:val="22"/>
                          </w:rPr>
                        </w:pPr>
                      </w:p>
                    </w:tc>
                    <w:tc>
                      <w:tcPr>
                        <w:tcW w:w="6842" w:type="dxa"/>
                      </w:tcPr>
                      <w:p>
                        <w:pPr>
                          <w:ind w:firstLine="227"/>
                          <w:jc w:val="both"/>
                          <w:rPr>
                            <w:b/>
                            <w:bCs/>
                            <w:sz w:val="22"/>
                            <w:szCs w:val="22"/>
                          </w:rPr>
                        </w:pPr>
                        <w:r>
                          <w:rPr>
                            <w:b/>
                            <w:bCs/>
                            <w:sz w:val="22"/>
                            <w:szCs w:val="22"/>
                          </w:rPr>
                          <w:t>Argumentai:</w:t>
                        </w:r>
                      </w:p>
                      <w:p>
                        <w:pPr>
                          <w:ind w:firstLine="227"/>
                          <w:jc w:val="both"/>
                          <w:rPr>
                            <w:bCs/>
                            <w:sz w:val="22"/>
                            <w:szCs w:val="22"/>
                          </w:rPr>
                        </w:pPr>
                        <w:r>
                          <w:rPr>
                            <w:bCs/>
                            <w:sz w:val="22"/>
                            <w:szCs w:val="22"/>
                          </w:rPr>
                          <w:t>Atsižvelgiant į Seimo kanceliarijos Teisės departamento pastabą Nr. 4 ir į Seimo narės R.Popovienės 2025-12-02 pasiūlymą, kuriam Komitetas pritarė – siūlome patikslinti įstatymo projekto 3 straipsnio 2 dalį.</w:t>
                        </w:r>
                      </w:p>
                      <w:p>
                        <w:pPr>
                          <w:ind w:firstLine="227"/>
                          <w:jc w:val="both"/>
                          <w:rPr>
                            <w:b/>
                            <w:bCs/>
                            <w:sz w:val="22"/>
                            <w:szCs w:val="22"/>
                          </w:rPr>
                        </w:pPr>
                        <w:r>
                          <w:rPr>
                            <w:b/>
                            <w:bCs/>
                            <w:sz w:val="22"/>
                            <w:szCs w:val="22"/>
                          </w:rPr>
                          <w:t>Pasiūlymas:</w:t>
                        </w:r>
                      </w:p>
                      <w:p>
                        <w:pPr>
                          <w:ind w:firstLine="227"/>
                          <w:jc w:val="both"/>
                          <w:rPr>
                            <w:bCs/>
                            <w:sz w:val="22"/>
                            <w:szCs w:val="22"/>
                          </w:rPr>
                        </w:pPr>
                        <w:r>
                          <w:rPr>
                            <w:bCs/>
                            <w:sz w:val="22"/>
                            <w:szCs w:val="22"/>
                          </w:rPr>
                          <w:t>Siūlome 3 straipsnio 2 dalį patikslinti, ją laikyti 3 dalimi ir išdėstyti taip:</w:t>
                        </w:r>
                      </w:p>
                      <w:p>
                        <w:pPr>
                          <w:ind w:firstLine="709"/>
                          <w:jc w:val="both"/>
                          <w:rPr>
                            <w:bCs/>
                            <w:szCs w:val="24"/>
                          </w:rPr>
                        </w:pPr>
                        <w:r>
                          <w:rPr>
                            <w:strike/>
                            <w:szCs w:val="24"/>
                          </w:rPr>
                          <w:t>„</w:t>
                        </w:r>
                        <w:r>
                          <w:rPr>
                            <w:bCs/>
                            <w:strike/>
                            <w:szCs w:val="24"/>
                          </w:rPr>
                          <w:t>2</w:t>
                        </w:r>
                        <w:r>
                          <w:rPr>
                            <w:bCs/>
                            <w:szCs w:val="24"/>
                          </w:rPr>
                          <w:t>.</w:t>
                        </w:r>
                        <w:r>
                          <w:rPr>
                            <w:b/>
                            <w:bCs/>
                            <w:szCs w:val="24"/>
                          </w:rPr>
                          <w:t>3.</w:t>
                        </w:r>
                        <w:r>
                          <w:rPr>
                            <w:bCs/>
                            <w:szCs w:val="24"/>
                          </w:rPr>
                          <w:t xml:space="preserve">  Pakeisti 6 straipsnio 5 dalį ir ją išdėstyti taip:</w:t>
                        </w:r>
                      </w:p>
                      <w:p>
                        <w:pPr>
                          <w:ind w:firstLine="227"/>
                          <w:jc w:val="both"/>
                          <w:rPr>
                            <w:b/>
                            <w:bCs/>
                            <w:sz w:val="22"/>
                            <w:szCs w:val="22"/>
                          </w:rPr>
                        </w:pPr>
                        <w:r>
                          <w:rPr>
                            <w:sz w:val="22"/>
                            <w:szCs w:val="22"/>
                          </w:rPr>
                          <w:t xml:space="preserve">„5. Šio įstatymo 1 priede nustatyti minimalūs </w:t>
                        </w:r>
                        <w:r>
                          <w:rPr>
                            <w:b/>
                            <w:sz w:val="22"/>
                            <w:szCs w:val="22"/>
                          </w:rPr>
                          <w:t>pareiginės algos</w:t>
                        </w:r>
                        <w:r>
                          <w:rPr>
                            <w:sz w:val="22"/>
                            <w:szCs w:val="22"/>
                          </w:rPr>
                          <w:t xml:space="preserve"> </w:t>
                        </w:r>
                        <w:r>
                          <w:rPr>
                            <w:b/>
                            <w:sz w:val="22"/>
                            <w:szCs w:val="22"/>
                          </w:rPr>
                          <w:t>koeficientai</w:t>
                        </w:r>
                        <w:r>
                          <w:rPr>
                            <w:sz w:val="22"/>
                            <w:szCs w:val="22"/>
                          </w:rPr>
                          <w:t xml:space="preserve"> socialinių paslaugų srities darbuotoj</w:t>
                        </w:r>
                        <w:r>
                          <w:rPr>
                            <w:strike/>
                            <w:sz w:val="22"/>
                            <w:szCs w:val="22"/>
                          </w:rPr>
                          <w:t>ų</w:t>
                        </w:r>
                        <w:r>
                          <w:rPr>
                            <w:b/>
                            <w:sz w:val="22"/>
                            <w:szCs w:val="22"/>
                          </w:rPr>
                          <w:t>ams</w:t>
                        </w:r>
                        <w:r>
                          <w:rPr>
                            <w:sz w:val="22"/>
                            <w:szCs w:val="22"/>
                          </w:rPr>
                          <w:t xml:space="preserve">  </w:t>
                        </w:r>
                        <w:r>
                          <w:rPr>
                            <w:strike/>
                            <w:sz w:val="22"/>
                            <w:szCs w:val="22"/>
                          </w:rPr>
                          <w:t>pareiginės algos koeficientai</w:t>
                        </w:r>
                        <w:r>
                          <w:rPr>
                            <w:sz w:val="22"/>
                            <w:szCs w:val="22"/>
                          </w:rPr>
                          <w:t xml:space="preserve"> didinami 21 procentu, trener</w:t>
                        </w:r>
                        <w:r>
                          <w:rPr>
                            <w:strike/>
                            <w:sz w:val="22"/>
                            <w:szCs w:val="22"/>
                          </w:rPr>
                          <w:t xml:space="preserve">ių </w:t>
                        </w:r>
                        <w:r>
                          <w:rPr>
                            <w:b/>
                            <w:sz w:val="22"/>
                            <w:szCs w:val="22"/>
                          </w:rPr>
                          <w:t>iams</w:t>
                        </w:r>
                        <w:r>
                          <w:rPr>
                            <w:sz w:val="22"/>
                            <w:szCs w:val="22"/>
                          </w:rPr>
                          <w:t xml:space="preserve"> – </w:t>
                        </w:r>
                        <w:r>
                          <w:rPr>
                            <w:strike/>
                            <w:sz w:val="22"/>
                            <w:szCs w:val="22"/>
                          </w:rPr>
                          <w:t>5</w:t>
                        </w:r>
                        <w:r>
                          <w:rPr>
                            <w:sz w:val="22"/>
                            <w:szCs w:val="22"/>
                          </w:rPr>
                          <w:t xml:space="preserve"> </w:t>
                        </w:r>
                        <w:r>
                          <w:rPr>
                            <w:b/>
                            <w:color w:val="000000"/>
                            <w:sz w:val="22"/>
                            <w:szCs w:val="22"/>
                          </w:rPr>
                          <w:t>7,65 </w:t>
                        </w:r>
                        <w:r>
                          <w:rPr>
                            <w:sz w:val="22"/>
                            <w:szCs w:val="22"/>
                          </w:rPr>
                          <w:t xml:space="preserve"> </w:t>
                        </w:r>
                        <w:r>
                          <w:rPr>
                            <w:strike/>
                            <w:sz w:val="22"/>
                            <w:szCs w:val="22"/>
                          </w:rPr>
                          <w:t>procentais</w:t>
                        </w:r>
                        <w:r>
                          <w:rPr>
                            <w:sz w:val="22"/>
                            <w:szCs w:val="22"/>
                          </w:rPr>
                          <w:t xml:space="preserve"> </w:t>
                        </w:r>
                        <w:r>
                          <w:rPr>
                            <w:b/>
                            <w:sz w:val="22"/>
                            <w:szCs w:val="22"/>
                          </w:rPr>
                          <w:t>procento</w:t>
                        </w:r>
                        <w:r>
                          <w:rPr>
                            <w:sz w:val="22"/>
                            <w:szCs w:val="22"/>
                          </w:rPr>
                          <w:t>.“</w:t>
                        </w:r>
                      </w:p>
                    </w:tc>
                    <w:tc>
                      <w:tcPr>
                        <w:tcW w:w="1559" w:type="dxa"/>
                      </w:tcPr>
                      <w:p>
                        <w:pPr>
                          <w:jc w:val="center"/>
                          <w:rPr>
                            <w:bCs/>
                            <w:sz w:val="22"/>
                            <w:szCs w:val="22"/>
                          </w:rPr>
                        </w:pPr>
                        <w:r>
                          <w:rPr>
                            <w:bCs/>
                            <w:sz w:val="22"/>
                            <w:szCs w:val="22"/>
                          </w:rPr>
                          <w:t>Pritarti.</w:t>
                        </w:r>
                      </w:p>
                    </w:tc>
                    <w:tc>
                      <w:tcPr>
                        <w:tcW w:w="1984" w:type="dxa"/>
                      </w:tcPr>
                      <w:p>
                        <w:pPr>
                          <w:ind w:firstLine="227"/>
                          <w:jc w:val="both"/>
                          <w:rPr>
                            <w:bCs/>
                            <w:sz w:val="22"/>
                            <w:szCs w:val="22"/>
                          </w:rPr>
                        </w:pPr>
                      </w:p>
                    </w:tc>
                  </w:tr>
                </w:tbl>
                <w:p>
                  <w:pPr>
                    <w:spacing w:line="278" w:lineRule="auto"/>
                    <w:ind w:left="1080"/>
                    <w:jc w:val="both"/>
                    <w:rPr>
                      <w:kern w:val="2"/>
                      <w:sz w:val="22"/>
                      <w:szCs w:val="22"/>
                      <w:lang w:eastAsia="lt-LT"/>
                    </w:rPr>
                  </w:pPr>
                </w:p>
                <w:p>
                  <w:pPr>
                    <w:jc w:val="both"/>
                    <w:rPr>
                      <w:sz w:val="22"/>
                      <w:szCs w:val="22"/>
                    </w:rPr>
                  </w:pPr>
                </w:p>
              </w:sdtContent>
            </w:sdt>
          </w:sdtContent>
        </w:sdt>
        <w:sdt>
          <w:sdtPr>
            <w:alias w:val="8 p."/>
            <w:tag w:val="part_a5e6ee3cc2404f51b437503ff35d00f9"/>
            <w:lock w:val="sdtLocked"/>
            <w:richText/>
          </w:sdtPr>
          <w:sdtContent>
            <w:p>
              <w:pPr>
                <w:ind w:firstLine="720"/>
                <w:jc w:val="both"/>
                <w:rPr>
                  <w:szCs w:val="24"/>
                </w:rPr>
              </w:pPr>
              <w:sdt>
                <w:sdtPr>
                  <w:alias w:val="Numeris"/>
                  <w:tag w:val="nr_a5e6ee3cc2404f51b437503ff35d00f9"/>
                  <w:lock w:val="sdtLocked"/>
                  <w:richText/>
                </w:sdtPr>
                <w:sdtContent>
                  <w:r>
                    <w:rPr>
                      <w:b/>
                      <w:szCs w:val="24"/>
                    </w:rPr>
                    <w:t>8</w:t>
                  </w:r>
                </w:sdtContent>
              </w:sdt>
              <w:r>
                <w:rPr>
                  <w:b/>
                  <w:szCs w:val="24"/>
                </w:rPr>
                <w:t>. Balsavimo rezultatai:</w:t>
              </w:r>
              <w:r>
                <w:rPr>
                  <w:szCs w:val="24"/>
                </w:rPr>
                <w:t xml:space="preserve"> pritarta bendru sutarimu.</w:t>
              </w:r>
            </w:p>
          </w:sdtContent>
        </w:sdt>
        <w:sdt>
          <w:sdtPr>
            <w:alias w:val="9 p."/>
            <w:tag w:val="part_a8555b9eb4ac49e6af055a3a285ba274"/>
            <w:lock w:val="sdtLocked"/>
            <w:richText/>
          </w:sdtPr>
          <w:sdtContent>
            <w:p>
              <w:pPr>
                <w:ind w:firstLine="720"/>
                <w:jc w:val="both"/>
                <w:rPr>
                  <w:szCs w:val="24"/>
                </w:rPr>
              </w:pPr>
              <w:sdt>
                <w:sdtPr>
                  <w:alias w:val="Numeris"/>
                  <w:tag w:val="nr_a8555b9eb4ac49e6af055a3a285ba274"/>
                  <w:lock w:val="sdtLocked"/>
                  <w:richText/>
                </w:sdtPr>
                <w:sdtContent>
                  <w:r>
                    <w:rPr>
                      <w:b/>
                      <w:szCs w:val="24"/>
                    </w:rPr>
                    <w:t>9</w:t>
                  </w:r>
                </w:sdtContent>
              </w:sdt>
              <w:r>
                <w:rPr>
                  <w:b/>
                  <w:szCs w:val="24"/>
                </w:rPr>
                <w:t>. Komiteto paskirtas pranešėjas:</w:t>
              </w:r>
              <w:r>
                <w:rPr>
                  <w:szCs w:val="24"/>
                </w:rPr>
                <w:t xml:space="preserve"> Eimantas Kirkutis.</w:t>
              </w:r>
            </w:p>
          </w:sdtContent>
        </w:sdt>
        <w:sdt>
          <w:sdtPr>
            <w:alias w:val="10 p."/>
            <w:tag w:val="part_2ec7a48a085b4f06992025a7a372bf69"/>
            <w:lock w:val="sdtLocked"/>
            <w:richText/>
          </w:sdtPr>
          <w:sdtContent>
            <w:p>
              <w:pPr>
                <w:ind w:firstLine="720"/>
                <w:jc w:val="both"/>
                <w:rPr>
                  <w:b/>
                  <w:szCs w:val="24"/>
                </w:rPr>
              </w:pPr>
              <w:sdt>
                <w:sdtPr>
                  <w:alias w:val="Numeris"/>
                  <w:tag w:val="nr_2ec7a48a085b4f06992025a7a372bf69"/>
                  <w:lock w:val="sdtLocked"/>
                  <w:richText/>
                </w:sdtPr>
                <w:sdtContent>
                  <w:r>
                    <w:rPr>
                      <w:b/>
                      <w:szCs w:val="24"/>
                    </w:rPr>
                    <w:t>10</w:t>
                  </w:r>
                </w:sdtContent>
              </w:sdt>
              <w:r>
                <w:rPr>
                  <w:b/>
                  <w:szCs w:val="24"/>
                </w:rPr>
                <w:t>. Komiteto narių atskiroji nuomonė: -.</w:t>
              </w:r>
            </w:p>
            <w:p>
              <w:pPr>
                <w:ind w:firstLine="720"/>
                <w:jc w:val="both"/>
                <w:rPr>
                  <w:b/>
                  <w:sz w:val="20"/>
                </w:rPr>
              </w:pPr>
            </w:p>
            <w:p>
              <w:pPr>
                <w:spacing w:line="360" w:lineRule="auto"/>
                <w:ind w:firstLine="720"/>
                <w:jc w:val="both"/>
                <w:rPr>
                  <w:sz w:val="16"/>
                  <w:szCs w:val="24"/>
                </w:rPr>
              </w:pPr>
              <w:r>
                <w:rPr>
                  <w:bCs/>
                  <w:szCs w:val="24"/>
                </w:rPr>
                <w:t xml:space="preserve">PRIDEDAMA. </w:t>
              </w:r>
              <w:r>
                <w:rPr>
                  <w:szCs w:val="24"/>
                </w:rPr>
                <w:t>Komiteto siūlomas įstatymo projektas, jo lyginamasis variantas.</w:t>
              </w:r>
            </w:p>
          </w:sdtContent>
        </w:sdt>
        <w:sdt>
          <w:sdtPr>
            <w:alias w:val="signatura"/>
            <w:tag w:val="part_57c0cc42025646929d03d3f6ad88479f"/>
            <w:lock w:val="sdtLocked"/>
            <w:richText/>
          </w:sdtPr>
          <w:sdtContent>
            <w:p>
              <w:pPr>
                <w:jc w:val="both"/>
                <w:rPr>
                  <w:szCs w:val="24"/>
                </w:rPr>
              </w:pPr>
              <w:r>
                <w:rPr>
                  <w:szCs w:val="24"/>
                </w:rPr>
                <w:t>Komiteto pirmininkas</w:t>
                <w:tab/>
                <w:tab/>
                <w:tab/>
                <w:tab/>
                <w:tab/>
                <w:tab/>
                <w:tab/>
              </w:r>
              <w:r>
                <w:rPr>
                  <w:color w:val="FFFFFF"/>
                  <w:szCs w:val="24"/>
                </w:rPr>
                <w:t>(Parašas)</w:t>
              </w:r>
              <w:r>
                <w:rPr>
                  <w:szCs w:val="24"/>
                </w:rPr>
                <w:tab/>
                <w:tab/>
                <w:tab/>
                <w:tab/>
                <w:tab/>
                <w:tab/>
                <w:tab/>
                <w:t>Kęstutis Bilius</w:t>
              </w: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 w:val="20"/>
                  <w:szCs w:val="24"/>
                </w:rPr>
              </w:pPr>
            </w:p>
            <w:p>
              <w:pPr>
                <w:rPr>
                  <w:szCs w:val="24"/>
                </w:rPr>
              </w:pPr>
              <w:r>
                <w:rPr>
                  <w:sz w:val="20"/>
                  <w:szCs w:val="24"/>
                </w:rPr>
                <w:t>SRDK biuro vedėja Ieva Kuodienė</w:t>
              </w:r>
            </w:p>
          </w:sdtContent>
        </w:sdt>
      </w:sdtContent>
    </w:sdt>
    <w:sectPr>
      <w:headerReference w:type="even" r:id="rId24"/>
      <w:headerReference w:type="default" r:id="rId25"/>
      <w:footerReference w:type="even" r:id="rId26"/>
      <w:footerReference w:type="default" r:id="rId27"/>
      <w:headerReference w:type="first" r:id="rId28"/>
      <w:footerReference w:type="first" r:id="rId29"/>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szCs w:val="24"/>
          <w:lang w:val="en-US"/>
        </w:rPr>
      </w:pPr>
      <w:r>
        <w:rPr>
          <w:rFonts w:ascii="TimesLT" w:hAnsi="TimesLT"/>
          <w:szCs w:val="24"/>
          <w:lang w:val="en-US"/>
        </w:rPr>
        <w:separator/>
      </w:r>
    </w:p>
    <w:p>
      <w:pPr>
        <w:rPr>
          <w:szCs w:val="24"/>
        </w:rPr>
      </w:pPr>
    </w:p>
  </w:endnote>
  <w:endnote w:type="continuationSeparator" w:id="0">
    <w:p>
      <w:pPr>
        <w:rPr>
          <w:rFonts w:ascii="TimesLT" w:hAnsi="TimesLT"/>
          <w:szCs w:val="24"/>
          <w:lang w:val="en-US"/>
        </w:rPr>
      </w:pPr>
      <w:r>
        <w:rPr>
          <w:rFonts w:ascii="TimesLT" w:hAnsi="TimesLT"/>
          <w:szCs w:val="24"/>
          <w:lang w:val="en-US"/>
        </w:rPr>
        <w:continuationSeparator/>
      </w:r>
    </w:p>
    <w:p>
      <w:pPr>
        <w:rPr>
          <w:szCs w:val="24"/>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szCs w:val="24"/>
          <w:lang w:val="en-US"/>
        </w:rPr>
      </w:pPr>
      <w:r>
        <w:rPr>
          <w:rFonts w:ascii="TimesLT" w:hAnsi="TimesLT"/>
          <w:szCs w:val="24"/>
          <w:lang w:val="en-US"/>
        </w:rPr>
        <w:separator/>
      </w:r>
    </w:p>
    <w:p>
      <w:pPr>
        <w:rPr>
          <w:szCs w:val="24"/>
        </w:rPr>
      </w:pPr>
    </w:p>
  </w:footnote>
  <w:footnote w:type="continuationSeparator" w:id="0">
    <w:p>
      <w:pPr>
        <w:rPr>
          <w:rFonts w:ascii="TimesLT" w:hAnsi="TimesLT"/>
          <w:szCs w:val="24"/>
          <w:lang w:val="en-US"/>
        </w:rPr>
      </w:pPr>
      <w:r>
        <w:rPr>
          <w:rFonts w:ascii="TimesLT" w:hAnsi="TimesLT"/>
          <w:szCs w:val="24"/>
          <w:lang w:val="en-US"/>
        </w:rPr>
        <w:continuationSeparator/>
      </w:r>
    </w:p>
    <w:p>
      <w:pPr>
        <w:rPr>
          <w:szCs w:val="24"/>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end"/>
    </w:r>
  </w:p>
  <w:p>
    <w:pPr>
      <w:tabs>
        <w:tab w:val="center" w:pos="4153"/>
        <w:tab w:val="right" w:pos="8306"/>
      </w:tabs>
      <w:rPr>
        <w:rFonts w:ascii="TimesLT" w:hAnsi="TimesLT"/>
        <w:szCs w:val="24"/>
        <w:lang w:val="en-US"/>
      </w:rPr>
    </w:pPr>
  </w:p>
  <w:p>
    <w:pPr>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separate"/>
    </w:r>
    <w:r>
      <w:rPr>
        <w:rFonts w:ascii="TimesLT" w:hAnsi="TimesLT"/>
        <w:szCs w:val="24"/>
        <w:lang w:val="en-US"/>
      </w:rPr>
      <w:t>34</w:t>
    </w:r>
    <w:r>
      <w:rPr>
        <w:rFonts w:ascii="TimesLT" w:hAnsi="TimesLT"/>
        <w:szCs w:val="24"/>
        <w:lang w:val="en-US"/>
      </w:rPr>
      <w:fldChar w:fldCharType="end"/>
    </w:r>
  </w:p>
  <w:p>
    <w:pPr>
      <w:tabs>
        <w:tab w:val="center" w:pos="4153"/>
        <w:tab w:val="right" w:pos="830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1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5AFB90E-B654-4418-BC81-B2D136180D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77498">
      <w:bodyDiv w:val="1"/>
      <w:marLeft w:val="0"/>
      <w:marRight w:val="0"/>
      <w:marTop w:val="0"/>
      <w:marBottom w:val="0"/>
      <w:divBdr>
        <w:top w:val="none" w:sz="0" w:space="0" w:color="auto"/>
        <w:left w:val="none" w:sz="0" w:space="0" w:color="auto"/>
        <w:bottom w:val="none" w:sz="0" w:space="0" w:color="auto"/>
        <w:right w:val="none" w:sz="0" w:space="0" w:color="auto"/>
      </w:divBdr>
    </w:div>
    <w:div w:id="12190746">
      <w:bodyDiv w:val="1"/>
      <w:marLeft w:val="0"/>
      <w:marRight w:val="0"/>
      <w:marTop w:val="0"/>
      <w:marBottom w:val="0"/>
      <w:divBdr>
        <w:top w:val="none" w:sz="0" w:space="0" w:color="auto"/>
        <w:left w:val="none" w:sz="0" w:space="0" w:color="auto"/>
        <w:bottom w:val="none" w:sz="0" w:space="0" w:color="auto"/>
        <w:right w:val="none" w:sz="0" w:space="0" w:color="auto"/>
      </w:divBdr>
    </w:div>
    <w:div w:id="356582680">
      <w:bodyDiv w:val="1"/>
      <w:marLeft w:val="0"/>
      <w:marRight w:val="0"/>
      <w:marTop w:val="0"/>
      <w:marBottom w:val="0"/>
      <w:divBdr>
        <w:top w:val="none" w:sz="0" w:space="0" w:color="auto"/>
        <w:left w:val="none" w:sz="0" w:space="0" w:color="auto"/>
        <w:bottom w:val="none" w:sz="0" w:space="0" w:color="auto"/>
        <w:right w:val="none" w:sz="0" w:space="0" w:color="auto"/>
      </w:divBdr>
      <w:divsChild>
        <w:div w:id="604773215">
          <w:marLeft w:val="0"/>
          <w:marRight w:val="0"/>
          <w:marTop w:val="0"/>
          <w:marBottom w:val="0"/>
          <w:divBdr>
            <w:top w:val="none" w:sz="0" w:space="0" w:color="auto"/>
            <w:left w:val="none" w:sz="0" w:space="0" w:color="auto"/>
            <w:bottom w:val="none" w:sz="0" w:space="0" w:color="auto"/>
            <w:right w:val="none" w:sz="0" w:space="0" w:color="auto"/>
          </w:divBdr>
          <w:divsChild>
            <w:div w:id="551506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193654">
      <w:bodyDiv w:val="1"/>
      <w:marLeft w:val="0"/>
      <w:marRight w:val="0"/>
      <w:marTop w:val="0"/>
      <w:marBottom w:val="0"/>
      <w:divBdr>
        <w:top w:val="none" w:sz="0" w:space="0" w:color="auto"/>
        <w:left w:val="none" w:sz="0" w:space="0" w:color="auto"/>
        <w:bottom w:val="none" w:sz="0" w:space="0" w:color="auto"/>
        <w:right w:val="none" w:sz="0" w:space="0" w:color="auto"/>
      </w:divBdr>
    </w:div>
    <w:div w:id="735977789">
      <w:bodyDiv w:val="1"/>
      <w:marLeft w:val="0"/>
      <w:marRight w:val="0"/>
      <w:marTop w:val="0"/>
      <w:marBottom w:val="0"/>
      <w:divBdr>
        <w:top w:val="none" w:sz="0" w:space="0" w:color="auto"/>
        <w:left w:val="none" w:sz="0" w:space="0" w:color="auto"/>
        <w:bottom w:val="none" w:sz="0" w:space="0" w:color="auto"/>
        <w:right w:val="none" w:sz="0" w:space="0" w:color="auto"/>
      </w:divBdr>
      <w:divsChild>
        <w:div w:id="1135872062">
          <w:marLeft w:val="0"/>
          <w:marRight w:val="0"/>
          <w:marTop w:val="0"/>
          <w:marBottom w:val="0"/>
          <w:divBdr>
            <w:top w:val="none" w:sz="0" w:space="0" w:color="auto"/>
            <w:left w:val="none" w:sz="0" w:space="0" w:color="auto"/>
            <w:bottom w:val="none" w:sz="0" w:space="0" w:color="auto"/>
            <w:right w:val="none" w:sz="0" w:space="0" w:color="auto"/>
          </w:divBdr>
        </w:div>
        <w:div w:id="1185248339">
          <w:marLeft w:val="0"/>
          <w:marRight w:val="0"/>
          <w:marTop w:val="0"/>
          <w:marBottom w:val="0"/>
          <w:divBdr>
            <w:top w:val="none" w:sz="0" w:space="0" w:color="auto"/>
            <w:left w:val="none" w:sz="0" w:space="0" w:color="auto"/>
            <w:bottom w:val="none" w:sz="0" w:space="0" w:color="auto"/>
            <w:right w:val="none" w:sz="0" w:space="0" w:color="auto"/>
          </w:divBdr>
        </w:div>
        <w:div w:id="1151675546">
          <w:marLeft w:val="0"/>
          <w:marRight w:val="0"/>
          <w:marTop w:val="0"/>
          <w:marBottom w:val="0"/>
          <w:divBdr>
            <w:top w:val="none" w:sz="0" w:space="0" w:color="auto"/>
            <w:left w:val="none" w:sz="0" w:space="0" w:color="auto"/>
            <w:bottom w:val="none" w:sz="0" w:space="0" w:color="auto"/>
            <w:right w:val="none" w:sz="0" w:space="0" w:color="auto"/>
          </w:divBdr>
        </w:div>
      </w:divsChild>
    </w:div>
    <w:div w:id="780539310">
      <w:bodyDiv w:val="1"/>
      <w:marLeft w:val="0"/>
      <w:marRight w:val="0"/>
      <w:marTop w:val="0"/>
      <w:marBottom w:val="0"/>
      <w:divBdr>
        <w:top w:val="none" w:sz="0" w:space="0" w:color="auto"/>
        <w:left w:val="none" w:sz="0" w:space="0" w:color="auto"/>
        <w:bottom w:val="none" w:sz="0" w:space="0" w:color="auto"/>
        <w:right w:val="none" w:sz="0" w:space="0" w:color="auto"/>
      </w:divBdr>
    </w:div>
    <w:div w:id="975988798">
      <w:bodyDiv w:val="1"/>
      <w:marLeft w:val="0"/>
      <w:marRight w:val="0"/>
      <w:marTop w:val="0"/>
      <w:marBottom w:val="0"/>
      <w:divBdr>
        <w:top w:val="none" w:sz="0" w:space="0" w:color="auto"/>
        <w:left w:val="none" w:sz="0" w:space="0" w:color="auto"/>
        <w:bottom w:val="none" w:sz="0" w:space="0" w:color="auto"/>
        <w:right w:val="none" w:sz="0" w:space="0" w:color="auto"/>
      </w:divBdr>
    </w:div>
    <w:div w:id="1071121544">
      <w:bodyDiv w:val="1"/>
      <w:marLeft w:val="0"/>
      <w:marRight w:val="0"/>
      <w:marTop w:val="0"/>
      <w:marBottom w:val="0"/>
      <w:divBdr>
        <w:top w:val="none" w:sz="0" w:space="0" w:color="auto"/>
        <w:left w:val="none" w:sz="0" w:space="0" w:color="auto"/>
        <w:bottom w:val="none" w:sz="0" w:space="0" w:color="auto"/>
        <w:right w:val="none" w:sz="0" w:space="0" w:color="auto"/>
      </w:divBdr>
    </w:div>
    <w:div w:id="1133596680">
      <w:bodyDiv w:val="1"/>
      <w:marLeft w:val="0"/>
      <w:marRight w:val="0"/>
      <w:marTop w:val="0"/>
      <w:marBottom w:val="0"/>
      <w:divBdr>
        <w:top w:val="none" w:sz="0" w:space="0" w:color="auto"/>
        <w:left w:val="none" w:sz="0" w:space="0" w:color="auto"/>
        <w:bottom w:val="none" w:sz="0" w:space="0" w:color="auto"/>
        <w:right w:val="none" w:sz="0" w:space="0" w:color="auto"/>
      </w:divBdr>
    </w:div>
    <w:div w:id="1387753166">
      <w:bodyDiv w:val="1"/>
      <w:marLeft w:val="0"/>
      <w:marRight w:val="0"/>
      <w:marTop w:val="0"/>
      <w:marBottom w:val="0"/>
      <w:divBdr>
        <w:top w:val="none" w:sz="0" w:space="0" w:color="auto"/>
        <w:left w:val="none" w:sz="0" w:space="0" w:color="auto"/>
        <w:bottom w:val="none" w:sz="0" w:space="0" w:color="auto"/>
        <w:right w:val="none" w:sz="0" w:space="0" w:color="auto"/>
      </w:divBdr>
    </w:div>
    <w:div w:id="1785878689">
      <w:bodyDiv w:val="1"/>
      <w:marLeft w:val="0"/>
      <w:marRight w:val="0"/>
      <w:marTop w:val="0"/>
      <w:marBottom w:val="0"/>
      <w:divBdr>
        <w:top w:val="none" w:sz="0" w:space="0" w:color="auto"/>
        <w:left w:val="none" w:sz="0" w:space="0" w:color="auto"/>
        <w:bottom w:val="none" w:sz="0" w:space="0" w:color="auto"/>
        <w:right w:val="none" w:sz="0" w:space="0" w:color="auto"/>
      </w:divBdr>
      <w:divsChild>
        <w:div w:id="414016295">
          <w:marLeft w:val="0"/>
          <w:marRight w:val="0"/>
          <w:marTop w:val="0"/>
          <w:marBottom w:val="0"/>
          <w:divBdr>
            <w:top w:val="none" w:sz="0" w:space="0" w:color="auto"/>
            <w:left w:val="none" w:sz="0" w:space="0" w:color="auto"/>
            <w:bottom w:val="none" w:sz="0" w:space="0" w:color="auto"/>
            <w:right w:val="none" w:sz="0" w:space="0" w:color="auto"/>
          </w:divBdr>
          <w:divsChild>
            <w:div w:id="63166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233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3.emf"/>
  <Relationship Id="rId11" Type="http://schemas.openxmlformats.org/officeDocument/2006/relationships/image" Target="media/image4.emf"/>
  <Relationship Id="rId12" Type="http://schemas.openxmlformats.org/officeDocument/2006/relationships/image" Target="media/image5.emf"/>
  <Relationship Id="rId13" Type="http://schemas.openxmlformats.org/officeDocument/2006/relationships/image" Target="media/image6.emf"/>
  <Relationship Id="rId14" Type="http://schemas.openxmlformats.org/officeDocument/2006/relationships/image" Target="media/image7.emf"/>
  <Relationship Id="rId15" Type="http://schemas.openxmlformats.org/officeDocument/2006/relationships/image" Target="media/image8.emf"/>
  <Relationship Id="rId16" Type="http://schemas.openxmlformats.org/officeDocument/2006/relationships/image" Target="media/image9.emf"/>
  <Relationship Id="rId17" Type="http://schemas.openxmlformats.org/officeDocument/2006/relationships/image" Target="media/image10.emf"/>
  <Relationship Id="rId18" Type="http://schemas.openxmlformats.org/officeDocument/2006/relationships/image" Target="media/image11.emf"/>
  <Relationship Id="rId19" Type="http://schemas.openxmlformats.org/officeDocument/2006/relationships/image" Target="media/image12.emf"/>
  <Relationship Id="rId2" Type="http://schemas.openxmlformats.org/officeDocument/2006/relationships/customXml" Target="../customXml/item2.xml"/>
  <Relationship Id="rId20" Type="http://schemas.openxmlformats.org/officeDocument/2006/relationships/image" Target="media/image13.emf"/>
  <Relationship Id="rId21" Type="http://schemas.openxmlformats.org/officeDocument/2006/relationships/image" Target="media/image14.emf"/>
  <Relationship Id="rId22" Type="http://schemas.openxmlformats.org/officeDocument/2006/relationships/image" Target="media/image15.emf"/>
  <Relationship Id="rId23" Type="http://schemas.openxmlformats.org/officeDocument/2006/relationships/image" Target="media/image16.emf"/>
  <Relationship Id="rId24" Type="http://schemas.openxmlformats.org/officeDocument/2006/relationships/header" Target="header1.xml"/>
  <Relationship Id="rId25" Type="http://schemas.openxmlformats.org/officeDocument/2006/relationships/header" Target="header2.xml"/>
  <Relationship Id="rId26" Type="http://schemas.openxmlformats.org/officeDocument/2006/relationships/footer" Target="footer1.xml"/>
  <Relationship Id="rId27" Type="http://schemas.openxmlformats.org/officeDocument/2006/relationships/footer" Target="footer2.xml"/>
  <Relationship Id="rId28" Type="http://schemas.openxmlformats.org/officeDocument/2006/relationships/header" Target="header3.xml"/>
  <Relationship Id="rId29" Type="http://schemas.openxmlformats.org/officeDocument/2006/relationships/footer" Target="footer3.xml"/>
  <Relationship Id="rId3" Type="http://schemas.openxmlformats.org/officeDocument/2006/relationships/styles" Target="styles.xml"/>
  <Relationship Id="rId30" Type="http://schemas.openxmlformats.org/officeDocument/2006/relationships/fontTable" Target="fontTable.xml"/>
  <Relationship Id="rId31" Type="http://schemas.openxmlformats.org/officeDocument/2006/relationships/theme" Target="theme/theme1.xml"/>
  <Relationship Id="rId32" Type="http://schemas.openxmlformats.org/officeDocument/2006/relationships/customXml" Target="../customXml/item3.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image" Target="media/image2.em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541eb289-14d1-439e-9379-64b6e6625a76">false</Viesas>
    <Pagrindinis xmlns="541eb289-14d1-439e-9379-64b6e6625a76">false</Pagrindinis>
    <xd_ProgID xmlns="http://schemas.microsoft.com/sharepoint/v3" xsi:nil="true"/>
    <rusiavimas xmlns="541eb289-14d1-439e-9379-64b6e6625a76" xsi:nil="true"/>
    <Antrinis xmlns="541eb289-14d1-439e-9379-64b6e6625a76">false</Antrinis>
  </documentManagement>
</p:properties>
</file>

<file path=customXml/item2.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E01AD165111A244CA9595453BC6E5743" ma:contentTypeVersion="2" ma:contentTypeDescription="" ma:contentTypeScope="" ma:versionID="64b3f57eda9531c3753c3ded8e4c3fdc">
  <xsd:schema xmlns:xsd="http://www.w3.org/2001/XMLSchema" xmlns:xs="http://www.w3.org/2001/XMLSchema" xmlns:p="http://schemas.microsoft.com/office/2006/metadata/properties" xmlns:ns1="http://schemas.microsoft.com/sharepoint/v3" xmlns:ns2="541eb289-14d1-439e-9379-64b6e6625a76" targetNamespace="http://schemas.microsoft.com/office/2006/metadata/properties" ma:root="true" ma:fieldsID="af421a114dab4873d31b41754fdcae35" ns1:_="" ns2:_="">
    <xsd:import namespace="http://schemas.microsoft.com/sharepoint/v3"/>
    <xsd:import namespace="541eb289-14d1-439e-9379-64b6e6625a76"/>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41eb289-14d1-439e-9379-64b6e6625a76"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agrindine" DocPartId="1324d9bf7b1d4a0887da8300652bc570" PartId="5bff1842878646c8b6a9a092d112445e">
    <Part Type="punktas" Nr="1" Abbr="1 p." DocPartId="11d81c48f2f247568b23ee7966228767" PartId="7aa8a1867429438c84c6f3ef87117de1"/>
    <Part Type="punktas" Nr="2" Abbr="2 p." DocPartId="14b8f296b49c42bdbaf25102a0f57d69" PartId="0e8314a27cfc4a769c9ebd83e6d564f9"/>
    <Part Type="punktas" Nr="3" Abbr="3 p." DocPartId="1cbd6dbe8f8748e1acfe3a7aa5a0e237" PartId="25559fc9d6f949ff865d6e07c3f173d2"/>
    <Part Type="punktas" Nr="4" Abbr="4 p." DocPartId="c61e30881b7f4192881dcb3430aabe84" PartId="12c5872fcb754b338e1053aeaeaf360f"/>
    <Part Type="punktas" Nr="5" Abbr="5 p." DocPartId="e6ab476005194990938fea8eacb01b94" PartId="ed4e758881a04ef8852bc59a27ed4bf7"/>
    <Part Type="punktas" Nr="6" Abbr="6 p." DocPartId="b084fef1b7d54eeebd3611537995a964" PartId="a55a10da1d404f11a0a542d6f48766cd"/>
    <Part Type="punktas" Nr="7" Abbr="7 p." DocPartId="1dae0f0cfe3d4ba8a82cc257467eaa63" PartId="0d73cae0119c40ec837ba2465cdfb330">
      <Part Type="papunktis" Nr="7.1" Abbr="7.1 pp." DocPartId="a9f307d2e74546539d66a4894794c072" PartId="f4647ec58f864665b5d31bcceeb9758f"/>
      <Part Type="papunktis" Nr="7.2" Abbr="7.2 pp." DocPartId="348c1edb98744438898e498f0383d1c9" PartId="71386596f2f545f286219013506efeb0"/>
    </Part>
    <Part Type="punktas" Nr="8" Abbr="8 p." DocPartId="250088103fa048b890cdafa3d0328a18" PartId="a5e6ee3cc2404f51b437503ff35d00f9"/>
    <Part Type="punktas" Nr="9" Abbr="9 p." DocPartId="9f9589208a854a67bc9f61e80460c13d" PartId="a8555b9eb4ac49e6af055a3a285ba274"/>
    <Part Type="punktas" Nr="10" Abbr="10 p." DocPartId="9c40fd6c5d074df7aebe1720c73b7c3a" PartId="2ec7a48a085b4f06992025a7a372bf69"/>
    <Part Type="signatura" DocPartId="3b66e8e6c6904f5f8088f8598bd0c296" PartId="57c0cc42025646929d03d3f6ad88479f"/>
  </Part>
</Parts>
</file>

<file path=customXml/itemProps1.xml><?xml version="1.0" encoding="utf-8"?>
<ds:datastoreItem xmlns:ds="http://schemas.openxmlformats.org/officeDocument/2006/customXml" ds:itemID="{90070FA5-E7CF-49A1-B234-F77F535904F1}">
  <ds:schemaRefs>
    <ds:schemaRef ds:uri="http://schemas.microsoft.com/office/infopath/2007/PartnerControls"/>
    <ds:schemaRef ds:uri="http://purl.org/dc/terms/"/>
    <ds:schemaRef ds:uri="http://schemas.microsoft.com/office/2006/metadata/properties"/>
    <ds:schemaRef ds:uri="http://schemas.microsoft.com/office/2006/documentManagement/types"/>
    <ds:schemaRef ds:uri="http://schemas.microsoft.com/sharepoint/v3"/>
    <ds:schemaRef ds:uri="541eb289-14d1-439e-9379-64b6e6625a76"/>
    <ds:schemaRef ds:uri="http://purl.org/dc/elements/1.1/"/>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AFF49EB5-E92F-4225-B951-F54B83FC14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41eb289-14d1-439e-9379-64b6e6625a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968925D-859B-47BC-84DB-88489212AD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4601</Words>
  <Characters>30459</Characters>
  <Application>Microsoft Office Word</Application>
  <DocSecurity>4</DocSecurity>
  <Lines>1903</Lines>
  <Paragraphs>1095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33965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2025-12-04T09:58:00Z</dcterms:created>
  <dc:creator>„Windows“ vartotojas</dc:creator>
  <lastModifiedBy>adlibuser</lastModifiedBy>
  <lastPrinted>2025-12-02T13:21:00Z</lastPrinted>
  <dcterms:modified xsi:type="dcterms:W3CDTF">2025-12-04T09:58:00Z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0x01010030D9DBA0AD9F4678BDDB4D5C3B1BB0E200E01AD165111A244CA9595453BC6E5743</vt:lpwstr>
  </property>
  <property fmtid="{D5CDD505-2E9C-101B-9397-08002B2CF9AE}" pid="3" name="_dlc_DocIdItemGuid">
    <vt:lpwstr>34909ffd-c23e-4f92-a7c0-75d01246ff48</vt:lpwstr>
  </property>
</Properties>
</file>